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840" w:rsidRPr="000063FC" w:rsidRDefault="00E53840" w:rsidP="00E53840">
      <w:pPr>
        <w:pBdr>
          <w:bottom w:val="single" w:sz="4" w:space="1" w:color="auto"/>
        </w:pBdr>
        <w:ind w:left="2268"/>
        <w:jc w:val="right"/>
        <w:rPr>
          <w:rFonts w:cs="Arial"/>
          <w:b/>
          <w:bCs/>
          <w:smallCaps/>
          <w:sz w:val="24"/>
          <w:szCs w:val="18"/>
        </w:rPr>
      </w:pPr>
      <w:bookmarkStart w:id="0" w:name="_GoBack"/>
      <w:bookmarkEnd w:id="0"/>
      <w:r w:rsidRPr="000063FC">
        <w:rPr>
          <w:noProof/>
          <w:lang w:eastAsia="hr-HR"/>
        </w:rPr>
        <w:drawing>
          <wp:anchor distT="0" distB="0" distL="114300" distR="114300" simplePos="0" relativeHeight="251666944" behindDoc="0" locked="0" layoutInCell="1" allowOverlap="1">
            <wp:simplePos x="0" y="0"/>
            <wp:positionH relativeFrom="margin">
              <wp:align>left</wp:align>
            </wp:positionH>
            <wp:positionV relativeFrom="margin">
              <wp:align>top</wp:align>
            </wp:positionV>
            <wp:extent cx="1186180" cy="1186180"/>
            <wp:effectExtent l="19050" t="0" r="0" b="0"/>
            <wp:wrapSquare wrapText="bothSides"/>
            <wp:docPr id="24" name="Picture 41" descr="C:\Users\Velimir.Velimir-PC\AppData\Local\Microsoft\Windows\Temporary Internet Files\Content.Outlook\5B8FNKE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Velimir.Velimir-PC\AppData\Local\Microsoft\Windows\Temporary Internet Files\Content.Outlook\5B8FNKEN\logo.gif"/>
                    <pic:cNvPicPr>
                      <a:picLocks noChangeAspect="1" noChangeArrowheads="1"/>
                    </pic:cNvPicPr>
                  </pic:nvPicPr>
                  <pic:blipFill>
                    <a:blip r:embed="rId11" r:link="rId12" cstate="print"/>
                    <a:srcRect/>
                    <a:stretch>
                      <a:fillRect/>
                    </a:stretch>
                  </pic:blipFill>
                  <pic:spPr bwMode="auto">
                    <a:xfrm>
                      <a:off x="0" y="0"/>
                      <a:ext cx="1186180" cy="1186180"/>
                    </a:xfrm>
                    <a:prstGeom prst="rect">
                      <a:avLst/>
                    </a:prstGeom>
                    <a:noFill/>
                    <a:ln w="9525">
                      <a:noFill/>
                      <a:miter lim="800000"/>
                      <a:headEnd/>
                      <a:tailEnd/>
                    </a:ln>
                  </pic:spPr>
                </pic:pic>
              </a:graphicData>
            </a:graphic>
          </wp:anchor>
        </w:drawing>
      </w:r>
      <w:r w:rsidRPr="000063FC">
        <w:rPr>
          <w:rFonts w:cs="Arial"/>
          <w:b/>
          <w:bCs/>
          <w:smallCaps/>
          <w:sz w:val="24"/>
          <w:szCs w:val="18"/>
        </w:rPr>
        <w:t>Naručitelj</w:t>
      </w:r>
    </w:p>
    <w:p w:rsidR="00E53840" w:rsidRPr="000063FC" w:rsidRDefault="00E53840" w:rsidP="00E53840">
      <w:pPr>
        <w:ind w:left="2268"/>
        <w:jc w:val="left"/>
        <w:rPr>
          <w:rFonts w:cs="Arial"/>
          <w:b/>
        </w:rPr>
      </w:pPr>
      <w:r w:rsidRPr="000063FC">
        <w:rPr>
          <w:rFonts w:cs="Arial"/>
          <w:b/>
        </w:rPr>
        <w:t>Republika Hrvatska</w:t>
      </w:r>
    </w:p>
    <w:p w:rsidR="00E53840" w:rsidRPr="000063FC" w:rsidRDefault="00E53840" w:rsidP="00E53840">
      <w:pPr>
        <w:ind w:left="2268"/>
        <w:jc w:val="left"/>
        <w:rPr>
          <w:rFonts w:cs="Arial"/>
          <w:b/>
        </w:rPr>
      </w:pPr>
      <w:r w:rsidRPr="000063FC">
        <w:rPr>
          <w:rFonts w:cs="Arial"/>
          <w:b/>
        </w:rPr>
        <w:t>Grad Zagreb</w:t>
      </w:r>
    </w:p>
    <w:p w:rsidR="00E53840" w:rsidRPr="000063FC" w:rsidRDefault="00E53840" w:rsidP="00E53840">
      <w:pPr>
        <w:pBdr>
          <w:bottom w:val="single" w:sz="4" w:space="1" w:color="auto"/>
        </w:pBdr>
        <w:ind w:left="2268"/>
        <w:jc w:val="right"/>
        <w:rPr>
          <w:rFonts w:cs="Arial"/>
          <w:b/>
          <w:smallCaps/>
          <w:sz w:val="24"/>
        </w:rPr>
      </w:pPr>
      <w:r w:rsidRPr="000063FC">
        <w:rPr>
          <w:rFonts w:cs="Arial"/>
          <w:b/>
          <w:smallCaps/>
          <w:sz w:val="24"/>
        </w:rPr>
        <w:t>Veza</w:t>
      </w:r>
    </w:p>
    <w:p w:rsidR="00E53840" w:rsidRPr="000063FC" w:rsidRDefault="00E53840" w:rsidP="00E53840">
      <w:pPr>
        <w:spacing w:before="60" w:line="276" w:lineRule="auto"/>
        <w:ind w:left="2268"/>
        <w:jc w:val="left"/>
        <w:rPr>
          <w:rFonts w:cs="Arial"/>
          <w:b/>
          <w:szCs w:val="22"/>
        </w:rPr>
      </w:pPr>
      <w:r w:rsidRPr="000063FC">
        <w:rPr>
          <w:rFonts w:cs="Arial"/>
          <w:b/>
        </w:rPr>
        <w:t xml:space="preserve">Ugovor br. </w:t>
      </w:r>
      <w:r w:rsidRPr="000063FC">
        <w:rPr>
          <w:rFonts w:cs="Arial"/>
          <w:b/>
          <w:szCs w:val="22"/>
        </w:rPr>
        <w:t>Klasa: 400-01/09-02/50, Ur. broj: 251-02-01-09-14</w:t>
      </w:r>
    </w:p>
    <w:p w:rsidR="00E53840" w:rsidRPr="000063FC" w:rsidRDefault="00E53840" w:rsidP="00E53840">
      <w:pPr>
        <w:ind w:left="2268"/>
        <w:jc w:val="left"/>
        <w:rPr>
          <w:rFonts w:cs="Arial"/>
          <w:b/>
        </w:rPr>
      </w:pPr>
    </w:p>
    <w:p w:rsidR="00E53840" w:rsidRPr="000063FC" w:rsidRDefault="00E53840" w:rsidP="00E53840">
      <w:pPr>
        <w:rPr>
          <w:rFonts w:cs="Arial"/>
          <w:b/>
          <w:sz w:val="32"/>
        </w:rPr>
      </w:pPr>
    </w:p>
    <w:p w:rsidR="00E53840" w:rsidRPr="000063FC" w:rsidRDefault="00E53840" w:rsidP="00E53840">
      <w:pPr>
        <w:jc w:val="center"/>
        <w:rPr>
          <w:rFonts w:cs="Arial"/>
          <w:b/>
          <w:sz w:val="36"/>
          <w:szCs w:val="36"/>
        </w:rPr>
      </w:pPr>
    </w:p>
    <w:p w:rsidR="00E53840" w:rsidRPr="000063FC" w:rsidRDefault="00E53840" w:rsidP="00E53840">
      <w:pPr>
        <w:jc w:val="center"/>
        <w:rPr>
          <w:rFonts w:cs="Arial"/>
          <w:b/>
          <w:sz w:val="36"/>
          <w:szCs w:val="36"/>
        </w:rPr>
      </w:pPr>
    </w:p>
    <w:p w:rsidR="00B33E2F" w:rsidRPr="000063FC" w:rsidRDefault="00B33E2F" w:rsidP="00E53840">
      <w:pPr>
        <w:jc w:val="center"/>
        <w:rPr>
          <w:rFonts w:cs="Arial"/>
          <w:b/>
          <w:sz w:val="36"/>
          <w:szCs w:val="36"/>
        </w:rPr>
      </w:pPr>
    </w:p>
    <w:p w:rsidR="00E53840" w:rsidRPr="000063FC" w:rsidRDefault="00E53840" w:rsidP="00E53840">
      <w:pPr>
        <w:jc w:val="center"/>
        <w:rPr>
          <w:rFonts w:cs="Arial"/>
          <w:b/>
          <w:sz w:val="36"/>
          <w:szCs w:val="36"/>
        </w:rPr>
      </w:pPr>
      <w:r w:rsidRPr="000063FC">
        <w:rPr>
          <w:rFonts w:cs="Arial"/>
          <w:b/>
          <w:sz w:val="36"/>
          <w:szCs w:val="36"/>
        </w:rPr>
        <w:t>Osnovne odrednice i podloge za praćenje emisija CO</w:t>
      </w:r>
      <w:r w:rsidRPr="00FA4B2E">
        <w:rPr>
          <w:rFonts w:cs="Arial"/>
          <w:b/>
          <w:sz w:val="36"/>
          <w:szCs w:val="36"/>
          <w:vertAlign w:val="subscript"/>
        </w:rPr>
        <w:t>2</w:t>
      </w:r>
      <w:r w:rsidRPr="000063FC">
        <w:rPr>
          <w:rFonts w:cs="Arial"/>
          <w:b/>
          <w:sz w:val="36"/>
          <w:szCs w:val="36"/>
        </w:rPr>
        <w:t xml:space="preserve"> za izradu Akcijskog plana energetski održivog </w:t>
      </w:r>
    </w:p>
    <w:p w:rsidR="00E53840" w:rsidRPr="000063FC" w:rsidRDefault="00E53840" w:rsidP="00E53840">
      <w:pPr>
        <w:jc w:val="center"/>
        <w:rPr>
          <w:rFonts w:cs="Arial"/>
          <w:b/>
          <w:sz w:val="36"/>
          <w:szCs w:val="36"/>
        </w:rPr>
      </w:pPr>
      <w:r w:rsidRPr="000063FC">
        <w:rPr>
          <w:rFonts w:cs="Arial"/>
          <w:b/>
          <w:sz w:val="36"/>
          <w:szCs w:val="36"/>
        </w:rPr>
        <w:t>razv</w:t>
      </w:r>
      <w:r w:rsidR="00FA4B2E">
        <w:rPr>
          <w:rFonts w:cs="Arial"/>
          <w:b/>
          <w:sz w:val="36"/>
          <w:szCs w:val="36"/>
        </w:rPr>
        <w:t>itka</w:t>
      </w:r>
      <w:r w:rsidRPr="000063FC">
        <w:rPr>
          <w:rFonts w:cs="Arial"/>
          <w:b/>
          <w:sz w:val="36"/>
          <w:szCs w:val="36"/>
        </w:rPr>
        <w:t xml:space="preserve"> Grada Zagreba</w:t>
      </w:r>
    </w:p>
    <w:p w:rsidR="00E53840" w:rsidRPr="000063FC" w:rsidRDefault="00E53840" w:rsidP="00E53840">
      <w:pPr>
        <w:jc w:val="center"/>
        <w:rPr>
          <w:rFonts w:cs="Arial"/>
          <w:b/>
          <w:caps/>
          <w:sz w:val="36"/>
          <w:szCs w:val="36"/>
        </w:rPr>
      </w:pPr>
    </w:p>
    <w:p w:rsidR="00E53840" w:rsidRPr="000063FC" w:rsidRDefault="00E53840" w:rsidP="00E53840">
      <w:pPr>
        <w:jc w:val="center"/>
        <w:rPr>
          <w:rFonts w:cs="Arial"/>
          <w:b/>
          <w:iCs/>
          <w:sz w:val="36"/>
          <w:szCs w:val="36"/>
        </w:rPr>
      </w:pPr>
    </w:p>
    <w:p w:rsidR="00E53840" w:rsidRPr="000063FC" w:rsidRDefault="00E53840" w:rsidP="00E53840">
      <w:pPr>
        <w:jc w:val="center"/>
        <w:rPr>
          <w:rFonts w:cs="Arial"/>
          <w:b/>
          <w:iCs/>
          <w:sz w:val="36"/>
          <w:szCs w:val="36"/>
        </w:rPr>
      </w:pPr>
    </w:p>
    <w:tbl>
      <w:tblPr>
        <w:tblW w:w="7488" w:type="dxa"/>
        <w:tblLayout w:type="fixed"/>
        <w:tblLook w:val="01E0" w:firstRow="1" w:lastRow="1" w:firstColumn="1" w:lastColumn="1" w:noHBand="0" w:noVBand="0"/>
      </w:tblPr>
      <w:tblGrid>
        <w:gridCol w:w="2088"/>
        <w:gridCol w:w="5400"/>
      </w:tblGrid>
      <w:tr w:rsidR="00E53840" w:rsidRPr="000063FC" w:rsidTr="00772AF0">
        <w:tc>
          <w:tcPr>
            <w:tcW w:w="2088" w:type="dxa"/>
          </w:tcPr>
          <w:p w:rsidR="00E53840" w:rsidRPr="000063FC" w:rsidRDefault="00E53840" w:rsidP="00772AF0">
            <w:pPr>
              <w:tabs>
                <w:tab w:val="left" w:pos="1440"/>
                <w:tab w:val="left" w:pos="2160"/>
                <w:tab w:val="left" w:pos="2880"/>
                <w:tab w:val="left" w:pos="3600"/>
                <w:tab w:val="left" w:pos="4320"/>
                <w:tab w:val="left" w:pos="5103"/>
                <w:tab w:val="left" w:pos="5760"/>
                <w:tab w:val="left" w:pos="6480"/>
                <w:tab w:val="left" w:pos="7200"/>
                <w:tab w:val="left" w:pos="7920"/>
              </w:tabs>
              <w:spacing w:line="280" w:lineRule="exact"/>
            </w:pPr>
            <w:r w:rsidRPr="000063FC">
              <w:rPr>
                <w:rFonts w:cs="Arial"/>
                <w:b/>
                <w:bCs/>
                <w:smallCaps/>
                <w:sz w:val="24"/>
                <w:szCs w:val="18"/>
              </w:rPr>
              <w:t>Autori:</w:t>
            </w:r>
          </w:p>
        </w:tc>
        <w:tc>
          <w:tcPr>
            <w:tcW w:w="5400" w:type="dxa"/>
            <w:vAlign w:val="center"/>
          </w:tcPr>
          <w:p w:rsidR="00E53840" w:rsidRPr="000063FC" w:rsidRDefault="00E53840" w:rsidP="00772AF0">
            <w:pPr>
              <w:jc w:val="left"/>
              <w:rPr>
                <w:rFonts w:cs="Arial"/>
              </w:rPr>
            </w:pPr>
            <w:r w:rsidRPr="000063FC">
              <w:rPr>
                <w:rFonts w:cs="Arial"/>
              </w:rPr>
              <w:t>Sanda Djukić, dipl. ing.</w:t>
            </w:r>
          </w:p>
          <w:p w:rsidR="00E53840" w:rsidRPr="000063FC" w:rsidRDefault="00E53840" w:rsidP="00772AF0">
            <w:pPr>
              <w:jc w:val="left"/>
              <w:rPr>
                <w:rFonts w:cs="Arial"/>
              </w:rPr>
            </w:pPr>
            <w:r w:rsidRPr="000063FC">
              <w:rPr>
                <w:rFonts w:cs="Arial"/>
              </w:rPr>
              <w:t>Mr.sc. Vesna Kolega</w:t>
            </w:r>
          </w:p>
          <w:p w:rsidR="00E53840" w:rsidRPr="000063FC" w:rsidRDefault="00E53840" w:rsidP="00772AF0">
            <w:pPr>
              <w:jc w:val="left"/>
              <w:rPr>
                <w:rFonts w:cs="Arial"/>
              </w:rPr>
            </w:pPr>
            <w:r w:rsidRPr="000063FC">
              <w:rPr>
                <w:rFonts w:cs="Arial"/>
              </w:rPr>
              <w:t>Ivan Kovačić, dipl. ing.</w:t>
            </w:r>
          </w:p>
          <w:p w:rsidR="00E53840" w:rsidRPr="000063FC" w:rsidRDefault="00E53840" w:rsidP="00772AF0">
            <w:pPr>
              <w:jc w:val="left"/>
              <w:rPr>
                <w:rFonts w:cs="Arial"/>
              </w:rPr>
            </w:pPr>
            <w:r w:rsidRPr="000063FC">
              <w:rPr>
                <w:rFonts w:cs="Arial"/>
              </w:rPr>
              <w:t>Ivana Lončar, dipl.oec.</w:t>
            </w:r>
          </w:p>
          <w:p w:rsidR="00E53840" w:rsidRPr="000063FC" w:rsidRDefault="00E53840" w:rsidP="00772AF0">
            <w:pPr>
              <w:jc w:val="left"/>
              <w:rPr>
                <w:rFonts w:cs="Arial"/>
              </w:rPr>
            </w:pPr>
            <w:r w:rsidRPr="000063FC">
              <w:rPr>
                <w:rFonts w:cs="Arial"/>
              </w:rPr>
              <w:t>Ivan Pržulj, dipl.ing.</w:t>
            </w:r>
          </w:p>
          <w:p w:rsidR="00E53840" w:rsidRPr="000063FC" w:rsidRDefault="00E53840" w:rsidP="00772AF0">
            <w:pPr>
              <w:jc w:val="left"/>
              <w:rPr>
                <w:rFonts w:cs="Arial"/>
              </w:rPr>
            </w:pPr>
            <w:r w:rsidRPr="000063FC">
              <w:rPr>
                <w:rFonts w:cs="Arial"/>
              </w:rPr>
              <w:t>Mr.sc. Velimir Šegon</w:t>
            </w:r>
          </w:p>
          <w:p w:rsidR="00E53840" w:rsidRPr="000063FC" w:rsidRDefault="00E53840" w:rsidP="00772AF0">
            <w:pPr>
              <w:jc w:val="left"/>
            </w:pPr>
            <w:r w:rsidRPr="000063FC">
              <w:rPr>
                <w:noProof/>
                <w:lang w:eastAsia="hr-HR"/>
              </w:rPr>
              <w:drawing>
                <wp:anchor distT="0" distB="0" distL="114300" distR="114300" simplePos="0" relativeHeight="251667968" behindDoc="0" locked="0" layoutInCell="1" allowOverlap="1">
                  <wp:simplePos x="0" y="0"/>
                  <wp:positionH relativeFrom="column">
                    <wp:posOffset>1601470</wp:posOffset>
                  </wp:positionH>
                  <wp:positionV relativeFrom="paragraph">
                    <wp:posOffset>13970</wp:posOffset>
                  </wp:positionV>
                  <wp:extent cx="452755" cy="342900"/>
                  <wp:effectExtent l="19050" t="0" r="444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452755" cy="342900"/>
                          </a:xfrm>
                          <a:prstGeom prst="rect">
                            <a:avLst/>
                          </a:prstGeom>
                          <a:noFill/>
                          <a:ln w="9525">
                            <a:noFill/>
                            <a:miter lim="800000"/>
                            <a:headEnd/>
                            <a:tailEnd/>
                          </a:ln>
                        </pic:spPr>
                      </pic:pic>
                    </a:graphicData>
                  </a:graphic>
                </wp:anchor>
              </w:drawing>
            </w:r>
            <w:r w:rsidRPr="000063FC">
              <w:t>Iva Švedek, dipl.ing.</w:t>
            </w:r>
          </w:p>
          <w:p w:rsidR="00E53840" w:rsidRPr="000063FC" w:rsidRDefault="00E53840" w:rsidP="00772AF0">
            <w:pPr>
              <w:jc w:val="left"/>
            </w:pPr>
            <w:r w:rsidRPr="000063FC">
              <w:t>Davor Vešligaj, dipl.ing.</w:t>
            </w:r>
            <w:r w:rsidRPr="000063FC">
              <w:rPr>
                <w:noProof/>
                <w:lang w:eastAsia="hr-HR"/>
              </w:rPr>
              <w:t xml:space="preserve"> </w:t>
            </w:r>
          </w:p>
        </w:tc>
      </w:tr>
      <w:tr w:rsidR="00E53840" w:rsidRPr="000063FC" w:rsidTr="00772AF0">
        <w:tc>
          <w:tcPr>
            <w:tcW w:w="2088" w:type="dxa"/>
          </w:tcPr>
          <w:p w:rsidR="00E53840" w:rsidRPr="000063FC" w:rsidRDefault="00E53840" w:rsidP="00772AF0">
            <w:pPr>
              <w:tabs>
                <w:tab w:val="left" w:pos="1440"/>
                <w:tab w:val="left" w:pos="2160"/>
                <w:tab w:val="left" w:pos="2880"/>
                <w:tab w:val="left" w:pos="3600"/>
                <w:tab w:val="left" w:pos="4320"/>
                <w:tab w:val="left" w:pos="5103"/>
                <w:tab w:val="left" w:pos="5760"/>
                <w:tab w:val="left" w:pos="6480"/>
                <w:tab w:val="left" w:pos="7200"/>
                <w:tab w:val="left" w:pos="7920"/>
              </w:tabs>
              <w:spacing w:line="280" w:lineRule="exact"/>
            </w:pPr>
          </w:p>
        </w:tc>
        <w:tc>
          <w:tcPr>
            <w:tcW w:w="5400" w:type="dxa"/>
            <w:vAlign w:val="center"/>
          </w:tcPr>
          <w:p w:rsidR="00E53840" w:rsidRPr="000063FC" w:rsidRDefault="00E53840" w:rsidP="00772AF0">
            <w:pPr>
              <w:tabs>
                <w:tab w:val="left" w:pos="1440"/>
                <w:tab w:val="left" w:pos="2160"/>
                <w:tab w:val="left" w:pos="2880"/>
                <w:tab w:val="left" w:pos="3600"/>
                <w:tab w:val="left" w:pos="4320"/>
                <w:tab w:val="left" w:pos="5103"/>
                <w:tab w:val="left" w:pos="5760"/>
                <w:tab w:val="left" w:pos="6480"/>
                <w:tab w:val="left" w:pos="7200"/>
                <w:tab w:val="left" w:pos="7920"/>
              </w:tabs>
              <w:spacing w:line="280" w:lineRule="exact"/>
              <w:ind w:left="162"/>
            </w:pPr>
          </w:p>
        </w:tc>
      </w:tr>
      <w:tr w:rsidR="00E53840" w:rsidRPr="000063FC" w:rsidTr="00772AF0">
        <w:tc>
          <w:tcPr>
            <w:tcW w:w="2088" w:type="dxa"/>
          </w:tcPr>
          <w:p w:rsidR="00E53840" w:rsidRPr="000063FC" w:rsidRDefault="00E53840" w:rsidP="00772AF0">
            <w:pPr>
              <w:tabs>
                <w:tab w:val="left" w:pos="1440"/>
                <w:tab w:val="left" w:pos="2160"/>
                <w:tab w:val="left" w:pos="2880"/>
                <w:tab w:val="left" w:pos="3600"/>
                <w:tab w:val="left" w:pos="4320"/>
                <w:tab w:val="left" w:pos="5103"/>
                <w:tab w:val="left" w:pos="5760"/>
                <w:tab w:val="left" w:pos="6480"/>
                <w:tab w:val="left" w:pos="7200"/>
                <w:tab w:val="left" w:pos="7920"/>
              </w:tabs>
              <w:spacing w:line="280" w:lineRule="exact"/>
            </w:pPr>
            <w:r w:rsidRPr="000063FC">
              <w:rPr>
                <w:rFonts w:cs="Arial"/>
                <w:b/>
                <w:bCs/>
                <w:smallCaps/>
                <w:sz w:val="24"/>
                <w:szCs w:val="18"/>
              </w:rPr>
              <w:t>Voditelj Projekta:</w:t>
            </w:r>
          </w:p>
        </w:tc>
        <w:tc>
          <w:tcPr>
            <w:tcW w:w="5400" w:type="dxa"/>
            <w:vAlign w:val="center"/>
          </w:tcPr>
          <w:p w:rsidR="00E53840" w:rsidRPr="000063FC" w:rsidRDefault="00E53840" w:rsidP="00772AF0">
            <w:pPr>
              <w:jc w:val="left"/>
              <w:rPr>
                <w:rFonts w:cs="Arial"/>
              </w:rPr>
            </w:pPr>
            <w:r w:rsidRPr="000063FC">
              <w:rPr>
                <w:rFonts w:cs="Arial"/>
              </w:rPr>
              <w:t>Mr.sc. Vesna Kolega</w:t>
            </w:r>
          </w:p>
          <w:p w:rsidR="00E53840" w:rsidRPr="000063FC" w:rsidRDefault="00E53840" w:rsidP="00772AF0">
            <w:pPr>
              <w:ind w:left="162"/>
              <w:rPr>
                <w:highlight w:val="yellow"/>
              </w:rPr>
            </w:pPr>
          </w:p>
        </w:tc>
      </w:tr>
      <w:tr w:rsidR="00E53840" w:rsidRPr="000063FC" w:rsidTr="00772AF0">
        <w:tc>
          <w:tcPr>
            <w:tcW w:w="2088" w:type="dxa"/>
            <w:vAlign w:val="center"/>
          </w:tcPr>
          <w:p w:rsidR="00E53840" w:rsidRPr="000063FC" w:rsidRDefault="00E53840" w:rsidP="00772AF0">
            <w:pPr>
              <w:tabs>
                <w:tab w:val="left" w:pos="1440"/>
                <w:tab w:val="left" w:pos="2160"/>
                <w:tab w:val="left" w:pos="2880"/>
                <w:tab w:val="left" w:pos="3600"/>
                <w:tab w:val="left" w:pos="4320"/>
                <w:tab w:val="left" w:pos="5103"/>
                <w:tab w:val="left" w:pos="5760"/>
                <w:tab w:val="left" w:pos="6480"/>
                <w:tab w:val="left" w:pos="7200"/>
                <w:tab w:val="left" w:pos="7920"/>
              </w:tabs>
              <w:spacing w:line="280" w:lineRule="exact"/>
              <w:jc w:val="center"/>
            </w:pPr>
          </w:p>
        </w:tc>
        <w:tc>
          <w:tcPr>
            <w:tcW w:w="5400" w:type="dxa"/>
            <w:vAlign w:val="center"/>
          </w:tcPr>
          <w:p w:rsidR="00E53840" w:rsidRPr="000063FC" w:rsidRDefault="00E53840" w:rsidP="00772AF0">
            <w:pPr>
              <w:ind w:left="162"/>
            </w:pPr>
          </w:p>
        </w:tc>
      </w:tr>
    </w:tbl>
    <w:p w:rsidR="00E53840" w:rsidRPr="000063FC" w:rsidRDefault="00E53840" w:rsidP="00E53840">
      <w:pPr>
        <w:jc w:val="left"/>
        <w:rPr>
          <w:rFonts w:cs="Arial"/>
          <w:b/>
          <w:i/>
          <w:iCs/>
          <w:sz w:val="36"/>
          <w:szCs w:val="36"/>
        </w:rPr>
      </w:pPr>
    </w:p>
    <w:p w:rsidR="00E53840" w:rsidRPr="000063FC" w:rsidRDefault="00E53840" w:rsidP="00E53840">
      <w:pPr>
        <w:jc w:val="right"/>
        <w:rPr>
          <w:rFonts w:cs="Arial"/>
        </w:rPr>
      </w:pPr>
    </w:p>
    <w:p w:rsidR="00E53840" w:rsidRPr="000063FC" w:rsidRDefault="00E53840" w:rsidP="00E53840">
      <w:pPr>
        <w:jc w:val="right"/>
        <w:rPr>
          <w:rFonts w:cs="Arial"/>
        </w:rPr>
      </w:pPr>
    </w:p>
    <w:tbl>
      <w:tblPr>
        <w:tblW w:w="9648" w:type="dxa"/>
        <w:tblLook w:val="01E0" w:firstRow="1" w:lastRow="1" w:firstColumn="1" w:lastColumn="1" w:noHBand="0" w:noVBand="0"/>
      </w:tblPr>
      <w:tblGrid>
        <w:gridCol w:w="6498"/>
        <w:gridCol w:w="3150"/>
      </w:tblGrid>
      <w:tr w:rsidR="00E53840" w:rsidRPr="000063FC" w:rsidTr="00772AF0">
        <w:tc>
          <w:tcPr>
            <w:tcW w:w="6498" w:type="dxa"/>
          </w:tcPr>
          <w:p w:rsidR="00E53840" w:rsidRPr="000063FC" w:rsidRDefault="00E53840" w:rsidP="00772AF0">
            <w:pPr>
              <w:tabs>
                <w:tab w:val="left" w:pos="1440"/>
                <w:tab w:val="left" w:pos="2160"/>
                <w:tab w:val="left" w:pos="2880"/>
                <w:tab w:val="left" w:pos="3600"/>
                <w:tab w:val="left" w:pos="4320"/>
                <w:tab w:val="left" w:pos="5103"/>
                <w:tab w:val="left" w:pos="5760"/>
                <w:tab w:val="left" w:pos="6480"/>
                <w:tab w:val="left" w:pos="7200"/>
                <w:tab w:val="left" w:pos="7920"/>
              </w:tabs>
              <w:spacing w:line="280" w:lineRule="exact"/>
            </w:pPr>
            <w:r w:rsidRPr="000063FC">
              <w:rPr>
                <w:rFonts w:cs="Arial"/>
                <w:b/>
                <w:bCs/>
                <w:smallCaps/>
                <w:sz w:val="24"/>
                <w:szCs w:val="18"/>
              </w:rPr>
              <w:t>Odobrio Voditelj Projekta:</w:t>
            </w:r>
          </w:p>
          <w:p w:rsidR="00E53840" w:rsidRPr="000063FC" w:rsidRDefault="00E53840" w:rsidP="00772AF0">
            <w:pPr>
              <w:tabs>
                <w:tab w:val="left" w:pos="1440"/>
                <w:tab w:val="left" w:pos="2160"/>
                <w:tab w:val="left" w:pos="2880"/>
                <w:tab w:val="left" w:pos="3600"/>
                <w:tab w:val="left" w:pos="4320"/>
                <w:tab w:val="left" w:pos="5103"/>
                <w:tab w:val="left" w:pos="5760"/>
                <w:tab w:val="left" w:pos="6480"/>
                <w:tab w:val="left" w:pos="7200"/>
                <w:tab w:val="left" w:pos="7920"/>
              </w:tabs>
              <w:spacing w:line="280" w:lineRule="exact"/>
            </w:pPr>
          </w:p>
          <w:p w:rsidR="00E53840" w:rsidRPr="000063FC" w:rsidRDefault="00E53840" w:rsidP="00772AF0">
            <w:pPr>
              <w:tabs>
                <w:tab w:val="left" w:pos="1440"/>
                <w:tab w:val="left" w:pos="2160"/>
                <w:tab w:val="left" w:pos="2880"/>
                <w:tab w:val="left" w:pos="3600"/>
                <w:tab w:val="left" w:pos="4320"/>
                <w:tab w:val="left" w:pos="5103"/>
                <w:tab w:val="left" w:pos="5760"/>
                <w:tab w:val="left" w:pos="6480"/>
                <w:tab w:val="left" w:pos="7200"/>
                <w:tab w:val="left" w:pos="7920"/>
              </w:tabs>
              <w:spacing w:line="280" w:lineRule="exact"/>
            </w:pPr>
          </w:p>
          <w:p w:rsidR="00E53840" w:rsidRPr="000063FC" w:rsidRDefault="00E53840" w:rsidP="00772AF0">
            <w:pPr>
              <w:tabs>
                <w:tab w:val="left" w:pos="1440"/>
                <w:tab w:val="left" w:pos="2160"/>
                <w:tab w:val="left" w:pos="2880"/>
                <w:tab w:val="left" w:pos="3600"/>
                <w:tab w:val="left" w:pos="4320"/>
                <w:tab w:val="left" w:pos="5103"/>
                <w:tab w:val="left" w:pos="5760"/>
                <w:tab w:val="left" w:pos="6480"/>
                <w:tab w:val="left" w:pos="7200"/>
                <w:tab w:val="left" w:pos="7920"/>
              </w:tabs>
              <w:spacing w:line="280" w:lineRule="exact"/>
            </w:pPr>
          </w:p>
          <w:p w:rsidR="00E53840" w:rsidRPr="000063FC" w:rsidRDefault="00E53840" w:rsidP="00772AF0">
            <w:pPr>
              <w:jc w:val="left"/>
              <w:rPr>
                <w:rFonts w:cs="Arial"/>
              </w:rPr>
            </w:pPr>
            <w:r w:rsidRPr="000063FC">
              <w:rPr>
                <w:rFonts w:cs="Arial"/>
              </w:rPr>
              <w:t>Mr.sc. Vesna Kolega</w:t>
            </w:r>
          </w:p>
          <w:p w:rsidR="00E53840" w:rsidRPr="000063FC" w:rsidRDefault="00E53840" w:rsidP="00772AF0">
            <w:pPr>
              <w:tabs>
                <w:tab w:val="left" w:pos="1440"/>
                <w:tab w:val="left" w:pos="2160"/>
                <w:tab w:val="left" w:pos="2880"/>
                <w:tab w:val="left" w:pos="3600"/>
                <w:tab w:val="left" w:pos="4320"/>
                <w:tab w:val="left" w:pos="5103"/>
                <w:tab w:val="left" w:pos="5760"/>
                <w:tab w:val="left" w:pos="6480"/>
                <w:tab w:val="left" w:pos="7200"/>
                <w:tab w:val="left" w:pos="7920"/>
              </w:tabs>
              <w:spacing w:line="280" w:lineRule="exact"/>
            </w:pPr>
          </w:p>
        </w:tc>
        <w:tc>
          <w:tcPr>
            <w:tcW w:w="3150" w:type="dxa"/>
          </w:tcPr>
          <w:p w:rsidR="00E53840" w:rsidRPr="000063FC" w:rsidRDefault="00E53840" w:rsidP="00772AF0">
            <w:pPr>
              <w:tabs>
                <w:tab w:val="left" w:pos="1440"/>
                <w:tab w:val="left" w:pos="2160"/>
                <w:tab w:val="left" w:pos="2880"/>
                <w:tab w:val="left" w:pos="3600"/>
                <w:tab w:val="left" w:pos="4320"/>
                <w:tab w:val="left" w:pos="5103"/>
                <w:tab w:val="left" w:pos="5760"/>
                <w:tab w:val="left" w:pos="6480"/>
                <w:tab w:val="left" w:pos="7200"/>
                <w:tab w:val="left" w:pos="7920"/>
              </w:tabs>
              <w:spacing w:line="280" w:lineRule="exact"/>
            </w:pPr>
            <w:r w:rsidRPr="000063FC">
              <w:rPr>
                <w:rFonts w:cs="Arial"/>
                <w:b/>
                <w:bCs/>
                <w:smallCaps/>
                <w:sz w:val="24"/>
                <w:szCs w:val="18"/>
              </w:rPr>
              <w:t>Odobrio Ravnatelj</w:t>
            </w:r>
            <w:r w:rsidRPr="000063FC">
              <w:t>:</w:t>
            </w:r>
          </w:p>
          <w:p w:rsidR="00E53840" w:rsidRPr="000063FC" w:rsidRDefault="00E53840" w:rsidP="00772AF0">
            <w:pPr>
              <w:tabs>
                <w:tab w:val="left" w:pos="1440"/>
                <w:tab w:val="left" w:pos="2160"/>
                <w:tab w:val="left" w:pos="2880"/>
                <w:tab w:val="left" w:pos="3600"/>
                <w:tab w:val="left" w:pos="4320"/>
                <w:tab w:val="left" w:pos="5103"/>
                <w:tab w:val="left" w:pos="5760"/>
                <w:tab w:val="left" w:pos="6480"/>
                <w:tab w:val="left" w:pos="7200"/>
                <w:tab w:val="left" w:pos="7920"/>
              </w:tabs>
              <w:spacing w:line="280" w:lineRule="exact"/>
            </w:pPr>
          </w:p>
          <w:p w:rsidR="00E53840" w:rsidRPr="000063FC" w:rsidRDefault="00E53840" w:rsidP="00772AF0">
            <w:pPr>
              <w:tabs>
                <w:tab w:val="left" w:pos="1440"/>
                <w:tab w:val="left" w:pos="2160"/>
                <w:tab w:val="left" w:pos="2880"/>
                <w:tab w:val="left" w:pos="3600"/>
                <w:tab w:val="left" w:pos="4320"/>
                <w:tab w:val="left" w:pos="5103"/>
                <w:tab w:val="left" w:pos="5760"/>
                <w:tab w:val="left" w:pos="6480"/>
                <w:tab w:val="left" w:pos="7200"/>
                <w:tab w:val="left" w:pos="7920"/>
              </w:tabs>
              <w:spacing w:line="280" w:lineRule="exact"/>
            </w:pPr>
          </w:p>
          <w:p w:rsidR="00E53840" w:rsidRPr="000063FC" w:rsidRDefault="00E53840" w:rsidP="00772AF0">
            <w:pPr>
              <w:tabs>
                <w:tab w:val="left" w:pos="1440"/>
                <w:tab w:val="left" w:pos="2160"/>
                <w:tab w:val="left" w:pos="2880"/>
                <w:tab w:val="left" w:pos="3600"/>
                <w:tab w:val="left" w:pos="4320"/>
                <w:tab w:val="left" w:pos="5103"/>
                <w:tab w:val="left" w:pos="5760"/>
                <w:tab w:val="left" w:pos="6480"/>
                <w:tab w:val="left" w:pos="7200"/>
                <w:tab w:val="left" w:pos="7920"/>
              </w:tabs>
              <w:spacing w:line="280" w:lineRule="exact"/>
            </w:pPr>
          </w:p>
          <w:p w:rsidR="00E53840" w:rsidRPr="000063FC" w:rsidRDefault="00E53840" w:rsidP="00772AF0">
            <w:pPr>
              <w:spacing w:after="120"/>
              <w:jc w:val="left"/>
            </w:pPr>
            <w:r w:rsidRPr="000063FC">
              <w:rPr>
                <w:rFonts w:cs="Arial"/>
              </w:rPr>
              <w:t>Dr.sc. Julije Domac</w:t>
            </w:r>
          </w:p>
        </w:tc>
      </w:tr>
    </w:tbl>
    <w:p w:rsidR="00E53840" w:rsidRPr="000063FC" w:rsidRDefault="00E53840" w:rsidP="00E53840">
      <w:pPr>
        <w:jc w:val="right"/>
        <w:rPr>
          <w:rFonts w:cs="Arial"/>
        </w:rPr>
      </w:pPr>
    </w:p>
    <w:p w:rsidR="00E53840" w:rsidRDefault="00E53840" w:rsidP="00E53840">
      <w:pPr>
        <w:jc w:val="right"/>
        <w:rPr>
          <w:rFonts w:cs="Arial"/>
        </w:rPr>
      </w:pPr>
    </w:p>
    <w:p w:rsidR="00FA4B2E" w:rsidRPr="000063FC" w:rsidRDefault="00FA4B2E" w:rsidP="00E53840">
      <w:pPr>
        <w:jc w:val="right"/>
        <w:rPr>
          <w:rFonts w:cs="Arial"/>
        </w:rPr>
      </w:pPr>
    </w:p>
    <w:p w:rsidR="00E53840" w:rsidRPr="000063FC" w:rsidRDefault="00E53840" w:rsidP="00E53840">
      <w:pPr>
        <w:jc w:val="right"/>
        <w:rPr>
          <w:rFonts w:cs="Arial"/>
        </w:rPr>
      </w:pPr>
    </w:p>
    <w:p w:rsidR="000B5A4D" w:rsidRPr="00FA4B2E" w:rsidRDefault="00E53840" w:rsidP="00FA4B2E">
      <w:pPr>
        <w:jc w:val="center"/>
        <w:rPr>
          <w:rFonts w:cs="Arial"/>
          <w:b/>
        </w:rPr>
        <w:sectPr w:rsidR="000B5A4D" w:rsidRPr="00FA4B2E" w:rsidSect="008B2607">
          <w:headerReference w:type="default" r:id="rId14"/>
          <w:footerReference w:type="even" r:id="rId15"/>
          <w:footerReference w:type="default" r:id="rId16"/>
          <w:pgSz w:w="11909" w:h="16834" w:code="9"/>
          <w:pgMar w:top="1418" w:right="1561" w:bottom="1701" w:left="1418" w:header="1151" w:footer="1111" w:gutter="0"/>
          <w:pgNumType w:start="0"/>
          <w:cols w:space="720"/>
          <w:titlePg/>
          <w:docGrid w:linePitch="286"/>
        </w:sectPr>
      </w:pPr>
      <w:r w:rsidRPr="000063FC">
        <w:rPr>
          <w:rFonts w:cs="Arial"/>
          <w:b/>
        </w:rPr>
        <w:t>Zagreb, veljača 2010.</w:t>
      </w:r>
      <w:r w:rsidR="000D25B6" w:rsidRPr="000063FC">
        <w:rPr>
          <w:rFonts w:cs="Arial"/>
          <w:b/>
          <w:szCs w:val="22"/>
        </w:rPr>
        <w:t xml:space="preserve"> </w:t>
      </w:r>
    </w:p>
    <w:p w:rsidR="000F56EF" w:rsidRPr="000063FC" w:rsidRDefault="000F56EF" w:rsidP="00712520">
      <w:pPr>
        <w:spacing w:line="276" w:lineRule="auto"/>
        <w:rPr>
          <w:b/>
          <w:sz w:val="28"/>
          <w:szCs w:val="28"/>
        </w:rPr>
      </w:pPr>
      <w:r w:rsidRPr="000063FC">
        <w:rPr>
          <w:b/>
          <w:sz w:val="28"/>
          <w:szCs w:val="28"/>
        </w:rPr>
        <w:lastRenderedPageBreak/>
        <w:t>SADRŽAJ</w:t>
      </w:r>
    </w:p>
    <w:p w:rsidR="00454D31" w:rsidRPr="00454D31" w:rsidRDefault="0004037B">
      <w:pPr>
        <w:pStyle w:val="TOC1"/>
        <w:tabs>
          <w:tab w:val="left" w:pos="420"/>
          <w:tab w:val="right" w:leader="dot" w:pos="9063"/>
        </w:tabs>
        <w:rPr>
          <w:rFonts w:ascii="Calibri" w:eastAsiaTheme="minorEastAsia" w:hAnsi="Calibri" w:cstheme="minorBidi"/>
          <w:b w:val="0"/>
          <w:bCs w:val="0"/>
          <w:caps w:val="0"/>
          <w:noProof/>
          <w:sz w:val="22"/>
          <w:szCs w:val="22"/>
          <w:lang w:eastAsia="hr-HR"/>
        </w:rPr>
      </w:pPr>
      <w:r w:rsidRPr="0082748D">
        <w:rPr>
          <w:rFonts w:asciiTheme="minorHAnsi" w:hAnsiTheme="minorHAnsi" w:cs="Arial"/>
          <w:noProof/>
          <w:szCs w:val="22"/>
        </w:rPr>
        <w:fldChar w:fldCharType="begin"/>
      </w:r>
      <w:r w:rsidR="007B0169" w:rsidRPr="0082748D">
        <w:rPr>
          <w:rFonts w:asciiTheme="minorHAnsi" w:hAnsiTheme="minorHAnsi"/>
          <w:szCs w:val="22"/>
        </w:rPr>
        <w:instrText xml:space="preserve"> TOC \o "1-4" \h \z \u </w:instrText>
      </w:r>
      <w:r w:rsidRPr="0082748D">
        <w:rPr>
          <w:rFonts w:asciiTheme="minorHAnsi" w:hAnsiTheme="minorHAnsi" w:cs="Arial"/>
          <w:noProof/>
          <w:szCs w:val="22"/>
        </w:rPr>
        <w:fldChar w:fldCharType="separate"/>
      </w:r>
      <w:hyperlink w:anchor="_Toc254010176" w:history="1">
        <w:r w:rsidR="00454D31" w:rsidRPr="00454D31">
          <w:rPr>
            <w:rStyle w:val="Hyperlink"/>
            <w:rFonts w:ascii="Calibri" w:hAnsi="Calibri"/>
            <w:noProof/>
          </w:rPr>
          <w:t>1.</w:t>
        </w:r>
        <w:r w:rsidR="00454D31" w:rsidRPr="00454D31">
          <w:rPr>
            <w:rFonts w:ascii="Calibri" w:eastAsiaTheme="minorEastAsia" w:hAnsi="Calibri" w:cstheme="minorBidi"/>
            <w:b w:val="0"/>
            <w:bCs w:val="0"/>
            <w:caps w:val="0"/>
            <w:noProof/>
            <w:sz w:val="22"/>
            <w:szCs w:val="22"/>
            <w:lang w:eastAsia="hr-HR"/>
          </w:rPr>
          <w:tab/>
        </w:r>
        <w:r w:rsidR="00454D31" w:rsidRPr="00454D31">
          <w:rPr>
            <w:rStyle w:val="Hyperlink"/>
            <w:rFonts w:ascii="Calibri" w:hAnsi="Calibri"/>
            <w:noProof/>
          </w:rPr>
          <w:t>UVOD</w:t>
        </w:r>
        <w:r w:rsidR="00454D31" w:rsidRPr="00454D31">
          <w:rPr>
            <w:rFonts w:ascii="Calibri" w:hAnsi="Calibri"/>
            <w:noProof/>
            <w:webHidden/>
          </w:rPr>
          <w:tab/>
        </w:r>
        <w:r w:rsidRPr="00454D31">
          <w:rPr>
            <w:rFonts w:ascii="Calibri" w:hAnsi="Calibri"/>
            <w:noProof/>
            <w:webHidden/>
          </w:rPr>
          <w:fldChar w:fldCharType="begin"/>
        </w:r>
        <w:r w:rsidR="00454D31" w:rsidRPr="00454D31">
          <w:rPr>
            <w:rFonts w:ascii="Calibri" w:hAnsi="Calibri"/>
            <w:noProof/>
            <w:webHidden/>
          </w:rPr>
          <w:instrText xml:space="preserve"> PAGEREF _Toc254010176 \h </w:instrText>
        </w:r>
        <w:r w:rsidRPr="00454D31">
          <w:rPr>
            <w:rFonts w:ascii="Calibri" w:hAnsi="Calibri"/>
            <w:noProof/>
            <w:webHidden/>
          </w:rPr>
        </w:r>
        <w:r w:rsidRPr="00454D31">
          <w:rPr>
            <w:rFonts w:ascii="Calibri" w:hAnsi="Calibri"/>
            <w:noProof/>
            <w:webHidden/>
          </w:rPr>
          <w:fldChar w:fldCharType="separate"/>
        </w:r>
        <w:r w:rsidR="00DC766F">
          <w:rPr>
            <w:rFonts w:ascii="Calibri" w:hAnsi="Calibri"/>
            <w:noProof/>
            <w:webHidden/>
          </w:rPr>
          <w:t>1</w:t>
        </w:r>
        <w:r w:rsidRPr="00454D31">
          <w:rPr>
            <w:rFonts w:ascii="Calibri" w:hAnsi="Calibri"/>
            <w:noProof/>
            <w:webHidden/>
          </w:rPr>
          <w:fldChar w:fldCharType="end"/>
        </w:r>
      </w:hyperlink>
    </w:p>
    <w:p w:rsidR="00454D31" w:rsidRPr="00454D31" w:rsidRDefault="00263443">
      <w:pPr>
        <w:pStyle w:val="TOC1"/>
        <w:tabs>
          <w:tab w:val="left" w:pos="420"/>
          <w:tab w:val="right" w:leader="dot" w:pos="9063"/>
        </w:tabs>
        <w:rPr>
          <w:rFonts w:ascii="Calibri" w:eastAsiaTheme="minorEastAsia" w:hAnsi="Calibri" w:cstheme="minorBidi"/>
          <w:b w:val="0"/>
          <w:bCs w:val="0"/>
          <w:caps w:val="0"/>
          <w:noProof/>
          <w:sz w:val="22"/>
          <w:szCs w:val="22"/>
          <w:lang w:eastAsia="hr-HR"/>
        </w:rPr>
      </w:pPr>
      <w:hyperlink w:anchor="_Toc254010177" w:history="1">
        <w:r w:rsidR="00454D31" w:rsidRPr="00454D31">
          <w:rPr>
            <w:rStyle w:val="Hyperlink"/>
            <w:rFonts w:ascii="Calibri" w:hAnsi="Calibri"/>
            <w:noProof/>
          </w:rPr>
          <w:t>2.</w:t>
        </w:r>
        <w:r w:rsidR="00454D31" w:rsidRPr="00454D31">
          <w:rPr>
            <w:rFonts w:ascii="Calibri" w:eastAsiaTheme="minorEastAsia" w:hAnsi="Calibri" w:cstheme="minorBidi"/>
            <w:b w:val="0"/>
            <w:bCs w:val="0"/>
            <w:caps w:val="0"/>
            <w:noProof/>
            <w:sz w:val="22"/>
            <w:szCs w:val="22"/>
            <w:lang w:eastAsia="hr-HR"/>
          </w:rPr>
          <w:tab/>
        </w:r>
        <w:r w:rsidR="00454D31" w:rsidRPr="00454D31">
          <w:rPr>
            <w:rStyle w:val="Hyperlink"/>
            <w:rFonts w:ascii="Calibri" w:hAnsi="Calibri"/>
            <w:noProof/>
          </w:rPr>
          <w:t>IZRADA REFERENTNOG INVENTARA EMISIJA ZA GRAD ZAGREB</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_Toc254010177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w:t>
        </w:r>
        <w:r w:rsidR="0004037B" w:rsidRPr="00454D31">
          <w:rPr>
            <w:rFonts w:ascii="Calibri" w:hAnsi="Calibri"/>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178" w:history="1">
        <w:r w:rsidR="00454D31" w:rsidRPr="00454D31">
          <w:rPr>
            <w:rStyle w:val="Hyperlink"/>
            <w:noProof/>
          </w:rPr>
          <w:t>2.1.</w:t>
        </w:r>
        <w:r w:rsidR="00454D31" w:rsidRPr="00454D31">
          <w:rPr>
            <w:rFonts w:eastAsiaTheme="minorEastAsia" w:cstheme="minorBidi"/>
            <w:b w:val="0"/>
            <w:bCs w:val="0"/>
            <w:noProof/>
            <w:sz w:val="22"/>
            <w:szCs w:val="22"/>
            <w:lang w:eastAsia="hr-HR"/>
          </w:rPr>
          <w:tab/>
        </w:r>
        <w:r w:rsidR="00454D31" w:rsidRPr="00454D31">
          <w:rPr>
            <w:rStyle w:val="Hyperlink"/>
            <w:noProof/>
          </w:rPr>
          <w:t>ODABIR REFERENTNE GODINE</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_Toc254010178 \h </w:instrText>
        </w:r>
        <w:r w:rsidR="0004037B" w:rsidRPr="00454D31">
          <w:rPr>
            <w:noProof/>
            <w:webHidden/>
          </w:rPr>
        </w:r>
        <w:r w:rsidR="0004037B" w:rsidRPr="00454D31">
          <w:rPr>
            <w:noProof/>
            <w:webHidden/>
          </w:rPr>
          <w:fldChar w:fldCharType="separate"/>
        </w:r>
        <w:r w:rsidR="00DC766F">
          <w:rPr>
            <w:noProof/>
            <w:webHidden/>
          </w:rPr>
          <w:t>3</w:t>
        </w:r>
        <w:r w:rsidR="0004037B" w:rsidRPr="00454D31">
          <w:rPr>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179" w:history="1">
        <w:r w:rsidR="00454D31" w:rsidRPr="00454D31">
          <w:rPr>
            <w:rStyle w:val="Hyperlink"/>
            <w:noProof/>
          </w:rPr>
          <w:t>2.2.</w:t>
        </w:r>
        <w:r w:rsidR="00454D31" w:rsidRPr="00454D31">
          <w:rPr>
            <w:rFonts w:eastAsiaTheme="minorEastAsia" w:cstheme="minorBidi"/>
            <w:b w:val="0"/>
            <w:bCs w:val="0"/>
            <w:noProof/>
            <w:sz w:val="22"/>
            <w:szCs w:val="22"/>
            <w:lang w:eastAsia="hr-HR"/>
          </w:rPr>
          <w:tab/>
        </w:r>
        <w:r w:rsidR="00454D31" w:rsidRPr="00454D31">
          <w:rPr>
            <w:rStyle w:val="Hyperlink"/>
            <w:noProof/>
          </w:rPr>
          <w:t>METODOLOGIJA ZA IZRADU REFERENTNOG INVENTARA EMISIJA CO</w:t>
        </w:r>
        <w:r w:rsidR="00454D31" w:rsidRPr="00454D31">
          <w:rPr>
            <w:rStyle w:val="Hyperlink"/>
            <w:noProof/>
            <w:vertAlign w:val="subscript"/>
          </w:rPr>
          <w:t>2</w:t>
        </w:r>
        <w:r w:rsidR="00454D31" w:rsidRPr="00454D31">
          <w:rPr>
            <w:rStyle w:val="Hyperlink"/>
            <w:noProof/>
          </w:rPr>
          <w:t xml:space="preserve"> ZA GRAD ZAGREB</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_Toc254010179 \h </w:instrText>
        </w:r>
        <w:r w:rsidR="0004037B" w:rsidRPr="00454D31">
          <w:rPr>
            <w:noProof/>
            <w:webHidden/>
          </w:rPr>
        </w:r>
        <w:r w:rsidR="0004037B" w:rsidRPr="00454D31">
          <w:rPr>
            <w:noProof/>
            <w:webHidden/>
          </w:rPr>
          <w:fldChar w:fldCharType="separate"/>
        </w:r>
        <w:r w:rsidR="00DC766F">
          <w:rPr>
            <w:noProof/>
            <w:webHidden/>
          </w:rPr>
          <w:t>3</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180" w:history="1">
        <w:r w:rsidR="00454D31" w:rsidRPr="00454D31">
          <w:rPr>
            <w:rStyle w:val="Hyperlink"/>
            <w:noProof/>
          </w:rPr>
          <w:t>2.2.1.</w:t>
        </w:r>
        <w:r w:rsidR="00454D31" w:rsidRPr="00454D31">
          <w:rPr>
            <w:rFonts w:eastAsiaTheme="minorEastAsia" w:cstheme="minorBidi"/>
            <w:noProof/>
            <w:sz w:val="22"/>
            <w:szCs w:val="22"/>
            <w:lang w:eastAsia="hr-HR"/>
          </w:rPr>
          <w:tab/>
        </w:r>
        <w:r w:rsidR="00454D31" w:rsidRPr="00454D31">
          <w:rPr>
            <w:rStyle w:val="Hyperlink"/>
            <w:noProof/>
          </w:rPr>
          <w:t>IPCC METODOLOGIJA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_Toc254010180 \h </w:instrText>
        </w:r>
        <w:r w:rsidR="0004037B" w:rsidRPr="00454D31">
          <w:rPr>
            <w:noProof/>
            <w:webHidden/>
          </w:rPr>
        </w:r>
        <w:r w:rsidR="0004037B" w:rsidRPr="00454D31">
          <w:rPr>
            <w:noProof/>
            <w:webHidden/>
          </w:rPr>
          <w:fldChar w:fldCharType="separate"/>
        </w:r>
        <w:r w:rsidR="00DC766F">
          <w:rPr>
            <w:noProof/>
            <w:webHidden/>
          </w:rPr>
          <w:t>3</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181" w:history="1">
        <w:r w:rsidR="00454D31" w:rsidRPr="00454D31">
          <w:rPr>
            <w:rStyle w:val="Hyperlink"/>
            <w:noProof/>
          </w:rPr>
          <w:t>2.2.2.</w:t>
        </w:r>
        <w:r w:rsidR="00454D31" w:rsidRPr="00454D31">
          <w:rPr>
            <w:rFonts w:eastAsiaTheme="minorEastAsia" w:cstheme="minorBidi"/>
            <w:noProof/>
            <w:sz w:val="22"/>
            <w:szCs w:val="22"/>
            <w:lang w:eastAsia="hr-HR"/>
          </w:rPr>
          <w:tab/>
        </w:r>
        <w:r w:rsidR="00454D31" w:rsidRPr="00454D31">
          <w:rPr>
            <w:rStyle w:val="Hyperlink"/>
            <w:noProof/>
          </w:rPr>
          <w:t>METODOLOGIJA ZA PRORAČUN NEIZRAVNIH EMISIJA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_Toc254010181 \h </w:instrText>
        </w:r>
        <w:r w:rsidR="0004037B" w:rsidRPr="00454D31">
          <w:rPr>
            <w:noProof/>
            <w:webHidden/>
          </w:rPr>
        </w:r>
        <w:r w:rsidR="0004037B" w:rsidRPr="00454D31">
          <w:rPr>
            <w:noProof/>
            <w:webHidden/>
          </w:rPr>
          <w:fldChar w:fldCharType="separate"/>
        </w:r>
        <w:r w:rsidR="00DC766F">
          <w:rPr>
            <w:noProof/>
            <w:webHidden/>
          </w:rPr>
          <w:t>4</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182" w:history="1">
        <w:r w:rsidR="00454D31" w:rsidRPr="00454D31">
          <w:rPr>
            <w:rStyle w:val="Hyperlink"/>
            <w:noProof/>
          </w:rPr>
          <w:t>2.2.3.</w:t>
        </w:r>
        <w:r w:rsidR="00454D31" w:rsidRPr="00454D31">
          <w:rPr>
            <w:rFonts w:eastAsiaTheme="minorEastAsia" w:cstheme="minorBidi"/>
            <w:noProof/>
            <w:sz w:val="22"/>
            <w:szCs w:val="22"/>
            <w:lang w:eastAsia="hr-HR"/>
          </w:rPr>
          <w:tab/>
        </w:r>
        <w:r w:rsidR="00454D31" w:rsidRPr="00454D31">
          <w:rPr>
            <w:rStyle w:val="Hyperlink"/>
            <w:noProof/>
          </w:rPr>
          <w:t>COPERT METODOLOGIJA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_Toc254010182 \h </w:instrText>
        </w:r>
        <w:r w:rsidR="0004037B" w:rsidRPr="00454D31">
          <w:rPr>
            <w:noProof/>
            <w:webHidden/>
          </w:rPr>
        </w:r>
        <w:r w:rsidR="0004037B" w:rsidRPr="00454D31">
          <w:rPr>
            <w:noProof/>
            <w:webHidden/>
          </w:rPr>
          <w:fldChar w:fldCharType="separate"/>
        </w:r>
        <w:r w:rsidR="00DC766F">
          <w:rPr>
            <w:noProof/>
            <w:webHidden/>
          </w:rPr>
          <w:t>7</w:t>
        </w:r>
        <w:r w:rsidR="0004037B" w:rsidRPr="00454D31">
          <w:rPr>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183" w:history="1">
        <w:r w:rsidR="00454D31" w:rsidRPr="00454D31">
          <w:rPr>
            <w:rStyle w:val="Hyperlink"/>
            <w:noProof/>
          </w:rPr>
          <w:t>2.3.</w:t>
        </w:r>
        <w:r w:rsidR="00454D31" w:rsidRPr="00454D31">
          <w:rPr>
            <w:rFonts w:eastAsiaTheme="minorEastAsia" w:cstheme="minorBidi"/>
            <w:b w:val="0"/>
            <w:bCs w:val="0"/>
            <w:noProof/>
            <w:sz w:val="22"/>
            <w:szCs w:val="22"/>
            <w:lang w:eastAsia="hr-HR"/>
          </w:rPr>
          <w:tab/>
        </w:r>
        <w:r w:rsidR="00454D31" w:rsidRPr="00454D31">
          <w:rPr>
            <w:rStyle w:val="Hyperlink"/>
            <w:noProof/>
          </w:rPr>
          <w:t>ODREĐIVANJE EMISIJA CO</w:t>
        </w:r>
        <w:r w:rsidR="00454D31" w:rsidRPr="00454D31">
          <w:rPr>
            <w:rStyle w:val="Hyperlink"/>
            <w:noProof/>
            <w:vertAlign w:val="subscript"/>
          </w:rPr>
          <w:t xml:space="preserve">2 </w:t>
        </w:r>
        <w:r w:rsidR="00454D31" w:rsidRPr="00454D31">
          <w:rPr>
            <w:rStyle w:val="Hyperlink"/>
            <w:noProof/>
          </w:rPr>
          <w:t>GRADA ZAGREBA ZA SEKTORE JAVNE RASVJETE, ZGRADARSTVA I PROMETA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_Toc254010183 \h </w:instrText>
        </w:r>
        <w:r w:rsidR="0004037B" w:rsidRPr="00454D31">
          <w:rPr>
            <w:noProof/>
            <w:webHidden/>
          </w:rPr>
        </w:r>
        <w:r w:rsidR="0004037B" w:rsidRPr="00454D31">
          <w:rPr>
            <w:noProof/>
            <w:webHidden/>
          </w:rPr>
          <w:fldChar w:fldCharType="separate"/>
        </w:r>
        <w:r w:rsidR="00DC766F">
          <w:rPr>
            <w:noProof/>
            <w:webHidden/>
          </w:rPr>
          <w:t>13</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184" w:history="1">
        <w:r w:rsidR="00454D31" w:rsidRPr="00454D31">
          <w:rPr>
            <w:rStyle w:val="Hyperlink"/>
            <w:noProof/>
          </w:rPr>
          <w:t>2.3.1.</w:t>
        </w:r>
        <w:r w:rsidR="00454D31" w:rsidRPr="00454D31">
          <w:rPr>
            <w:rFonts w:eastAsiaTheme="minorEastAsia" w:cstheme="minorBidi"/>
            <w:noProof/>
            <w:sz w:val="22"/>
            <w:szCs w:val="22"/>
            <w:lang w:eastAsia="hr-HR"/>
          </w:rPr>
          <w:tab/>
        </w:r>
        <w:r w:rsidR="00454D31" w:rsidRPr="00454D31">
          <w:rPr>
            <w:rStyle w:val="Hyperlink"/>
            <w:noProof/>
          </w:rPr>
          <w:t xml:space="preserve">EMISIJE </w:t>
        </w:r>
        <w:r w:rsidR="00454D31" w:rsidRPr="00454D31">
          <w:rPr>
            <w:rStyle w:val="Hyperlink"/>
            <w:caps/>
            <w:noProof/>
          </w:rPr>
          <w:t>CO</w:t>
        </w:r>
        <w:r w:rsidR="00454D31" w:rsidRPr="00454D31">
          <w:rPr>
            <w:rStyle w:val="Hyperlink"/>
            <w:caps/>
            <w:noProof/>
            <w:vertAlign w:val="subscript"/>
          </w:rPr>
          <w:t xml:space="preserve">2 </w:t>
        </w:r>
        <w:r w:rsidR="00454D31" w:rsidRPr="00454D31">
          <w:rPr>
            <w:rStyle w:val="Hyperlink"/>
            <w:caps/>
            <w:noProof/>
          </w:rPr>
          <w:t xml:space="preserve">GRADA ZAGREBA </w:t>
        </w:r>
        <w:r w:rsidR="00454D31" w:rsidRPr="00454D31">
          <w:rPr>
            <w:rStyle w:val="Hyperlink"/>
            <w:noProof/>
          </w:rPr>
          <w:t>ZA SEKTOR JAVNE RASVJETE</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_Toc254010184 \h </w:instrText>
        </w:r>
        <w:r w:rsidR="0004037B" w:rsidRPr="00454D31">
          <w:rPr>
            <w:noProof/>
            <w:webHidden/>
          </w:rPr>
        </w:r>
        <w:r w:rsidR="0004037B" w:rsidRPr="00454D31">
          <w:rPr>
            <w:noProof/>
            <w:webHidden/>
          </w:rPr>
          <w:fldChar w:fldCharType="separate"/>
        </w:r>
        <w:r w:rsidR="00DC766F">
          <w:rPr>
            <w:noProof/>
            <w:webHidden/>
          </w:rPr>
          <w:t>13</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185" w:history="1">
        <w:r w:rsidR="00454D31" w:rsidRPr="00454D31">
          <w:rPr>
            <w:rStyle w:val="Hyperlink"/>
            <w:noProof/>
          </w:rPr>
          <w:t>2.3.2.</w:t>
        </w:r>
        <w:r w:rsidR="00454D31" w:rsidRPr="00454D31">
          <w:rPr>
            <w:rFonts w:eastAsiaTheme="minorEastAsia" w:cstheme="minorBidi"/>
            <w:noProof/>
            <w:sz w:val="22"/>
            <w:szCs w:val="22"/>
            <w:lang w:eastAsia="hr-HR"/>
          </w:rPr>
          <w:tab/>
        </w:r>
        <w:r w:rsidR="00454D31" w:rsidRPr="00454D31">
          <w:rPr>
            <w:rStyle w:val="Hyperlink"/>
            <w:noProof/>
          </w:rPr>
          <w:t xml:space="preserve">EMISIJE </w:t>
        </w:r>
        <w:r w:rsidR="00454D31" w:rsidRPr="00454D31">
          <w:rPr>
            <w:rStyle w:val="Hyperlink"/>
            <w:caps/>
            <w:noProof/>
          </w:rPr>
          <w:t>CO</w:t>
        </w:r>
        <w:r w:rsidR="00454D31" w:rsidRPr="00454D31">
          <w:rPr>
            <w:rStyle w:val="Hyperlink"/>
            <w:caps/>
            <w:noProof/>
            <w:vertAlign w:val="subscript"/>
          </w:rPr>
          <w:t xml:space="preserve">2 </w:t>
        </w:r>
        <w:r w:rsidR="00454D31" w:rsidRPr="00454D31">
          <w:rPr>
            <w:rStyle w:val="Hyperlink"/>
            <w:caps/>
            <w:noProof/>
          </w:rPr>
          <w:t xml:space="preserve"> GRADA ZAGREBA </w:t>
        </w:r>
        <w:r w:rsidR="00454D31" w:rsidRPr="00454D31">
          <w:rPr>
            <w:rStyle w:val="Hyperlink"/>
            <w:noProof/>
          </w:rPr>
          <w:t>ZA SEKTOR ZGRADARSTVA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_Toc254010185 \h </w:instrText>
        </w:r>
        <w:r w:rsidR="0004037B" w:rsidRPr="00454D31">
          <w:rPr>
            <w:noProof/>
            <w:webHidden/>
          </w:rPr>
        </w:r>
        <w:r w:rsidR="0004037B" w:rsidRPr="00454D31">
          <w:rPr>
            <w:noProof/>
            <w:webHidden/>
          </w:rPr>
          <w:fldChar w:fldCharType="separate"/>
        </w:r>
        <w:r w:rsidR="00DC766F">
          <w:rPr>
            <w:noProof/>
            <w:webHidden/>
          </w:rPr>
          <w:t>14</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186" w:history="1">
        <w:r w:rsidR="00454D31" w:rsidRPr="00454D31">
          <w:rPr>
            <w:rStyle w:val="Hyperlink"/>
            <w:noProof/>
          </w:rPr>
          <w:t>2.3.3.</w:t>
        </w:r>
        <w:r w:rsidR="00454D31" w:rsidRPr="00454D31">
          <w:rPr>
            <w:rFonts w:eastAsiaTheme="minorEastAsia" w:cstheme="minorBidi"/>
            <w:noProof/>
            <w:sz w:val="22"/>
            <w:szCs w:val="22"/>
            <w:lang w:eastAsia="hr-HR"/>
          </w:rPr>
          <w:tab/>
        </w:r>
        <w:r w:rsidR="00454D31" w:rsidRPr="00454D31">
          <w:rPr>
            <w:rStyle w:val="Hyperlink"/>
            <w:noProof/>
          </w:rPr>
          <w:t>EMISIJE CO</w:t>
        </w:r>
        <w:r w:rsidR="00454D31" w:rsidRPr="00454D31">
          <w:rPr>
            <w:rStyle w:val="Hyperlink"/>
            <w:noProof/>
            <w:vertAlign w:val="subscript"/>
          </w:rPr>
          <w:t>2</w:t>
        </w:r>
        <w:r w:rsidR="00454D31" w:rsidRPr="00454D31">
          <w:rPr>
            <w:rStyle w:val="Hyperlink"/>
            <w:noProof/>
          </w:rPr>
          <w:t xml:space="preserve"> IZ SEKTORA PROMETA GRADA ZAGREBA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_Toc254010186 \h </w:instrText>
        </w:r>
        <w:r w:rsidR="0004037B" w:rsidRPr="00454D31">
          <w:rPr>
            <w:noProof/>
            <w:webHidden/>
          </w:rPr>
        </w:r>
        <w:r w:rsidR="0004037B" w:rsidRPr="00454D31">
          <w:rPr>
            <w:noProof/>
            <w:webHidden/>
          </w:rPr>
          <w:fldChar w:fldCharType="separate"/>
        </w:r>
        <w:r w:rsidR="00DC766F">
          <w:rPr>
            <w:noProof/>
            <w:webHidden/>
          </w:rPr>
          <w:t>15</w:t>
        </w:r>
        <w:r w:rsidR="0004037B" w:rsidRPr="00454D31">
          <w:rPr>
            <w:noProof/>
            <w:webHidden/>
          </w:rPr>
          <w:fldChar w:fldCharType="end"/>
        </w:r>
      </w:hyperlink>
    </w:p>
    <w:p w:rsidR="00454D31" w:rsidRPr="00454D31" w:rsidRDefault="00263443">
      <w:pPr>
        <w:pStyle w:val="TOC4"/>
        <w:rPr>
          <w:rFonts w:eastAsiaTheme="minorEastAsia" w:cstheme="minorBidi"/>
          <w:noProof/>
          <w:sz w:val="22"/>
          <w:szCs w:val="22"/>
          <w:lang w:eastAsia="hr-HR"/>
        </w:rPr>
      </w:pPr>
      <w:hyperlink w:anchor="_Toc254010187" w:history="1">
        <w:r w:rsidR="00454D31" w:rsidRPr="00454D31">
          <w:rPr>
            <w:rStyle w:val="Hyperlink"/>
            <w:noProof/>
          </w:rPr>
          <w:t>2.3.3.1</w:t>
        </w:r>
        <w:r w:rsidR="00454D31" w:rsidRPr="00454D31">
          <w:rPr>
            <w:rFonts w:eastAsiaTheme="minorEastAsia" w:cstheme="minorBidi"/>
            <w:noProof/>
            <w:sz w:val="22"/>
            <w:szCs w:val="22"/>
            <w:lang w:eastAsia="hr-HR"/>
          </w:rPr>
          <w:tab/>
        </w:r>
        <w:r w:rsidR="00454D31" w:rsidRPr="00454D31">
          <w:rPr>
            <w:rStyle w:val="Hyperlink"/>
            <w:noProof/>
          </w:rPr>
          <w:t>Proračun emisije primjenom modela COPERT III</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_Toc254010187 \h </w:instrText>
        </w:r>
        <w:r w:rsidR="0004037B" w:rsidRPr="00454D31">
          <w:rPr>
            <w:noProof/>
            <w:webHidden/>
          </w:rPr>
        </w:r>
        <w:r w:rsidR="0004037B" w:rsidRPr="00454D31">
          <w:rPr>
            <w:noProof/>
            <w:webHidden/>
          </w:rPr>
          <w:fldChar w:fldCharType="separate"/>
        </w:r>
        <w:r w:rsidR="00DC766F">
          <w:rPr>
            <w:noProof/>
            <w:webHidden/>
          </w:rPr>
          <w:t>15</w:t>
        </w:r>
        <w:r w:rsidR="0004037B" w:rsidRPr="00454D31">
          <w:rPr>
            <w:noProof/>
            <w:webHidden/>
          </w:rPr>
          <w:fldChar w:fldCharType="end"/>
        </w:r>
      </w:hyperlink>
    </w:p>
    <w:p w:rsidR="00454D31" w:rsidRPr="00454D31" w:rsidRDefault="00263443">
      <w:pPr>
        <w:pStyle w:val="TOC4"/>
        <w:rPr>
          <w:rFonts w:eastAsiaTheme="minorEastAsia" w:cstheme="minorBidi"/>
          <w:noProof/>
          <w:sz w:val="22"/>
          <w:szCs w:val="22"/>
          <w:lang w:eastAsia="hr-HR"/>
        </w:rPr>
      </w:pPr>
      <w:hyperlink w:anchor="_Toc254010188" w:history="1">
        <w:r w:rsidR="00454D31" w:rsidRPr="00454D31">
          <w:rPr>
            <w:rStyle w:val="Hyperlink"/>
            <w:noProof/>
          </w:rPr>
          <w:t>2.3.3.2</w:t>
        </w:r>
        <w:r w:rsidR="00454D31" w:rsidRPr="00454D31">
          <w:rPr>
            <w:rFonts w:eastAsiaTheme="minorEastAsia" w:cstheme="minorBidi"/>
            <w:noProof/>
            <w:sz w:val="22"/>
            <w:szCs w:val="22"/>
            <w:lang w:eastAsia="hr-HR"/>
          </w:rPr>
          <w:tab/>
        </w:r>
        <w:r w:rsidR="00454D31" w:rsidRPr="00454D31">
          <w:rPr>
            <w:rStyle w:val="Hyperlink"/>
            <w:noProof/>
          </w:rPr>
          <w:t>Emisije CO</w:t>
        </w:r>
        <w:r w:rsidR="00454D31" w:rsidRPr="00454D31">
          <w:rPr>
            <w:rStyle w:val="Hyperlink"/>
            <w:noProof/>
            <w:vertAlign w:val="subscript"/>
          </w:rPr>
          <w:t>2</w:t>
        </w:r>
        <w:r w:rsidR="00454D31" w:rsidRPr="00454D31">
          <w:rPr>
            <w:rStyle w:val="Hyperlink"/>
            <w:noProof/>
          </w:rPr>
          <w:t xml:space="preserve"> iz podsektora vozila u vlasništvu Grada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_Toc254010188 \h </w:instrText>
        </w:r>
        <w:r w:rsidR="0004037B" w:rsidRPr="00454D31">
          <w:rPr>
            <w:noProof/>
            <w:webHidden/>
          </w:rPr>
        </w:r>
        <w:r w:rsidR="0004037B" w:rsidRPr="00454D31">
          <w:rPr>
            <w:noProof/>
            <w:webHidden/>
          </w:rPr>
          <w:fldChar w:fldCharType="separate"/>
        </w:r>
        <w:r w:rsidR="00DC766F">
          <w:rPr>
            <w:noProof/>
            <w:webHidden/>
          </w:rPr>
          <w:t>19</w:t>
        </w:r>
        <w:r w:rsidR="0004037B" w:rsidRPr="00454D31">
          <w:rPr>
            <w:noProof/>
            <w:webHidden/>
          </w:rPr>
          <w:fldChar w:fldCharType="end"/>
        </w:r>
      </w:hyperlink>
    </w:p>
    <w:p w:rsidR="00454D31" w:rsidRPr="00454D31" w:rsidRDefault="00263443">
      <w:pPr>
        <w:pStyle w:val="TOC4"/>
        <w:rPr>
          <w:rFonts w:eastAsiaTheme="minorEastAsia" w:cstheme="minorBidi"/>
          <w:noProof/>
          <w:sz w:val="22"/>
          <w:szCs w:val="22"/>
          <w:lang w:eastAsia="hr-HR"/>
        </w:rPr>
      </w:pPr>
      <w:hyperlink w:anchor="_Toc254010189" w:history="1">
        <w:r w:rsidR="00454D31" w:rsidRPr="00454D31">
          <w:rPr>
            <w:rStyle w:val="Hyperlink"/>
            <w:noProof/>
          </w:rPr>
          <w:t>2.3.3.3</w:t>
        </w:r>
        <w:r w:rsidR="00454D31" w:rsidRPr="00454D31">
          <w:rPr>
            <w:rFonts w:eastAsiaTheme="minorEastAsia" w:cstheme="minorBidi"/>
            <w:noProof/>
            <w:sz w:val="22"/>
            <w:szCs w:val="22"/>
            <w:lang w:eastAsia="hr-HR"/>
          </w:rPr>
          <w:tab/>
        </w:r>
        <w:r w:rsidR="00454D31" w:rsidRPr="00454D31">
          <w:rPr>
            <w:rStyle w:val="Hyperlink"/>
            <w:noProof/>
          </w:rPr>
          <w:t>Emisije CO</w:t>
        </w:r>
        <w:r w:rsidR="00454D31" w:rsidRPr="00454D31">
          <w:rPr>
            <w:rStyle w:val="Hyperlink"/>
            <w:noProof/>
            <w:vertAlign w:val="subscript"/>
          </w:rPr>
          <w:t>2</w:t>
        </w:r>
        <w:r w:rsidR="00454D31" w:rsidRPr="00454D31">
          <w:rPr>
            <w:rStyle w:val="Hyperlink"/>
            <w:noProof/>
          </w:rPr>
          <w:t xml:space="preserve"> iz podsektora javni gradski prijevoz</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_Toc254010189 \h </w:instrText>
        </w:r>
        <w:r w:rsidR="0004037B" w:rsidRPr="00454D31">
          <w:rPr>
            <w:noProof/>
            <w:webHidden/>
          </w:rPr>
        </w:r>
        <w:r w:rsidR="0004037B" w:rsidRPr="00454D31">
          <w:rPr>
            <w:noProof/>
            <w:webHidden/>
          </w:rPr>
          <w:fldChar w:fldCharType="separate"/>
        </w:r>
        <w:r w:rsidR="00DC766F">
          <w:rPr>
            <w:noProof/>
            <w:webHidden/>
          </w:rPr>
          <w:t>22</w:t>
        </w:r>
        <w:r w:rsidR="0004037B" w:rsidRPr="00454D31">
          <w:rPr>
            <w:noProof/>
            <w:webHidden/>
          </w:rPr>
          <w:fldChar w:fldCharType="end"/>
        </w:r>
      </w:hyperlink>
    </w:p>
    <w:p w:rsidR="00454D31" w:rsidRPr="00454D31" w:rsidRDefault="00263443">
      <w:pPr>
        <w:pStyle w:val="TOC4"/>
        <w:rPr>
          <w:rFonts w:eastAsiaTheme="minorEastAsia" w:cstheme="minorBidi"/>
          <w:noProof/>
          <w:sz w:val="22"/>
          <w:szCs w:val="22"/>
          <w:lang w:eastAsia="hr-HR"/>
        </w:rPr>
      </w:pPr>
      <w:hyperlink w:anchor="_Toc254010190" w:history="1">
        <w:r w:rsidR="00454D31" w:rsidRPr="00454D31">
          <w:rPr>
            <w:rStyle w:val="Hyperlink"/>
            <w:noProof/>
          </w:rPr>
          <w:t>2.3.3.4</w:t>
        </w:r>
        <w:r w:rsidR="00454D31" w:rsidRPr="00454D31">
          <w:rPr>
            <w:rFonts w:eastAsiaTheme="minorEastAsia" w:cstheme="minorBidi"/>
            <w:noProof/>
            <w:sz w:val="22"/>
            <w:szCs w:val="22"/>
            <w:lang w:eastAsia="hr-HR"/>
          </w:rPr>
          <w:tab/>
        </w:r>
        <w:r w:rsidR="00454D31" w:rsidRPr="00454D31">
          <w:rPr>
            <w:rStyle w:val="Hyperlink"/>
            <w:noProof/>
          </w:rPr>
          <w:t>Emisije CO</w:t>
        </w:r>
        <w:r w:rsidR="00454D31" w:rsidRPr="00454D31">
          <w:rPr>
            <w:rStyle w:val="Hyperlink"/>
            <w:noProof/>
            <w:vertAlign w:val="subscript"/>
          </w:rPr>
          <w:t>2</w:t>
        </w:r>
        <w:r w:rsidR="00454D31" w:rsidRPr="00454D31">
          <w:rPr>
            <w:rStyle w:val="Hyperlink"/>
            <w:noProof/>
          </w:rPr>
          <w:t xml:space="preserve"> iz podsektora osobna i komercijalna vozila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_Toc254010190 \h </w:instrText>
        </w:r>
        <w:r w:rsidR="0004037B" w:rsidRPr="00454D31">
          <w:rPr>
            <w:noProof/>
            <w:webHidden/>
          </w:rPr>
        </w:r>
        <w:r w:rsidR="0004037B" w:rsidRPr="00454D31">
          <w:rPr>
            <w:noProof/>
            <w:webHidden/>
          </w:rPr>
          <w:fldChar w:fldCharType="separate"/>
        </w:r>
        <w:r w:rsidR="00DC766F">
          <w:rPr>
            <w:noProof/>
            <w:webHidden/>
          </w:rPr>
          <w:t>25</w:t>
        </w:r>
        <w:r w:rsidR="0004037B" w:rsidRPr="00454D31">
          <w:rPr>
            <w:noProof/>
            <w:webHidden/>
          </w:rPr>
          <w:fldChar w:fldCharType="end"/>
        </w:r>
      </w:hyperlink>
    </w:p>
    <w:p w:rsidR="00454D31" w:rsidRPr="00454D31" w:rsidRDefault="00263443">
      <w:pPr>
        <w:pStyle w:val="TOC4"/>
        <w:rPr>
          <w:rFonts w:eastAsiaTheme="minorEastAsia" w:cstheme="minorBidi"/>
          <w:noProof/>
          <w:sz w:val="22"/>
          <w:szCs w:val="22"/>
          <w:lang w:eastAsia="hr-HR"/>
        </w:rPr>
      </w:pPr>
      <w:hyperlink w:anchor="_Toc254010191" w:history="1">
        <w:r w:rsidR="00454D31" w:rsidRPr="00454D31">
          <w:rPr>
            <w:rStyle w:val="Hyperlink"/>
            <w:noProof/>
          </w:rPr>
          <w:t>2.3.3.5</w:t>
        </w:r>
        <w:r w:rsidR="00454D31" w:rsidRPr="00454D31">
          <w:rPr>
            <w:rFonts w:eastAsiaTheme="minorEastAsia" w:cstheme="minorBidi"/>
            <w:noProof/>
            <w:sz w:val="22"/>
            <w:szCs w:val="22"/>
            <w:lang w:eastAsia="hr-HR"/>
          </w:rPr>
          <w:tab/>
        </w:r>
        <w:r w:rsidR="00454D31" w:rsidRPr="00454D31">
          <w:rPr>
            <w:rStyle w:val="Hyperlink"/>
            <w:noProof/>
          </w:rPr>
          <w:t>Kontrolna analiza potrošnje goriva cestovnog prometa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_Toc254010191 \h </w:instrText>
        </w:r>
        <w:r w:rsidR="0004037B" w:rsidRPr="00454D31">
          <w:rPr>
            <w:noProof/>
            <w:webHidden/>
          </w:rPr>
        </w:r>
        <w:r w:rsidR="0004037B" w:rsidRPr="00454D31">
          <w:rPr>
            <w:noProof/>
            <w:webHidden/>
          </w:rPr>
          <w:fldChar w:fldCharType="separate"/>
        </w:r>
        <w:r w:rsidR="00DC766F">
          <w:rPr>
            <w:noProof/>
            <w:webHidden/>
          </w:rPr>
          <w:t>30</w:t>
        </w:r>
        <w:r w:rsidR="0004037B" w:rsidRPr="00454D31">
          <w:rPr>
            <w:noProof/>
            <w:webHidden/>
          </w:rPr>
          <w:fldChar w:fldCharType="end"/>
        </w:r>
      </w:hyperlink>
    </w:p>
    <w:p w:rsidR="00454D31" w:rsidRPr="00454D31" w:rsidRDefault="00263443">
      <w:pPr>
        <w:pStyle w:val="TOC4"/>
        <w:rPr>
          <w:rFonts w:eastAsiaTheme="minorEastAsia" w:cstheme="minorBidi"/>
          <w:noProof/>
          <w:sz w:val="22"/>
          <w:szCs w:val="22"/>
          <w:lang w:eastAsia="hr-HR"/>
        </w:rPr>
      </w:pPr>
      <w:hyperlink w:anchor="_Toc254010192" w:history="1">
        <w:r w:rsidR="00454D31" w:rsidRPr="00454D31">
          <w:rPr>
            <w:rStyle w:val="Hyperlink"/>
            <w:noProof/>
          </w:rPr>
          <w:t>2.3.3.6</w:t>
        </w:r>
        <w:r w:rsidR="00454D31" w:rsidRPr="00454D31">
          <w:rPr>
            <w:rFonts w:eastAsiaTheme="minorEastAsia" w:cstheme="minorBidi"/>
            <w:noProof/>
            <w:sz w:val="22"/>
            <w:szCs w:val="22"/>
            <w:lang w:eastAsia="hr-HR"/>
          </w:rPr>
          <w:tab/>
        </w:r>
        <w:r w:rsidR="00454D31" w:rsidRPr="00454D31">
          <w:rPr>
            <w:rStyle w:val="Hyperlink"/>
            <w:noProof/>
          </w:rPr>
          <w:t>Pregled ukupnih emisija CO</w:t>
        </w:r>
        <w:r w:rsidR="00454D31" w:rsidRPr="00454D31">
          <w:rPr>
            <w:rStyle w:val="Hyperlink"/>
            <w:noProof/>
            <w:vertAlign w:val="subscript"/>
          </w:rPr>
          <w:t xml:space="preserve">2 </w:t>
        </w:r>
        <w:r w:rsidR="00454D31" w:rsidRPr="00454D31">
          <w:rPr>
            <w:rStyle w:val="Hyperlink"/>
            <w:noProof/>
          </w:rPr>
          <w:t xml:space="preserve"> i ekvivalenta CO</w:t>
        </w:r>
        <w:r w:rsidR="00454D31" w:rsidRPr="00454D31">
          <w:rPr>
            <w:rStyle w:val="Hyperlink"/>
            <w:noProof/>
            <w:vertAlign w:val="subscript"/>
          </w:rPr>
          <w:t>2</w:t>
        </w:r>
        <w:r w:rsidR="00454D31" w:rsidRPr="00454D31">
          <w:rPr>
            <w:rStyle w:val="Hyperlink"/>
            <w:noProof/>
          </w:rPr>
          <w:t xml:space="preserve"> podsektora osobnih i komercijalnih vozila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_Toc254010192 \h </w:instrText>
        </w:r>
        <w:r w:rsidR="0004037B" w:rsidRPr="00454D31">
          <w:rPr>
            <w:noProof/>
            <w:webHidden/>
          </w:rPr>
        </w:r>
        <w:r w:rsidR="0004037B" w:rsidRPr="00454D31">
          <w:rPr>
            <w:noProof/>
            <w:webHidden/>
          </w:rPr>
          <w:fldChar w:fldCharType="separate"/>
        </w:r>
        <w:r w:rsidR="00DC766F">
          <w:rPr>
            <w:noProof/>
            <w:webHidden/>
          </w:rPr>
          <w:t>31</w:t>
        </w:r>
        <w:r w:rsidR="0004037B" w:rsidRPr="00454D31">
          <w:rPr>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193" w:history="1">
        <w:r w:rsidR="00454D31" w:rsidRPr="00454D31">
          <w:rPr>
            <w:rStyle w:val="Hyperlink"/>
            <w:noProof/>
          </w:rPr>
          <w:t>2.4.</w:t>
        </w:r>
        <w:r w:rsidR="00454D31" w:rsidRPr="00454D31">
          <w:rPr>
            <w:rFonts w:eastAsiaTheme="minorEastAsia" w:cstheme="minorBidi"/>
            <w:b w:val="0"/>
            <w:bCs w:val="0"/>
            <w:noProof/>
            <w:sz w:val="22"/>
            <w:szCs w:val="22"/>
            <w:lang w:eastAsia="hr-HR"/>
          </w:rPr>
          <w:tab/>
        </w:r>
        <w:r w:rsidR="00454D31" w:rsidRPr="00454D31">
          <w:rPr>
            <w:rStyle w:val="Hyperlink"/>
            <w:noProof/>
          </w:rPr>
          <w:t>PRIKAZ UKUPNE POTROŠNJE ENERGENATA I EMISIJA INVENTARA U GRADU ZAGREBU</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_Toc254010193 \h </w:instrText>
        </w:r>
        <w:r w:rsidR="0004037B" w:rsidRPr="00454D31">
          <w:rPr>
            <w:noProof/>
            <w:webHidden/>
          </w:rPr>
        </w:r>
        <w:r w:rsidR="0004037B" w:rsidRPr="00454D31">
          <w:rPr>
            <w:noProof/>
            <w:webHidden/>
          </w:rPr>
          <w:fldChar w:fldCharType="separate"/>
        </w:r>
        <w:r w:rsidR="00DC766F">
          <w:rPr>
            <w:noProof/>
            <w:webHidden/>
          </w:rPr>
          <w:t>32</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194" w:history="1">
        <w:r w:rsidR="00454D31" w:rsidRPr="00454D31">
          <w:rPr>
            <w:rStyle w:val="Hyperlink"/>
            <w:noProof/>
          </w:rPr>
          <w:t>2.4.1.</w:t>
        </w:r>
        <w:r w:rsidR="00454D31" w:rsidRPr="00454D31">
          <w:rPr>
            <w:rFonts w:eastAsiaTheme="minorEastAsia" w:cstheme="minorBidi"/>
            <w:noProof/>
            <w:sz w:val="22"/>
            <w:szCs w:val="22"/>
            <w:lang w:eastAsia="hr-HR"/>
          </w:rPr>
          <w:tab/>
        </w:r>
        <w:r w:rsidR="00454D31" w:rsidRPr="00454D31">
          <w:rPr>
            <w:rStyle w:val="Hyperlink"/>
            <w:noProof/>
          </w:rPr>
          <w:t>PREGLED UKUPNE POTROŠNJE ENERGIJE</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_Toc254010194 \h </w:instrText>
        </w:r>
        <w:r w:rsidR="0004037B" w:rsidRPr="00454D31">
          <w:rPr>
            <w:noProof/>
            <w:webHidden/>
          </w:rPr>
        </w:r>
        <w:r w:rsidR="0004037B" w:rsidRPr="00454D31">
          <w:rPr>
            <w:noProof/>
            <w:webHidden/>
          </w:rPr>
          <w:fldChar w:fldCharType="separate"/>
        </w:r>
        <w:r w:rsidR="00DC766F">
          <w:rPr>
            <w:noProof/>
            <w:webHidden/>
          </w:rPr>
          <w:t>32</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195" w:history="1">
        <w:r w:rsidR="00454D31" w:rsidRPr="00454D31">
          <w:rPr>
            <w:rStyle w:val="Hyperlink"/>
            <w:noProof/>
          </w:rPr>
          <w:t>2.4.2.</w:t>
        </w:r>
        <w:r w:rsidR="00454D31" w:rsidRPr="00454D31">
          <w:rPr>
            <w:rFonts w:eastAsiaTheme="minorEastAsia" w:cstheme="minorBidi"/>
            <w:noProof/>
            <w:sz w:val="22"/>
            <w:szCs w:val="22"/>
            <w:lang w:eastAsia="hr-HR"/>
          </w:rPr>
          <w:tab/>
        </w:r>
        <w:r w:rsidR="00454D31" w:rsidRPr="00454D31">
          <w:rPr>
            <w:rStyle w:val="Hyperlink"/>
            <w:noProof/>
          </w:rPr>
          <w:t>PREGLED UKUPNE EMISIJE CO</w:t>
        </w:r>
        <w:r w:rsidR="00454D31" w:rsidRPr="00454D31">
          <w:rPr>
            <w:rStyle w:val="Hyperlink"/>
            <w:noProof/>
            <w:vertAlign w:val="subscript"/>
          </w:rPr>
          <w:t>2</w:t>
        </w:r>
        <w:r w:rsidR="00454D31" w:rsidRPr="00454D31">
          <w:rPr>
            <w:rStyle w:val="Hyperlink"/>
            <w:noProof/>
          </w:rPr>
          <w:t xml:space="preserve"> INVENTARA GRADA ZAGREBA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_Toc254010195 \h </w:instrText>
        </w:r>
        <w:r w:rsidR="0004037B" w:rsidRPr="00454D31">
          <w:rPr>
            <w:noProof/>
            <w:webHidden/>
          </w:rPr>
        </w:r>
        <w:r w:rsidR="0004037B" w:rsidRPr="00454D31">
          <w:rPr>
            <w:noProof/>
            <w:webHidden/>
          </w:rPr>
          <w:fldChar w:fldCharType="separate"/>
        </w:r>
        <w:r w:rsidR="00DC766F">
          <w:rPr>
            <w:noProof/>
            <w:webHidden/>
          </w:rPr>
          <w:t>34</w:t>
        </w:r>
        <w:r w:rsidR="0004037B" w:rsidRPr="00454D31">
          <w:rPr>
            <w:noProof/>
            <w:webHidden/>
          </w:rPr>
          <w:fldChar w:fldCharType="end"/>
        </w:r>
      </w:hyperlink>
    </w:p>
    <w:p w:rsidR="00454D31" w:rsidRPr="00454D31" w:rsidRDefault="00263443">
      <w:pPr>
        <w:pStyle w:val="TOC1"/>
        <w:tabs>
          <w:tab w:val="left" w:pos="420"/>
          <w:tab w:val="right" w:leader="dot" w:pos="9063"/>
        </w:tabs>
        <w:rPr>
          <w:rFonts w:ascii="Calibri" w:eastAsiaTheme="minorEastAsia" w:hAnsi="Calibri" w:cstheme="minorBidi"/>
          <w:b w:val="0"/>
          <w:bCs w:val="0"/>
          <w:caps w:val="0"/>
          <w:noProof/>
          <w:sz w:val="22"/>
          <w:szCs w:val="22"/>
          <w:lang w:eastAsia="hr-HR"/>
        </w:rPr>
      </w:pPr>
      <w:hyperlink w:anchor="_Toc254010196" w:history="1">
        <w:r w:rsidR="00454D31" w:rsidRPr="00454D31">
          <w:rPr>
            <w:rStyle w:val="Hyperlink"/>
            <w:rFonts w:ascii="Calibri" w:hAnsi="Calibri"/>
            <w:noProof/>
          </w:rPr>
          <w:t>3.</w:t>
        </w:r>
        <w:r w:rsidR="00454D31" w:rsidRPr="00454D31">
          <w:rPr>
            <w:rFonts w:ascii="Calibri" w:eastAsiaTheme="minorEastAsia" w:hAnsi="Calibri" w:cstheme="minorBidi"/>
            <w:b w:val="0"/>
            <w:bCs w:val="0"/>
            <w:caps w:val="0"/>
            <w:noProof/>
            <w:sz w:val="22"/>
            <w:szCs w:val="22"/>
            <w:lang w:eastAsia="hr-HR"/>
          </w:rPr>
          <w:tab/>
        </w:r>
        <w:r w:rsidR="00454D31" w:rsidRPr="00454D31">
          <w:rPr>
            <w:rStyle w:val="Hyperlink"/>
            <w:rFonts w:ascii="Calibri" w:hAnsi="Calibri"/>
            <w:noProof/>
          </w:rPr>
          <w:t>ODREĐIVANJE CILJA SMANJENJA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U SEKTORIMA JAVNE RASVJETE, ZGRADARSTVA I PROMETA DO 2020. GODINE</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_Toc254010196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37</w:t>
        </w:r>
        <w:r w:rsidR="0004037B" w:rsidRPr="00454D31">
          <w:rPr>
            <w:rFonts w:ascii="Calibri" w:hAnsi="Calibri"/>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197" w:history="1">
        <w:r w:rsidR="00454D31" w:rsidRPr="00454D31">
          <w:rPr>
            <w:rStyle w:val="Hyperlink"/>
            <w:noProof/>
          </w:rPr>
          <w:t>3.1.</w:t>
        </w:r>
        <w:r w:rsidR="00454D31" w:rsidRPr="00454D31">
          <w:rPr>
            <w:rFonts w:eastAsiaTheme="minorEastAsia" w:cstheme="minorBidi"/>
            <w:b w:val="0"/>
            <w:bCs w:val="0"/>
            <w:noProof/>
            <w:sz w:val="22"/>
            <w:szCs w:val="22"/>
            <w:lang w:eastAsia="hr-HR"/>
          </w:rPr>
          <w:tab/>
        </w:r>
        <w:r w:rsidR="00454D31" w:rsidRPr="00454D31">
          <w:rPr>
            <w:rStyle w:val="Hyperlink"/>
            <w:noProof/>
          </w:rPr>
          <w:t>PROJEKCIJE EMISIJA CO</w:t>
        </w:r>
        <w:r w:rsidR="00454D31" w:rsidRPr="00454D31">
          <w:rPr>
            <w:rStyle w:val="Hyperlink"/>
            <w:noProof/>
            <w:vertAlign w:val="subscript"/>
          </w:rPr>
          <w:t>2</w:t>
        </w:r>
        <w:r w:rsidR="00454D31" w:rsidRPr="00454D31">
          <w:rPr>
            <w:rStyle w:val="Hyperlink"/>
            <w:noProof/>
          </w:rPr>
          <w:t xml:space="preserve"> SEKTORA JAVNA RASVJETA DO 2020. GODINE</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_Toc254010197 \h </w:instrText>
        </w:r>
        <w:r w:rsidR="0004037B" w:rsidRPr="00454D31">
          <w:rPr>
            <w:noProof/>
            <w:webHidden/>
          </w:rPr>
        </w:r>
        <w:r w:rsidR="0004037B" w:rsidRPr="00454D31">
          <w:rPr>
            <w:noProof/>
            <w:webHidden/>
          </w:rPr>
          <w:fldChar w:fldCharType="separate"/>
        </w:r>
        <w:r w:rsidR="00DC766F">
          <w:rPr>
            <w:noProof/>
            <w:webHidden/>
          </w:rPr>
          <w:t>37</w:t>
        </w:r>
        <w:r w:rsidR="0004037B" w:rsidRPr="00454D31">
          <w:rPr>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198" w:history="1">
        <w:r w:rsidR="00454D31" w:rsidRPr="00454D31">
          <w:rPr>
            <w:rStyle w:val="Hyperlink"/>
            <w:noProof/>
          </w:rPr>
          <w:t>3.2.</w:t>
        </w:r>
        <w:r w:rsidR="00454D31" w:rsidRPr="00454D31">
          <w:rPr>
            <w:rFonts w:eastAsiaTheme="minorEastAsia" w:cstheme="minorBidi"/>
            <w:b w:val="0"/>
            <w:bCs w:val="0"/>
            <w:noProof/>
            <w:sz w:val="22"/>
            <w:szCs w:val="22"/>
            <w:lang w:eastAsia="hr-HR"/>
          </w:rPr>
          <w:tab/>
        </w:r>
        <w:r w:rsidR="00454D31" w:rsidRPr="00454D31">
          <w:rPr>
            <w:rStyle w:val="Hyperlink"/>
            <w:noProof/>
          </w:rPr>
          <w:t>PROJEKCIJA EMISIJA CO</w:t>
        </w:r>
        <w:r w:rsidR="00454D31" w:rsidRPr="00454D31">
          <w:rPr>
            <w:rStyle w:val="Hyperlink"/>
            <w:noProof/>
            <w:vertAlign w:val="subscript"/>
          </w:rPr>
          <w:t>2</w:t>
        </w:r>
        <w:r w:rsidR="00454D31" w:rsidRPr="00454D31">
          <w:rPr>
            <w:rStyle w:val="Hyperlink"/>
            <w:noProof/>
          </w:rPr>
          <w:t xml:space="preserve"> SEKTORA ZGRADARSTVO</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_Toc254010198 \h </w:instrText>
        </w:r>
        <w:r w:rsidR="0004037B" w:rsidRPr="00454D31">
          <w:rPr>
            <w:noProof/>
            <w:webHidden/>
          </w:rPr>
        </w:r>
        <w:r w:rsidR="0004037B" w:rsidRPr="00454D31">
          <w:rPr>
            <w:noProof/>
            <w:webHidden/>
          </w:rPr>
          <w:fldChar w:fldCharType="separate"/>
        </w:r>
        <w:r w:rsidR="00DC766F">
          <w:rPr>
            <w:noProof/>
            <w:webHidden/>
          </w:rPr>
          <w:t>39</w:t>
        </w:r>
        <w:r w:rsidR="0004037B" w:rsidRPr="00454D31">
          <w:rPr>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199" w:history="1">
        <w:r w:rsidR="00454D31" w:rsidRPr="00454D31">
          <w:rPr>
            <w:rStyle w:val="Hyperlink"/>
            <w:noProof/>
          </w:rPr>
          <w:t>3.3.</w:t>
        </w:r>
        <w:r w:rsidR="00454D31" w:rsidRPr="00454D31">
          <w:rPr>
            <w:rFonts w:eastAsiaTheme="minorEastAsia" w:cstheme="minorBidi"/>
            <w:b w:val="0"/>
            <w:bCs w:val="0"/>
            <w:noProof/>
            <w:sz w:val="22"/>
            <w:szCs w:val="22"/>
            <w:lang w:eastAsia="hr-HR"/>
          </w:rPr>
          <w:tab/>
        </w:r>
        <w:r w:rsidR="00454D31" w:rsidRPr="00454D31">
          <w:rPr>
            <w:rStyle w:val="Hyperlink"/>
            <w:noProof/>
          </w:rPr>
          <w:t>PROJEKCIJA EMISIJA CO</w:t>
        </w:r>
        <w:r w:rsidR="00454D31" w:rsidRPr="00454D31">
          <w:rPr>
            <w:rStyle w:val="Hyperlink"/>
            <w:noProof/>
            <w:vertAlign w:val="subscript"/>
          </w:rPr>
          <w:t>2</w:t>
        </w:r>
        <w:r w:rsidR="00454D31" w:rsidRPr="00454D31">
          <w:rPr>
            <w:rStyle w:val="Hyperlink"/>
            <w:noProof/>
          </w:rPr>
          <w:t xml:space="preserve"> SEKTORA PROMET</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_Toc254010199 \h </w:instrText>
        </w:r>
        <w:r w:rsidR="0004037B" w:rsidRPr="00454D31">
          <w:rPr>
            <w:noProof/>
            <w:webHidden/>
          </w:rPr>
        </w:r>
        <w:r w:rsidR="0004037B" w:rsidRPr="00454D31">
          <w:rPr>
            <w:noProof/>
            <w:webHidden/>
          </w:rPr>
          <w:fldChar w:fldCharType="separate"/>
        </w:r>
        <w:r w:rsidR="00DC766F">
          <w:rPr>
            <w:noProof/>
            <w:webHidden/>
          </w:rPr>
          <w:t>45</w:t>
        </w:r>
        <w:r w:rsidR="0004037B" w:rsidRPr="00454D31">
          <w:rPr>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200" w:history="1">
        <w:r w:rsidR="00454D31" w:rsidRPr="00454D31">
          <w:rPr>
            <w:rStyle w:val="Hyperlink"/>
            <w:noProof/>
          </w:rPr>
          <w:t>3.4.</w:t>
        </w:r>
        <w:r w:rsidR="00454D31" w:rsidRPr="00454D31">
          <w:rPr>
            <w:rFonts w:eastAsiaTheme="minorEastAsia" w:cstheme="minorBidi"/>
            <w:b w:val="0"/>
            <w:bCs w:val="0"/>
            <w:noProof/>
            <w:sz w:val="22"/>
            <w:szCs w:val="22"/>
            <w:lang w:eastAsia="hr-HR"/>
          </w:rPr>
          <w:tab/>
        </w:r>
        <w:r w:rsidR="00454D31" w:rsidRPr="00454D31">
          <w:rPr>
            <w:rStyle w:val="Hyperlink"/>
            <w:noProof/>
          </w:rPr>
          <w:t>UKUPNE PROJEKCIJE EMISIJE CO</w:t>
        </w:r>
        <w:r w:rsidR="00454D31" w:rsidRPr="00454D31">
          <w:rPr>
            <w:rStyle w:val="Hyperlink"/>
            <w:noProof/>
            <w:vertAlign w:val="subscript"/>
          </w:rPr>
          <w:t>2</w:t>
        </w:r>
        <w:r w:rsidR="00454D31" w:rsidRPr="00454D31">
          <w:rPr>
            <w:rStyle w:val="Hyperlink"/>
            <w:noProof/>
          </w:rPr>
          <w:t xml:space="preserve"> GRADA ZAGREBA U 2020. GODINI</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_Toc254010200 \h </w:instrText>
        </w:r>
        <w:r w:rsidR="0004037B" w:rsidRPr="00454D31">
          <w:rPr>
            <w:noProof/>
            <w:webHidden/>
          </w:rPr>
        </w:r>
        <w:r w:rsidR="0004037B" w:rsidRPr="00454D31">
          <w:rPr>
            <w:noProof/>
            <w:webHidden/>
          </w:rPr>
          <w:fldChar w:fldCharType="separate"/>
        </w:r>
        <w:r w:rsidR="00DC766F">
          <w:rPr>
            <w:noProof/>
            <w:webHidden/>
          </w:rPr>
          <w:t>49</w:t>
        </w:r>
        <w:r w:rsidR="0004037B" w:rsidRPr="00454D31">
          <w:rPr>
            <w:noProof/>
            <w:webHidden/>
          </w:rPr>
          <w:fldChar w:fldCharType="end"/>
        </w:r>
      </w:hyperlink>
    </w:p>
    <w:p w:rsidR="00454D31" w:rsidRPr="00454D31" w:rsidRDefault="00263443">
      <w:pPr>
        <w:pStyle w:val="TOC1"/>
        <w:tabs>
          <w:tab w:val="left" w:pos="420"/>
          <w:tab w:val="right" w:leader="dot" w:pos="9063"/>
        </w:tabs>
        <w:rPr>
          <w:rFonts w:ascii="Calibri" w:eastAsiaTheme="minorEastAsia" w:hAnsi="Calibri" w:cstheme="minorBidi"/>
          <w:b w:val="0"/>
          <w:bCs w:val="0"/>
          <w:caps w:val="0"/>
          <w:noProof/>
          <w:sz w:val="22"/>
          <w:szCs w:val="22"/>
          <w:lang w:eastAsia="hr-HR"/>
        </w:rPr>
      </w:pPr>
      <w:hyperlink w:anchor="_Toc254010201" w:history="1">
        <w:r w:rsidR="00454D31" w:rsidRPr="00454D31">
          <w:rPr>
            <w:rStyle w:val="Hyperlink"/>
            <w:rFonts w:ascii="Calibri" w:hAnsi="Calibri"/>
            <w:noProof/>
          </w:rPr>
          <w:t>4.</w:t>
        </w:r>
        <w:r w:rsidR="00454D31" w:rsidRPr="00454D31">
          <w:rPr>
            <w:rFonts w:ascii="Calibri" w:eastAsiaTheme="minorEastAsia" w:hAnsi="Calibri" w:cstheme="minorBidi"/>
            <w:b w:val="0"/>
            <w:bCs w:val="0"/>
            <w:caps w:val="0"/>
            <w:noProof/>
            <w:sz w:val="22"/>
            <w:szCs w:val="22"/>
            <w:lang w:eastAsia="hr-HR"/>
          </w:rPr>
          <w:tab/>
        </w:r>
        <w:r w:rsidR="00454D31" w:rsidRPr="00454D31">
          <w:rPr>
            <w:rStyle w:val="Hyperlink"/>
            <w:rFonts w:ascii="Calibri" w:hAnsi="Calibri"/>
            <w:noProof/>
          </w:rPr>
          <w:t>Izrada Plana prioritetnih aktivnosti i mjera za smanjenje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po definiranim sektorima do 2020. godine</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_Toc254010201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51</w:t>
        </w:r>
        <w:r w:rsidR="0004037B" w:rsidRPr="00454D31">
          <w:rPr>
            <w:rFonts w:ascii="Calibri" w:hAnsi="Calibri"/>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202" w:history="1">
        <w:r w:rsidR="00454D31" w:rsidRPr="00454D31">
          <w:rPr>
            <w:rStyle w:val="Hyperlink"/>
            <w:noProof/>
          </w:rPr>
          <w:t>4.1.</w:t>
        </w:r>
        <w:r w:rsidR="00454D31" w:rsidRPr="00454D31">
          <w:rPr>
            <w:rFonts w:eastAsiaTheme="minorEastAsia" w:cstheme="minorBidi"/>
            <w:b w:val="0"/>
            <w:bCs w:val="0"/>
            <w:noProof/>
            <w:sz w:val="22"/>
            <w:szCs w:val="22"/>
            <w:lang w:eastAsia="hr-HR"/>
          </w:rPr>
          <w:tab/>
        </w:r>
        <w:r w:rsidR="00454D31" w:rsidRPr="00454D31">
          <w:rPr>
            <w:rStyle w:val="Hyperlink"/>
            <w:noProof/>
          </w:rPr>
          <w:t>MJERE ZA SMANJENJE EMISIJA CO</w:t>
        </w:r>
        <w:r w:rsidR="00454D31" w:rsidRPr="00454D31">
          <w:rPr>
            <w:rStyle w:val="Hyperlink"/>
            <w:noProof/>
            <w:vertAlign w:val="subscript"/>
          </w:rPr>
          <w:t>2</w:t>
        </w:r>
        <w:r w:rsidR="00454D31" w:rsidRPr="00454D31">
          <w:rPr>
            <w:rStyle w:val="Hyperlink"/>
            <w:noProof/>
          </w:rPr>
          <w:t xml:space="preserve"> U SEKTORU ZGRADARSTVA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_Toc254010202 \h </w:instrText>
        </w:r>
        <w:r w:rsidR="0004037B" w:rsidRPr="00454D31">
          <w:rPr>
            <w:noProof/>
            <w:webHidden/>
          </w:rPr>
        </w:r>
        <w:r w:rsidR="0004037B" w:rsidRPr="00454D31">
          <w:rPr>
            <w:noProof/>
            <w:webHidden/>
          </w:rPr>
          <w:fldChar w:fldCharType="separate"/>
        </w:r>
        <w:r w:rsidR="00DC766F">
          <w:rPr>
            <w:noProof/>
            <w:webHidden/>
          </w:rPr>
          <w:t>51</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203" w:history="1">
        <w:r w:rsidR="00454D31" w:rsidRPr="00454D31">
          <w:rPr>
            <w:rStyle w:val="Hyperlink"/>
            <w:noProof/>
          </w:rPr>
          <w:t>4.1.1.</w:t>
        </w:r>
        <w:r w:rsidR="00454D31" w:rsidRPr="00454D31">
          <w:rPr>
            <w:rFonts w:eastAsiaTheme="minorEastAsia" w:cstheme="minorBidi"/>
            <w:noProof/>
            <w:sz w:val="22"/>
            <w:szCs w:val="22"/>
            <w:lang w:eastAsia="hr-HR"/>
          </w:rPr>
          <w:tab/>
        </w:r>
        <w:r w:rsidR="00454D31" w:rsidRPr="00454D31">
          <w:rPr>
            <w:rStyle w:val="Hyperlink"/>
            <w:noProof/>
          </w:rPr>
          <w:t>Promocija, obrazovanje i promjena ponašanja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_Toc254010203 \h </w:instrText>
        </w:r>
        <w:r w:rsidR="0004037B" w:rsidRPr="00454D31">
          <w:rPr>
            <w:noProof/>
            <w:webHidden/>
          </w:rPr>
        </w:r>
        <w:r w:rsidR="0004037B" w:rsidRPr="00454D31">
          <w:rPr>
            <w:noProof/>
            <w:webHidden/>
          </w:rPr>
          <w:fldChar w:fldCharType="separate"/>
        </w:r>
        <w:r w:rsidR="00DC766F">
          <w:rPr>
            <w:noProof/>
            <w:webHidden/>
          </w:rPr>
          <w:t>51</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204" w:history="1">
        <w:r w:rsidR="00454D31" w:rsidRPr="00454D31">
          <w:rPr>
            <w:rStyle w:val="Hyperlink"/>
            <w:noProof/>
          </w:rPr>
          <w:t>4.1.2.</w:t>
        </w:r>
        <w:r w:rsidR="00454D31" w:rsidRPr="00454D31">
          <w:rPr>
            <w:rFonts w:eastAsiaTheme="minorEastAsia" w:cstheme="minorBidi"/>
            <w:noProof/>
            <w:sz w:val="22"/>
            <w:szCs w:val="22"/>
            <w:lang w:eastAsia="hr-HR"/>
          </w:rPr>
          <w:tab/>
        </w:r>
        <w:r w:rsidR="00454D31" w:rsidRPr="00454D31">
          <w:rPr>
            <w:rStyle w:val="Hyperlink"/>
            <w:noProof/>
          </w:rPr>
          <w:t>Zgrade i poduzeća u vlasništvu Grada Zagreba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_Toc254010204 \h </w:instrText>
        </w:r>
        <w:r w:rsidR="0004037B" w:rsidRPr="00454D31">
          <w:rPr>
            <w:noProof/>
            <w:webHidden/>
          </w:rPr>
        </w:r>
        <w:r w:rsidR="0004037B" w:rsidRPr="00454D31">
          <w:rPr>
            <w:noProof/>
            <w:webHidden/>
          </w:rPr>
          <w:fldChar w:fldCharType="separate"/>
        </w:r>
        <w:r w:rsidR="00DC766F">
          <w:rPr>
            <w:noProof/>
            <w:webHidden/>
          </w:rPr>
          <w:t>52</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205" w:history="1">
        <w:r w:rsidR="00454D31" w:rsidRPr="00454D31">
          <w:rPr>
            <w:rStyle w:val="Hyperlink"/>
            <w:noProof/>
          </w:rPr>
          <w:t>4.1.3.</w:t>
        </w:r>
        <w:r w:rsidR="00454D31" w:rsidRPr="00454D31">
          <w:rPr>
            <w:rFonts w:eastAsiaTheme="minorEastAsia" w:cstheme="minorBidi"/>
            <w:noProof/>
            <w:sz w:val="22"/>
            <w:szCs w:val="22"/>
            <w:lang w:eastAsia="hr-HR"/>
          </w:rPr>
          <w:tab/>
        </w:r>
        <w:r w:rsidR="00454D31" w:rsidRPr="00454D31">
          <w:rPr>
            <w:rStyle w:val="Hyperlink"/>
            <w:noProof/>
          </w:rPr>
          <w:t>Stambene zgrade Grada Zagreba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_Toc254010205 \h </w:instrText>
        </w:r>
        <w:r w:rsidR="0004037B" w:rsidRPr="00454D31">
          <w:rPr>
            <w:noProof/>
            <w:webHidden/>
          </w:rPr>
        </w:r>
        <w:r w:rsidR="0004037B" w:rsidRPr="00454D31">
          <w:rPr>
            <w:noProof/>
            <w:webHidden/>
          </w:rPr>
          <w:fldChar w:fldCharType="separate"/>
        </w:r>
        <w:r w:rsidR="00DC766F">
          <w:rPr>
            <w:noProof/>
            <w:webHidden/>
          </w:rPr>
          <w:t>53</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206" w:history="1">
        <w:r w:rsidR="00454D31" w:rsidRPr="00454D31">
          <w:rPr>
            <w:rStyle w:val="Hyperlink"/>
            <w:noProof/>
          </w:rPr>
          <w:t>4.1.4.</w:t>
        </w:r>
        <w:r w:rsidR="00454D31" w:rsidRPr="00454D31">
          <w:rPr>
            <w:rFonts w:eastAsiaTheme="minorEastAsia" w:cstheme="minorBidi"/>
            <w:noProof/>
            <w:sz w:val="22"/>
            <w:szCs w:val="22"/>
            <w:lang w:eastAsia="hr-HR"/>
          </w:rPr>
          <w:tab/>
        </w:r>
        <w:r w:rsidR="00454D31" w:rsidRPr="00454D31">
          <w:rPr>
            <w:rStyle w:val="Hyperlink"/>
            <w:noProof/>
          </w:rPr>
          <w:t>Zgrade komercijalnih i uslužnih djelatnosti</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_Toc254010206 \h </w:instrText>
        </w:r>
        <w:r w:rsidR="0004037B" w:rsidRPr="00454D31">
          <w:rPr>
            <w:noProof/>
            <w:webHidden/>
          </w:rPr>
        </w:r>
        <w:r w:rsidR="0004037B" w:rsidRPr="00454D31">
          <w:rPr>
            <w:noProof/>
            <w:webHidden/>
          </w:rPr>
          <w:fldChar w:fldCharType="separate"/>
        </w:r>
        <w:r w:rsidR="00DC766F">
          <w:rPr>
            <w:noProof/>
            <w:webHidden/>
          </w:rPr>
          <w:t>54</w:t>
        </w:r>
        <w:r w:rsidR="0004037B" w:rsidRPr="00454D31">
          <w:rPr>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207" w:history="1">
        <w:r w:rsidR="00454D31" w:rsidRPr="00454D31">
          <w:rPr>
            <w:rStyle w:val="Hyperlink"/>
            <w:noProof/>
          </w:rPr>
          <w:t>4.2.</w:t>
        </w:r>
        <w:r w:rsidR="00454D31" w:rsidRPr="00454D31">
          <w:rPr>
            <w:rFonts w:eastAsiaTheme="minorEastAsia" w:cstheme="minorBidi"/>
            <w:b w:val="0"/>
            <w:bCs w:val="0"/>
            <w:noProof/>
            <w:sz w:val="22"/>
            <w:szCs w:val="22"/>
            <w:lang w:eastAsia="hr-HR"/>
          </w:rPr>
          <w:tab/>
        </w:r>
        <w:r w:rsidR="00454D31" w:rsidRPr="00454D31">
          <w:rPr>
            <w:rStyle w:val="Hyperlink"/>
            <w:noProof/>
          </w:rPr>
          <w:t>MJERE ZA SMANJENJE EMISIJA CO</w:t>
        </w:r>
        <w:r w:rsidR="00454D31" w:rsidRPr="00454D31">
          <w:rPr>
            <w:rStyle w:val="Hyperlink"/>
            <w:noProof/>
            <w:vertAlign w:val="subscript"/>
          </w:rPr>
          <w:t>2</w:t>
        </w:r>
        <w:r w:rsidR="00454D31" w:rsidRPr="00454D31">
          <w:rPr>
            <w:rStyle w:val="Hyperlink"/>
            <w:noProof/>
          </w:rPr>
          <w:t xml:space="preserve"> U SEKTORU PROMETA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_Toc254010207 \h </w:instrText>
        </w:r>
        <w:r w:rsidR="0004037B" w:rsidRPr="00454D31">
          <w:rPr>
            <w:noProof/>
            <w:webHidden/>
          </w:rPr>
        </w:r>
        <w:r w:rsidR="0004037B" w:rsidRPr="00454D31">
          <w:rPr>
            <w:noProof/>
            <w:webHidden/>
          </w:rPr>
          <w:fldChar w:fldCharType="separate"/>
        </w:r>
        <w:r w:rsidR="00DC766F">
          <w:rPr>
            <w:noProof/>
            <w:webHidden/>
          </w:rPr>
          <w:t>55</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208" w:history="1">
        <w:r w:rsidR="00454D31" w:rsidRPr="00454D31">
          <w:rPr>
            <w:rStyle w:val="Hyperlink"/>
            <w:noProof/>
          </w:rPr>
          <w:t>4.2.1.</w:t>
        </w:r>
        <w:r w:rsidR="00454D31" w:rsidRPr="00454D31">
          <w:rPr>
            <w:rFonts w:eastAsiaTheme="minorEastAsia" w:cstheme="minorBidi"/>
            <w:noProof/>
            <w:sz w:val="22"/>
            <w:szCs w:val="22"/>
            <w:lang w:eastAsia="hr-HR"/>
          </w:rPr>
          <w:tab/>
        </w:r>
        <w:r w:rsidR="00454D31" w:rsidRPr="00454D31">
          <w:rPr>
            <w:rStyle w:val="Hyperlink"/>
            <w:noProof/>
          </w:rPr>
          <w:t>Planske, promotivne, informativne i obrazovne mjere i aktivnosti</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_Toc254010208 \h </w:instrText>
        </w:r>
        <w:r w:rsidR="0004037B" w:rsidRPr="00454D31">
          <w:rPr>
            <w:noProof/>
            <w:webHidden/>
          </w:rPr>
        </w:r>
        <w:r w:rsidR="0004037B" w:rsidRPr="00454D31">
          <w:rPr>
            <w:noProof/>
            <w:webHidden/>
          </w:rPr>
          <w:fldChar w:fldCharType="separate"/>
        </w:r>
        <w:r w:rsidR="00DC766F">
          <w:rPr>
            <w:noProof/>
            <w:webHidden/>
          </w:rPr>
          <w:t>55</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209" w:history="1">
        <w:r w:rsidR="00454D31" w:rsidRPr="00454D31">
          <w:rPr>
            <w:rStyle w:val="Hyperlink"/>
            <w:noProof/>
          </w:rPr>
          <w:t>4.2.2.</w:t>
        </w:r>
        <w:r w:rsidR="00454D31" w:rsidRPr="00454D31">
          <w:rPr>
            <w:rFonts w:eastAsiaTheme="minorEastAsia" w:cstheme="minorBidi"/>
            <w:noProof/>
            <w:sz w:val="22"/>
            <w:szCs w:val="22"/>
            <w:lang w:eastAsia="hr-HR"/>
          </w:rPr>
          <w:tab/>
        </w:r>
        <w:r w:rsidR="00454D31" w:rsidRPr="00454D31">
          <w:rPr>
            <w:rStyle w:val="Hyperlink"/>
            <w:noProof/>
          </w:rPr>
          <w:t>Vozila u vlasništvu i korištenju Grada Zagreba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_Toc254010209 \h </w:instrText>
        </w:r>
        <w:r w:rsidR="0004037B" w:rsidRPr="00454D31">
          <w:rPr>
            <w:noProof/>
            <w:webHidden/>
          </w:rPr>
        </w:r>
        <w:r w:rsidR="0004037B" w:rsidRPr="00454D31">
          <w:rPr>
            <w:noProof/>
            <w:webHidden/>
          </w:rPr>
          <w:fldChar w:fldCharType="separate"/>
        </w:r>
        <w:r w:rsidR="00DC766F">
          <w:rPr>
            <w:noProof/>
            <w:webHidden/>
          </w:rPr>
          <w:t>56</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210" w:history="1">
        <w:r w:rsidR="00454D31" w:rsidRPr="00454D31">
          <w:rPr>
            <w:rStyle w:val="Hyperlink"/>
            <w:noProof/>
          </w:rPr>
          <w:t>4.2.3.</w:t>
        </w:r>
        <w:r w:rsidR="00454D31" w:rsidRPr="00454D31">
          <w:rPr>
            <w:rFonts w:eastAsiaTheme="minorEastAsia" w:cstheme="minorBidi"/>
            <w:noProof/>
            <w:sz w:val="22"/>
            <w:szCs w:val="22"/>
            <w:lang w:eastAsia="hr-HR"/>
          </w:rPr>
          <w:tab/>
        </w:r>
        <w:r w:rsidR="00454D31" w:rsidRPr="00454D31">
          <w:rPr>
            <w:rStyle w:val="Hyperlink"/>
            <w:noProof/>
          </w:rPr>
          <w:t>Javni prijevoz</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_Toc254010210 \h </w:instrText>
        </w:r>
        <w:r w:rsidR="0004037B" w:rsidRPr="00454D31">
          <w:rPr>
            <w:noProof/>
            <w:webHidden/>
          </w:rPr>
        </w:r>
        <w:r w:rsidR="0004037B" w:rsidRPr="00454D31">
          <w:rPr>
            <w:noProof/>
            <w:webHidden/>
          </w:rPr>
          <w:fldChar w:fldCharType="separate"/>
        </w:r>
        <w:r w:rsidR="00DC766F">
          <w:rPr>
            <w:noProof/>
            <w:webHidden/>
          </w:rPr>
          <w:t>57</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211" w:history="1">
        <w:r w:rsidR="00454D31" w:rsidRPr="00454D31">
          <w:rPr>
            <w:rStyle w:val="Hyperlink"/>
            <w:noProof/>
          </w:rPr>
          <w:t>4.2.4.</w:t>
        </w:r>
        <w:r w:rsidR="00454D31" w:rsidRPr="00454D31">
          <w:rPr>
            <w:rFonts w:eastAsiaTheme="minorEastAsia" w:cstheme="minorBidi"/>
            <w:noProof/>
            <w:sz w:val="22"/>
            <w:szCs w:val="22"/>
            <w:lang w:eastAsia="hr-HR"/>
          </w:rPr>
          <w:tab/>
        </w:r>
        <w:r w:rsidR="00454D31" w:rsidRPr="00454D31">
          <w:rPr>
            <w:rStyle w:val="Hyperlink"/>
            <w:noProof/>
          </w:rPr>
          <w:t>Osobna i komercijalna vozila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_Toc254010211 \h </w:instrText>
        </w:r>
        <w:r w:rsidR="0004037B" w:rsidRPr="00454D31">
          <w:rPr>
            <w:noProof/>
            <w:webHidden/>
          </w:rPr>
        </w:r>
        <w:r w:rsidR="0004037B" w:rsidRPr="00454D31">
          <w:rPr>
            <w:noProof/>
            <w:webHidden/>
          </w:rPr>
          <w:fldChar w:fldCharType="separate"/>
        </w:r>
        <w:r w:rsidR="00DC766F">
          <w:rPr>
            <w:noProof/>
            <w:webHidden/>
          </w:rPr>
          <w:t>58</w:t>
        </w:r>
        <w:r w:rsidR="0004037B" w:rsidRPr="00454D31">
          <w:rPr>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212" w:history="1">
        <w:r w:rsidR="00454D31" w:rsidRPr="00454D31">
          <w:rPr>
            <w:rStyle w:val="Hyperlink"/>
            <w:noProof/>
          </w:rPr>
          <w:t>4.3.</w:t>
        </w:r>
        <w:r w:rsidR="00454D31" w:rsidRPr="00454D31">
          <w:rPr>
            <w:rFonts w:eastAsiaTheme="minorEastAsia" w:cstheme="minorBidi"/>
            <w:b w:val="0"/>
            <w:bCs w:val="0"/>
            <w:noProof/>
            <w:sz w:val="22"/>
            <w:szCs w:val="22"/>
            <w:lang w:eastAsia="hr-HR"/>
          </w:rPr>
          <w:tab/>
        </w:r>
        <w:r w:rsidR="00454D31" w:rsidRPr="00454D31">
          <w:rPr>
            <w:rStyle w:val="Hyperlink"/>
            <w:noProof/>
          </w:rPr>
          <w:t>MJERE ZA SMANJENJE EMISIJA CO</w:t>
        </w:r>
        <w:r w:rsidR="00454D31" w:rsidRPr="00454D31">
          <w:rPr>
            <w:rStyle w:val="Hyperlink"/>
            <w:noProof/>
            <w:vertAlign w:val="subscript"/>
          </w:rPr>
          <w:t>2</w:t>
        </w:r>
        <w:r w:rsidR="00454D31" w:rsidRPr="00454D31">
          <w:rPr>
            <w:rStyle w:val="Hyperlink"/>
            <w:noProof/>
          </w:rPr>
          <w:t xml:space="preserve"> U SEKTORU JAVNE RASVJETE</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_Toc254010212 \h </w:instrText>
        </w:r>
        <w:r w:rsidR="0004037B" w:rsidRPr="00454D31">
          <w:rPr>
            <w:noProof/>
            <w:webHidden/>
          </w:rPr>
        </w:r>
        <w:r w:rsidR="0004037B" w:rsidRPr="00454D31">
          <w:rPr>
            <w:noProof/>
            <w:webHidden/>
          </w:rPr>
          <w:fldChar w:fldCharType="separate"/>
        </w:r>
        <w:r w:rsidR="00DC766F">
          <w:rPr>
            <w:noProof/>
            <w:webHidden/>
          </w:rPr>
          <w:t>59</w:t>
        </w:r>
        <w:r w:rsidR="0004037B" w:rsidRPr="00454D31">
          <w:rPr>
            <w:noProof/>
            <w:webHidden/>
          </w:rPr>
          <w:fldChar w:fldCharType="end"/>
        </w:r>
      </w:hyperlink>
    </w:p>
    <w:p w:rsidR="00454D31" w:rsidRPr="00454D31" w:rsidRDefault="00263443">
      <w:pPr>
        <w:pStyle w:val="TOC1"/>
        <w:tabs>
          <w:tab w:val="left" w:pos="420"/>
          <w:tab w:val="right" w:leader="dot" w:pos="9063"/>
        </w:tabs>
        <w:rPr>
          <w:rFonts w:ascii="Calibri" w:eastAsiaTheme="minorEastAsia" w:hAnsi="Calibri" w:cstheme="minorBidi"/>
          <w:b w:val="0"/>
          <w:bCs w:val="0"/>
          <w:caps w:val="0"/>
          <w:noProof/>
          <w:sz w:val="22"/>
          <w:szCs w:val="22"/>
          <w:lang w:eastAsia="hr-HR"/>
        </w:rPr>
      </w:pPr>
      <w:hyperlink w:anchor="_Toc254010213" w:history="1">
        <w:r w:rsidR="00454D31" w:rsidRPr="00454D31">
          <w:rPr>
            <w:rStyle w:val="Hyperlink"/>
            <w:rFonts w:ascii="Calibri" w:hAnsi="Calibri"/>
            <w:noProof/>
          </w:rPr>
          <w:t>5.</w:t>
        </w:r>
        <w:r w:rsidR="00454D31" w:rsidRPr="00454D31">
          <w:rPr>
            <w:rFonts w:ascii="Calibri" w:eastAsiaTheme="minorEastAsia" w:hAnsi="Calibri" w:cstheme="minorBidi"/>
            <w:b w:val="0"/>
            <w:bCs w:val="0"/>
            <w:caps w:val="0"/>
            <w:noProof/>
            <w:sz w:val="22"/>
            <w:szCs w:val="22"/>
            <w:lang w:eastAsia="hr-HR"/>
          </w:rPr>
          <w:tab/>
        </w:r>
        <w:r w:rsidR="00454D31" w:rsidRPr="00454D31">
          <w:rPr>
            <w:rStyle w:val="Hyperlink"/>
            <w:rFonts w:ascii="Calibri" w:hAnsi="Calibri"/>
            <w:noProof/>
          </w:rPr>
          <w:t>Određivanje vremenskog okvira za provedbu identificiranih prioritetnih aktivnosti i mjera do 2020. godine</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_Toc254010213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60</w:t>
        </w:r>
        <w:r w:rsidR="0004037B" w:rsidRPr="00454D31">
          <w:rPr>
            <w:rFonts w:ascii="Calibri" w:hAnsi="Calibri"/>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214" w:history="1">
        <w:r w:rsidR="00454D31" w:rsidRPr="00454D31">
          <w:rPr>
            <w:rStyle w:val="Hyperlink"/>
            <w:noProof/>
          </w:rPr>
          <w:t>5.1.</w:t>
        </w:r>
        <w:r w:rsidR="00454D31" w:rsidRPr="00454D31">
          <w:rPr>
            <w:rFonts w:eastAsiaTheme="minorEastAsia" w:cstheme="minorBidi"/>
            <w:b w:val="0"/>
            <w:bCs w:val="0"/>
            <w:noProof/>
            <w:sz w:val="22"/>
            <w:szCs w:val="22"/>
            <w:lang w:eastAsia="hr-HR"/>
          </w:rPr>
          <w:tab/>
        </w:r>
        <w:r w:rsidR="00454D31" w:rsidRPr="00454D31">
          <w:rPr>
            <w:rStyle w:val="Hyperlink"/>
            <w:noProof/>
          </w:rPr>
          <w:t>VREMENSKI OKVIR PROVEDBE MJERA U SEKTORU ZGRADARSTVA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_Toc254010214 \h </w:instrText>
        </w:r>
        <w:r w:rsidR="0004037B" w:rsidRPr="00454D31">
          <w:rPr>
            <w:noProof/>
            <w:webHidden/>
          </w:rPr>
        </w:r>
        <w:r w:rsidR="0004037B" w:rsidRPr="00454D31">
          <w:rPr>
            <w:noProof/>
            <w:webHidden/>
          </w:rPr>
          <w:fldChar w:fldCharType="separate"/>
        </w:r>
        <w:r w:rsidR="00DC766F">
          <w:rPr>
            <w:noProof/>
            <w:webHidden/>
          </w:rPr>
          <w:t>60</w:t>
        </w:r>
        <w:r w:rsidR="0004037B" w:rsidRPr="00454D31">
          <w:rPr>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215" w:history="1">
        <w:r w:rsidR="00454D31" w:rsidRPr="00454D31">
          <w:rPr>
            <w:rStyle w:val="Hyperlink"/>
            <w:noProof/>
          </w:rPr>
          <w:t>5.2.</w:t>
        </w:r>
        <w:r w:rsidR="00454D31" w:rsidRPr="00454D31">
          <w:rPr>
            <w:rFonts w:eastAsiaTheme="minorEastAsia" w:cstheme="minorBidi"/>
            <w:b w:val="0"/>
            <w:bCs w:val="0"/>
            <w:noProof/>
            <w:sz w:val="22"/>
            <w:szCs w:val="22"/>
            <w:lang w:eastAsia="hr-HR"/>
          </w:rPr>
          <w:tab/>
        </w:r>
        <w:r w:rsidR="00454D31" w:rsidRPr="00454D31">
          <w:rPr>
            <w:rStyle w:val="Hyperlink"/>
            <w:noProof/>
          </w:rPr>
          <w:t>VREMENSKI OKVIR PROVEDBE MJERA U SEKTORU PROMETA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_Toc254010215 \h </w:instrText>
        </w:r>
        <w:r w:rsidR="0004037B" w:rsidRPr="00454D31">
          <w:rPr>
            <w:noProof/>
            <w:webHidden/>
          </w:rPr>
        </w:r>
        <w:r w:rsidR="0004037B" w:rsidRPr="00454D31">
          <w:rPr>
            <w:noProof/>
            <w:webHidden/>
          </w:rPr>
          <w:fldChar w:fldCharType="separate"/>
        </w:r>
        <w:r w:rsidR="00DC766F">
          <w:rPr>
            <w:noProof/>
            <w:webHidden/>
          </w:rPr>
          <w:t>62</w:t>
        </w:r>
        <w:r w:rsidR="0004037B" w:rsidRPr="00454D31">
          <w:rPr>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216" w:history="1">
        <w:r w:rsidR="00454D31" w:rsidRPr="00454D31">
          <w:rPr>
            <w:rStyle w:val="Hyperlink"/>
            <w:noProof/>
          </w:rPr>
          <w:t>5.3.</w:t>
        </w:r>
        <w:r w:rsidR="00454D31" w:rsidRPr="00454D31">
          <w:rPr>
            <w:rFonts w:eastAsiaTheme="minorEastAsia" w:cstheme="minorBidi"/>
            <w:b w:val="0"/>
            <w:bCs w:val="0"/>
            <w:noProof/>
            <w:sz w:val="22"/>
            <w:szCs w:val="22"/>
            <w:lang w:eastAsia="hr-HR"/>
          </w:rPr>
          <w:tab/>
        </w:r>
        <w:r w:rsidR="00454D31" w:rsidRPr="00454D31">
          <w:rPr>
            <w:rStyle w:val="Hyperlink"/>
            <w:noProof/>
          </w:rPr>
          <w:t>VREMENSKI OKVIR PROVEDBE MJERA U SEKTORU JAVNE RASVJETE</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_Toc254010216 \h </w:instrText>
        </w:r>
        <w:r w:rsidR="0004037B" w:rsidRPr="00454D31">
          <w:rPr>
            <w:noProof/>
            <w:webHidden/>
          </w:rPr>
        </w:r>
        <w:r w:rsidR="0004037B" w:rsidRPr="00454D31">
          <w:rPr>
            <w:noProof/>
            <w:webHidden/>
          </w:rPr>
          <w:fldChar w:fldCharType="separate"/>
        </w:r>
        <w:r w:rsidR="00DC766F">
          <w:rPr>
            <w:noProof/>
            <w:webHidden/>
          </w:rPr>
          <w:t>63</w:t>
        </w:r>
        <w:r w:rsidR="0004037B" w:rsidRPr="00454D31">
          <w:rPr>
            <w:noProof/>
            <w:webHidden/>
          </w:rPr>
          <w:fldChar w:fldCharType="end"/>
        </w:r>
      </w:hyperlink>
    </w:p>
    <w:p w:rsidR="00454D31" w:rsidRPr="00454D31" w:rsidRDefault="00263443">
      <w:pPr>
        <w:pStyle w:val="TOC1"/>
        <w:tabs>
          <w:tab w:val="left" w:pos="420"/>
          <w:tab w:val="right" w:leader="dot" w:pos="9063"/>
        </w:tabs>
        <w:rPr>
          <w:rFonts w:ascii="Calibri" w:eastAsiaTheme="minorEastAsia" w:hAnsi="Calibri" w:cstheme="minorBidi"/>
          <w:b w:val="0"/>
          <w:bCs w:val="0"/>
          <w:caps w:val="0"/>
          <w:noProof/>
          <w:sz w:val="22"/>
          <w:szCs w:val="22"/>
          <w:lang w:eastAsia="hr-HR"/>
        </w:rPr>
      </w:pPr>
      <w:hyperlink w:anchor="_Toc254010217" w:history="1">
        <w:r w:rsidR="00454D31" w:rsidRPr="00454D31">
          <w:rPr>
            <w:rStyle w:val="Hyperlink"/>
            <w:rFonts w:ascii="Calibri" w:hAnsi="Calibri"/>
            <w:noProof/>
          </w:rPr>
          <w:t>6.</w:t>
        </w:r>
        <w:r w:rsidR="00454D31" w:rsidRPr="00454D31">
          <w:rPr>
            <w:rFonts w:ascii="Calibri" w:eastAsiaTheme="minorEastAsia" w:hAnsi="Calibri" w:cstheme="minorBidi"/>
            <w:b w:val="0"/>
            <w:bCs w:val="0"/>
            <w:caps w:val="0"/>
            <w:noProof/>
            <w:sz w:val="22"/>
            <w:szCs w:val="22"/>
            <w:lang w:eastAsia="hr-HR"/>
          </w:rPr>
          <w:tab/>
        </w:r>
        <w:r w:rsidR="00454D31" w:rsidRPr="00454D31">
          <w:rPr>
            <w:rStyle w:val="Hyperlink"/>
            <w:rFonts w:ascii="Calibri" w:hAnsi="Calibri"/>
            <w:noProof/>
          </w:rPr>
          <w:t>Procjena smanjenja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za pojedine mjere prema Planu prioritetnih aktivnosti i mjera do 2020. godine</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_Toc254010217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64</w:t>
        </w:r>
        <w:r w:rsidR="0004037B" w:rsidRPr="00454D31">
          <w:rPr>
            <w:rFonts w:ascii="Calibri" w:hAnsi="Calibri"/>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218" w:history="1">
        <w:r w:rsidR="00454D31" w:rsidRPr="00454D31">
          <w:rPr>
            <w:rStyle w:val="Hyperlink"/>
            <w:noProof/>
          </w:rPr>
          <w:t>6.1.</w:t>
        </w:r>
        <w:r w:rsidR="00454D31" w:rsidRPr="00454D31">
          <w:rPr>
            <w:rFonts w:eastAsiaTheme="minorEastAsia" w:cstheme="minorBidi"/>
            <w:b w:val="0"/>
            <w:bCs w:val="0"/>
            <w:noProof/>
            <w:sz w:val="22"/>
            <w:szCs w:val="22"/>
            <w:lang w:eastAsia="hr-HR"/>
          </w:rPr>
          <w:tab/>
        </w:r>
        <w:r w:rsidR="00454D31" w:rsidRPr="00454D31">
          <w:rPr>
            <w:rStyle w:val="Hyperlink"/>
            <w:noProof/>
          </w:rPr>
          <w:t>SMANJENJE EMISIJE CO</w:t>
        </w:r>
        <w:r w:rsidR="00454D31" w:rsidRPr="00454D31">
          <w:rPr>
            <w:rStyle w:val="Hyperlink"/>
            <w:noProof/>
            <w:vertAlign w:val="subscript"/>
          </w:rPr>
          <w:t>2</w:t>
        </w:r>
        <w:r w:rsidR="00454D31" w:rsidRPr="00454D31">
          <w:rPr>
            <w:rStyle w:val="Hyperlink"/>
            <w:noProof/>
          </w:rPr>
          <w:t xml:space="preserve"> U SEKTORU ZGRADARSTVA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_Toc254010218 \h </w:instrText>
        </w:r>
        <w:r w:rsidR="0004037B" w:rsidRPr="00454D31">
          <w:rPr>
            <w:noProof/>
            <w:webHidden/>
          </w:rPr>
        </w:r>
        <w:r w:rsidR="0004037B" w:rsidRPr="00454D31">
          <w:rPr>
            <w:noProof/>
            <w:webHidden/>
          </w:rPr>
          <w:fldChar w:fldCharType="separate"/>
        </w:r>
        <w:r w:rsidR="00DC766F">
          <w:rPr>
            <w:noProof/>
            <w:webHidden/>
          </w:rPr>
          <w:t>64</w:t>
        </w:r>
        <w:r w:rsidR="0004037B" w:rsidRPr="00454D31">
          <w:rPr>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219" w:history="1">
        <w:r w:rsidR="00454D31" w:rsidRPr="00454D31">
          <w:rPr>
            <w:rStyle w:val="Hyperlink"/>
            <w:noProof/>
          </w:rPr>
          <w:t>6.2.</w:t>
        </w:r>
        <w:r w:rsidR="00454D31" w:rsidRPr="00454D31">
          <w:rPr>
            <w:rFonts w:eastAsiaTheme="minorEastAsia" w:cstheme="minorBidi"/>
            <w:b w:val="0"/>
            <w:bCs w:val="0"/>
            <w:noProof/>
            <w:sz w:val="22"/>
            <w:szCs w:val="22"/>
            <w:lang w:eastAsia="hr-HR"/>
          </w:rPr>
          <w:tab/>
        </w:r>
        <w:r w:rsidR="00454D31" w:rsidRPr="00454D31">
          <w:rPr>
            <w:rStyle w:val="Hyperlink"/>
            <w:noProof/>
          </w:rPr>
          <w:t>SMANJENJE EMISIJE CO</w:t>
        </w:r>
        <w:r w:rsidR="00454D31" w:rsidRPr="00454D31">
          <w:rPr>
            <w:rStyle w:val="Hyperlink"/>
            <w:noProof/>
            <w:vertAlign w:val="subscript"/>
          </w:rPr>
          <w:t>2</w:t>
        </w:r>
        <w:r w:rsidR="00454D31" w:rsidRPr="00454D31">
          <w:rPr>
            <w:rStyle w:val="Hyperlink"/>
            <w:noProof/>
          </w:rPr>
          <w:t xml:space="preserve"> U SEKTORU PROMETA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_Toc254010219 \h </w:instrText>
        </w:r>
        <w:r w:rsidR="0004037B" w:rsidRPr="00454D31">
          <w:rPr>
            <w:noProof/>
            <w:webHidden/>
          </w:rPr>
        </w:r>
        <w:r w:rsidR="0004037B" w:rsidRPr="00454D31">
          <w:rPr>
            <w:noProof/>
            <w:webHidden/>
          </w:rPr>
          <w:fldChar w:fldCharType="separate"/>
        </w:r>
        <w:r w:rsidR="00DC766F">
          <w:rPr>
            <w:noProof/>
            <w:webHidden/>
          </w:rPr>
          <w:t>65</w:t>
        </w:r>
        <w:r w:rsidR="0004037B" w:rsidRPr="00454D31">
          <w:rPr>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220" w:history="1">
        <w:r w:rsidR="00454D31" w:rsidRPr="00454D31">
          <w:rPr>
            <w:rStyle w:val="Hyperlink"/>
            <w:noProof/>
          </w:rPr>
          <w:t>6.3.</w:t>
        </w:r>
        <w:r w:rsidR="00454D31" w:rsidRPr="00454D31">
          <w:rPr>
            <w:rFonts w:eastAsiaTheme="minorEastAsia" w:cstheme="minorBidi"/>
            <w:b w:val="0"/>
            <w:bCs w:val="0"/>
            <w:noProof/>
            <w:sz w:val="22"/>
            <w:szCs w:val="22"/>
            <w:lang w:eastAsia="hr-HR"/>
          </w:rPr>
          <w:tab/>
        </w:r>
        <w:r w:rsidR="00454D31" w:rsidRPr="00454D31">
          <w:rPr>
            <w:rStyle w:val="Hyperlink"/>
            <w:noProof/>
          </w:rPr>
          <w:t>SMANJENJE EMISIJE CO</w:t>
        </w:r>
        <w:r w:rsidR="00454D31" w:rsidRPr="00454D31">
          <w:rPr>
            <w:rStyle w:val="Hyperlink"/>
            <w:noProof/>
            <w:vertAlign w:val="subscript"/>
          </w:rPr>
          <w:t>2</w:t>
        </w:r>
        <w:r w:rsidR="00454D31" w:rsidRPr="00454D31">
          <w:rPr>
            <w:rStyle w:val="Hyperlink"/>
            <w:noProof/>
          </w:rPr>
          <w:t xml:space="preserve"> U SEKTORU JAVNE RASVJETE</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_Toc254010220 \h </w:instrText>
        </w:r>
        <w:r w:rsidR="0004037B" w:rsidRPr="00454D31">
          <w:rPr>
            <w:noProof/>
            <w:webHidden/>
          </w:rPr>
        </w:r>
        <w:r w:rsidR="0004037B" w:rsidRPr="00454D31">
          <w:rPr>
            <w:noProof/>
            <w:webHidden/>
          </w:rPr>
          <w:fldChar w:fldCharType="separate"/>
        </w:r>
        <w:r w:rsidR="00DC766F">
          <w:rPr>
            <w:noProof/>
            <w:webHidden/>
          </w:rPr>
          <w:t>65</w:t>
        </w:r>
        <w:r w:rsidR="0004037B" w:rsidRPr="00454D31">
          <w:rPr>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221" w:history="1">
        <w:r w:rsidR="00454D31" w:rsidRPr="00454D31">
          <w:rPr>
            <w:rStyle w:val="Hyperlink"/>
            <w:noProof/>
          </w:rPr>
          <w:t>6.4.</w:t>
        </w:r>
        <w:r w:rsidR="00454D31" w:rsidRPr="00454D31">
          <w:rPr>
            <w:rFonts w:eastAsiaTheme="minorEastAsia" w:cstheme="minorBidi"/>
            <w:b w:val="0"/>
            <w:bCs w:val="0"/>
            <w:noProof/>
            <w:sz w:val="22"/>
            <w:szCs w:val="22"/>
            <w:lang w:eastAsia="hr-HR"/>
          </w:rPr>
          <w:tab/>
        </w:r>
        <w:r w:rsidR="00454D31" w:rsidRPr="00454D31">
          <w:rPr>
            <w:rStyle w:val="Hyperlink"/>
            <w:noProof/>
          </w:rPr>
          <w:t>UKUPNO SMANJENJE EMISIJE CO</w:t>
        </w:r>
        <w:r w:rsidR="00454D31" w:rsidRPr="00454D31">
          <w:rPr>
            <w:rStyle w:val="Hyperlink"/>
            <w:noProof/>
            <w:vertAlign w:val="subscript"/>
          </w:rPr>
          <w:t>2</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_Toc254010221 \h </w:instrText>
        </w:r>
        <w:r w:rsidR="0004037B" w:rsidRPr="00454D31">
          <w:rPr>
            <w:noProof/>
            <w:webHidden/>
          </w:rPr>
        </w:r>
        <w:r w:rsidR="0004037B" w:rsidRPr="00454D31">
          <w:rPr>
            <w:noProof/>
            <w:webHidden/>
          </w:rPr>
          <w:fldChar w:fldCharType="separate"/>
        </w:r>
        <w:r w:rsidR="00DC766F">
          <w:rPr>
            <w:noProof/>
            <w:webHidden/>
          </w:rPr>
          <w:t>66</w:t>
        </w:r>
        <w:r w:rsidR="0004037B" w:rsidRPr="00454D31">
          <w:rPr>
            <w:noProof/>
            <w:webHidden/>
          </w:rPr>
          <w:fldChar w:fldCharType="end"/>
        </w:r>
      </w:hyperlink>
    </w:p>
    <w:p w:rsidR="00454D31" w:rsidRPr="00454D31" w:rsidRDefault="00263443">
      <w:pPr>
        <w:pStyle w:val="TOC1"/>
        <w:tabs>
          <w:tab w:val="left" w:pos="420"/>
          <w:tab w:val="right" w:leader="dot" w:pos="9063"/>
        </w:tabs>
        <w:rPr>
          <w:rFonts w:ascii="Calibri" w:eastAsiaTheme="minorEastAsia" w:hAnsi="Calibri" w:cstheme="minorBidi"/>
          <w:b w:val="0"/>
          <w:bCs w:val="0"/>
          <w:caps w:val="0"/>
          <w:noProof/>
          <w:sz w:val="22"/>
          <w:szCs w:val="22"/>
          <w:lang w:eastAsia="hr-HR"/>
        </w:rPr>
      </w:pPr>
      <w:hyperlink w:anchor="_Toc254010222" w:history="1">
        <w:r w:rsidR="00454D31" w:rsidRPr="00454D31">
          <w:rPr>
            <w:rStyle w:val="Hyperlink"/>
            <w:rFonts w:ascii="Calibri" w:hAnsi="Calibri"/>
            <w:noProof/>
          </w:rPr>
          <w:t>7.</w:t>
        </w:r>
        <w:r w:rsidR="00454D31" w:rsidRPr="00454D31">
          <w:rPr>
            <w:rFonts w:ascii="Calibri" w:eastAsiaTheme="minorEastAsia" w:hAnsi="Calibri" w:cstheme="minorBidi"/>
            <w:b w:val="0"/>
            <w:bCs w:val="0"/>
            <w:caps w:val="0"/>
            <w:noProof/>
            <w:sz w:val="22"/>
            <w:szCs w:val="22"/>
            <w:lang w:eastAsia="hr-HR"/>
          </w:rPr>
          <w:tab/>
        </w:r>
        <w:r w:rsidR="00454D31" w:rsidRPr="00454D31">
          <w:rPr>
            <w:rStyle w:val="Hyperlink"/>
            <w:rFonts w:ascii="Calibri" w:hAnsi="Calibri"/>
            <w:noProof/>
          </w:rPr>
          <w:t>IDENTIFIKACIJA SUDIONIKA I DIONIKA U PRIPREMI AKCIJSKOG PLANA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_Toc254010222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67</w:t>
        </w:r>
        <w:r w:rsidR="0004037B" w:rsidRPr="00454D31">
          <w:rPr>
            <w:rFonts w:ascii="Calibri" w:hAnsi="Calibri"/>
            <w:noProof/>
            <w:webHidden/>
          </w:rPr>
          <w:fldChar w:fldCharType="end"/>
        </w:r>
      </w:hyperlink>
    </w:p>
    <w:p w:rsidR="00454D31" w:rsidRPr="00454D31" w:rsidRDefault="00263443">
      <w:pPr>
        <w:pStyle w:val="TOC1"/>
        <w:tabs>
          <w:tab w:val="left" w:pos="420"/>
          <w:tab w:val="right" w:leader="dot" w:pos="9063"/>
        </w:tabs>
        <w:rPr>
          <w:rFonts w:ascii="Calibri" w:eastAsiaTheme="minorEastAsia" w:hAnsi="Calibri" w:cstheme="minorBidi"/>
          <w:b w:val="0"/>
          <w:bCs w:val="0"/>
          <w:caps w:val="0"/>
          <w:noProof/>
          <w:sz w:val="22"/>
          <w:szCs w:val="22"/>
          <w:lang w:eastAsia="hr-HR"/>
        </w:rPr>
      </w:pPr>
      <w:hyperlink w:anchor="_Toc254010223" w:history="1">
        <w:r w:rsidR="00454D31" w:rsidRPr="00454D31">
          <w:rPr>
            <w:rStyle w:val="Hyperlink"/>
            <w:rFonts w:ascii="Calibri" w:hAnsi="Calibri"/>
            <w:noProof/>
          </w:rPr>
          <w:t>8.</w:t>
        </w:r>
        <w:r w:rsidR="00454D31" w:rsidRPr="00454D31">
          <w:rPr>
            <w:rFonts w:ascii="Calibri" w:eastAsiaTheme="minorEastAsia" w:hAnsi="Calibri" w:cstheme="minorBidi"/>
            <w:b w:val="0"/>
            <w:bCs w:val="0"/>
            <w:caps w:val="0"/>
            <w:noProof/>
            <w:sz w:val="22"/>
            <w:szCs w:val="22"/>
            <w:lang w:eastAsia="hr-HR"/>
          </w:rPr>
          <w:tab/>
        </w:r>
        <w:r w:rsidR="00454D31" w:rsidRPr="00454D31">
          <w:rPr>
            <w:rStyle w:val="Hyperlink"/>
            <w:rFonts w:ascii="Calibri" w:hAnsi="Calibri"/>
            <w:noProof/>
          </w:rPr>
          <w:t>Definiranje okvira potrebnih financijskih sredstava za metodološko praćenje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i provedbu Akcijskog plana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_Toc254010223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72</w:t>
        </w:r>
        <w:r w:rsidR="0004037B" w:rsidRPr="00454D31">
          <w:rPr>
            <w:rFonts w:ascii="Calibri" w:hAnsi="Calibri"/>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224" w:history="1">
        <w:r w:rsidR="00454D31" w:rsidRPr="00454D31">
          <w:rPr>
            <w:rStyle w:val="Hyperlink"/>
            <w:noProof/>
          </w:rPr>
          <w:t>8.1.</w:t>
        </w:r>
        <w:r w:rsidR="00454D31" w:rsidRPr="00454D31">
          <w:rPr>
            <w:rFonts w:eastAsiaTheme="minorEastAsia" w:cstheme="minorBidi"/>
            <w:b w:val="0"/>
            <w:bCs w:val="0"/>
            <w:noProof/>
            <w:sz w:val="22"/>
            <w:szCs w:val="22"/>
            <w:lang w:eastAsia="hr-HR"/>
          </w:rPr>
          <w:tab/>
        </w:r>
        <w:r w:rsidR="00454D31" w:rsidRPr="00454D31">
          <w:rPr>
            <w:rStyle w:val="Hyperlink"/>
            <w:noProof/>
          </w:rPr>
          <w:t>PREGLED MOGUĆIH IZVORA FINANCIRANJA PROVEDBE AKCIJSKOG PLANA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_Toc254010224 \h </w:instrText>
        </w:r>
        <w:r w:rsidR="0004037B" w:rsidRPr="00454D31">
          <w:rPr>
            <w:noProof/>
            <w:webHidden/>
          </w:rPr>
        </w:r>
        <w:r w:rsidR="0004037B" w:rsidRPr="00454D31">
          <w:rPr>
            <w:noProof/>
            <w:webHidden/>
          </w:rPr>
          <w:fldChar w:fldCharType="separate"/>
        </w:r>
        <w:r w:rsidR="00DC766F">
          <w:rPr>
            <w:noProof/>
            <w:webHidden/>
          </w:rPr>
          <w:t>72</w:t>
        </w:r>
        <w:r w:rsidR="0004037B" w:rsidRPr="00454D31">
          <w:rPr>
            <w:noProof/>
            <w:webHidden/>
          </w:rPr>
          <w:fldChar w:fldCharType="end"/>
        </w:r>
      </w:hyperlink>
    </w:p>
    <w:p w:rsidR="00454D31" w:rsidRPr="00454D31" w:rsidRDefault="00263443">
      <w:pPr>
        <w:pStyle w:val="TOC2"/>
        <w:tabs>
          <w:tab w:val="left" w:pos="630"/>
          <w:tab w:val="right" w:leader="dot" w:pos="9063"/>
        </w:tabs>
        <w:rPr>
          <w:rFonts w:eastAsiaTheme="minorEastAsia" w:cstheme="minorBidi"/>
          <w:b w:val="0"/>
          <w:bCs w:val="0"/>
          <w:noProof/>
          <w:sz w:val="22"/>
          <w:szCs w:val="22"/>
          <w:lang w:eastAsia="hr-HR"/>
        </w:rPr>
      </w:pPr>
      <w:hyperlink w:anchor="_Toc254010225" w:history="1">
        <w:r w:rsidR="00454D31" w:rsidRPr="00454D31">
          <w:rPr>
            <w:rStyle w:val="Hyperlink"/>
            <w:noProof/>
          </w:rPr>
          <w:t>8.2.</w:t>
        </w:r>
        <w:r w:rsidR="00454D31" w:rsidRPr="00454D31">
          <w:rPr>
            <w:rFonts w:eastAsiaTheme="minorEastAsia" w:cstheme="minorBidi"/>
            <w:b w:val="0"/>
            <w:bCs w:val="0"/>
            <w:noProof/>
            <w:sz w:val="22"/>
            <w:szCs w:val="22"/>
            <w:lang w:eastAsia="hr-HR"/>
          </w:rPr>
          <w:tab/>
        </w:r>
        <w:r w:rsidR="00454D31" w:rsidRPr="00454D31">
          <w:rPr>
            <w:rStyle w:val="Hyperlink"/>
            <w:noProof/>
          </w:rPr>
          <w:t>FINANCIJSKI OKVIR ZA METODOLOŠKO PRAĆENJE EMISIJA  CO</w:t>
        </w:r>
        <w:r w:rsidR="00454D31" w:rsidRPr="00454D31">
          <w:rPr>
            <w:rStyle w:val="Hyperlink"/>
            <w:noProof/>
            <w:vertAlign w:val="subscript"/>
          </w:rPr>
          <w:t>2</w:t>
        </w:r>
        <w:r w:rsidR="00454D31" w:rsidRPr="00454D31">
          <w:rPr>
            <w:rStyle w:val="Hyperlink"/>
            <w:noProof/>
          </w:rPr>
          <w:t xml:space="preserve"> I PROVEDBU AKCIJSKOG PLANA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_Toc254010225 \h </w:instrText>
        </w:r>
        <w:r w:rsidR="0004037B" w:rsidRPr="00454D31">
          <w:rPr>
            <w:noProof/>
            <w:webHidden/>
          </w:rPr>
        </w:r>
        <w:r w:rsidR="0004037B" w:rsidRPr="00454D31">
          <w:rPr>
            <w:noProof/>
            <w:webHidden/>
          </w:rPr>
          <w:fldChar w:fldCharType="separate"/>
        </w:r>
        <w:r w:rsidR="00DC766F">
          <w:rPr>
            <w:noProof/>
            <w:webHidden/>
          </w:rPr>
          <w:t>73</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226" w:history="1">
        <w:r w:rsidR="00454D31" w:rsidRPr="00454D31">
          <w:rPr>
            <w:rStyle w:val="Hyperlink"/>
            <w:noProof/>
          </w:rPr>
          <w:t>8.2.1.</w:t>
        </w:r>
        <w:r w:rsidR="00454D31" w:rsidRPr="00454D31">
          <w:rPr>
            <w:rFonts w:eastAsiaTheme="minorEastAsia" w:cstheme="minorBidi"/>
            <w:noProof/>
            <w:sz w:val="22"/>
            <w:szCs w:val="22"/>
            <w:lang w:eastAsia="hr-HR"/>
          </w:rPr>
          <w:tab/>
        </w:r>
        <w:r w:rsidR="00454D31" w:rsidRPr="00454D31">
          <w:rPr>
            <w:rStyle w:val="Hyperlink"/>
            <w:noProof/>
          </w:rPr>
          <w:t>Financijski okvir provedbe mjera u sektoru zgradarstva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_Toc254010226 \h </w:instrText>
        </w:r>
        <w:r w:rsidR="0004037B" w:rsidRPr="00454D31">
          <w:rPr>
            <w:noProof/>
            <w:webHidden/>
          </w:rPr>
        </w:r>
        <w:r w:rsidR="0004037B" w:rsidRPr="00454D31">
          <w:rPr>
            <w:noProof/>
            <w:webHidden/>
          </w:rPr>
          <w:fldChar w:fldCharType="separate"/>
        </w:r>
        <w:r w:rsidR="00DC766F">
          <w:rPr>
            <w:noProof/>
            <w:webHidden/>
          </w:rPr>
          <w:t>73</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227" w:history="1">
        <w:r w:rsidR="00454D31" w:rsidRPr="00454D31">
          <w:rPr>
            <w:rStyle w:val="Hyperlink"/>
            <w:noProof/>
          </w:rPr>
          <w:t>8.2.2.</w:t>
        </w:r>
        <w:r w:rsidR="00454D31" w:rsidRPr="00454D31">
          <w:rPr>
            <w:rFonts w:eastAsiaTheme="minorEastAsia" w:cstheme="minorBidi"/>
            <w:noProof/>
            <w:sz w:val="22"/>
            <w:szCs w:val="22"/>
            <w:lang w:eastAsia="hr-HR"/>
          </w:rPr>
          <w:tab/>
        </w:r>
        <w:r w:rsidR="00454D31" w:rsidRPr="00454D31">
          <w:rPr>
            <w:rStyle w:val="Hyperlink"/>
            <w:noProof/>
          </w:rPr>
          <w:t>Financijski okvir provedbe mjera u sektoru prometa</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_Toc254010227 \h </w:instrText>
        </w:r>
        <w:r w:rsidR="0004037B" w:rsidRPr="00454D31">
          <w:rPr>
            <w:noProof/>
            <w:webHidden/>
          </w:rPr>
        </w:r>
        <w:r w:rsidR="0004037B" w:rsidRPr="00454D31">
          <w:rPr>
            <w:noProof/>
            <w:webHidden/>
          </w:rPr>
          <w:fldChar w:fldCharType="separate"/>
        </w:r>
        <w:r w:rsidR="00DC766F">
          <w:rPr>
            <w:noProof/>
            <w:webHidden/>
          </w:rPr>
          <w:t>74</w:t>
        </w:r>
        <w:r w:rsidR="0004037B" w:rsidRPr="00454D31">
          <w:rPr>
            <w:noProof/>
            <w:webHidden/>
          </w:rPr>
          <w:fldChar w:fldCharType="end"/>
        </w:r>
      </w:hyperlink>
    </w:p>
    <w:p w:rsidR="00454D31" w:rsidRPr="00454D31" w:rsidRDefault="00263443">
      <w:pPr>
        <w:pStyle w:val="TOC3"/>
        <w:tabs>
          <w:tab w:val="left" w:pos="1050"/>
          <w:tab w:val="right" w:leader="dot" w:pos="9063"/>
        </w:tabs>
        <w:rPr>
          <w:rFonts w:eastAsiaTheme="minorEastAsia" w:cstheme="minorBidi"/>
          <w:noProof/>
          <w:sz w:val="22"/>
          <w:szCs w:val="22"/>
          <w:lang w:eastAsia="hr-HR"/>
        </w:rPr>
      </w:pPr>
      <w:hyperlink w:anchor="_Toc254010228" w:history="1">
        <w:r w:rsidR="00454D31" w:rsidRPr="00454D31">
          <w:rPr>
            <w:rStyle w:val="Hyperlink"/>
            <w:noProof/>
          </w:rPr>
          <w:t>8.2.3.</w:t>
        </w:r>
        <w:r w:rsidR="00454D31" w:rsidRPr="00454D31">
          <w:rPr>
            <w:rFonts w:eastAsiaTheme="minorEastAsia" w:cstheme="minorBidi"/>
            <w:noProof/>
            <w:sz w:val="22"/>
            <w:szCs w:val="22"/>
            <w:lang w:eastAsia="hr-HR"/>
          </w:rPr>
          <w:tab/>
        </w:r>
        <w:r w:rsidR="00454D31" w:rsidRPr="00454D31">
          <w:rPr>
            <w:rStyle w:val="Hyperlink"/>
            <w:noProof/>
          </w:rPr>
          <w:t>Financijski okvir provedbe mjera u sektoru javne rasvjete</w:t>
        </w:r>
        <w:r w:rsidR="00454D31" w:rsidRPr="00454D31">
          <w:rPr>
            <w:noProof/>
            <w:webHidden/>
          </w:rPr>
          <w:tab/>
        </w:r>
        <w:r w:rsidR="0004037B" w:rsidRPr="00454D31">
          <w:rPr>
            <w:noProof/>
            <w:webHidden/>
          </w:rPr>
          <w:fldChar w:fldCharType="begin"/>
        </w:r>
        <w:r w:rsidR="00454D31" w:rsidRPr="00454D31">
          <w:rPr>
            <w:noProof/>
            <w:webHidden/>
          </w:rPr>
          <w:instrText xml:space="preserve"> PAGEREF _Toc254010228 \h </w:instrText>
        </w:r>
        <w:r w:rsidR="0004037B" w:rsidRPr="00454D31">
          <w:rPr>
            <w:noProof/>
            <w:webHidden/>
          </w:rPr>
        </w:r>
        <w:r w:rsidR="0004037B" w:rsidRPr="00454D31">
          <w:rPr>
            <w:noProof/>
            <w:webHidden/>
          </w:rPr>
          <w:fldChar w:fldCharType="separate"/>
        </w:r>
        <w:r w:rsidR="00DC766F">
          <w:rPr>
            <w:noProof/>
            <w:webHidden/>
          </w:rPr>
          <w:t>75</w:t>
        </w:r>
        <w:r w:rsidR="0004037B" w:rsidRPr="00454D31">
          <w:rPr>
            <w:noProof/>
            <w:webHidden/>
          </w:rPr>
          <w:fldChar w:fldCharType="end"/>
        </w:r>
      </w:hyperlink>
    </w:p>
    <w:p w:rsidR="00454D31" w:rsidRDefault="00263443">
      <w:pPr>
        <w:pStyle w:val="TOC1"/>
        <w:tabs>
          <w:tab w:val="left" w:pos="420"/>
          <w:tab w:val="right" w:leader="dot" w:pos="9063"/>
        </w:tabs>
        <w:rPr>
          <w:rFonts w:asciiTheme="minorHAnsi" w:eastAsiaTheme="minorEastAsia" w:hAnsiTheme="minorHAnsi" w:cstheme="minorBidi"/>
          <w:b w:val="0"/>
          <w:bCs w:val="0"/>
          <w:caps w:val="0"/>
          <w:noProof/>
          <w:sz w:val="22"/>
          <w:szCs w:val="22"/>
          <w:lang w:eastAsia="hr-HR"/>
        </w:rPr>
      </w:pPr>
      <w:hyperlink w:anchor="_Toc254010229" w:history="1">
        <w:r w:rsidR="00454D31" w:rsidRPr="00454D31">
          <w:rPr>
            <w:rStyle w:val="Hyperlink"/>
            <w:rFonts w:ascii="Calibri" w:hAnsi="Calibri"/>
            <w:noProof/>
          </w:rPr>
          <w:t>9.</w:t>
        </w:r>
        <w:r w:rsidR="00454D31" w:rsidRPr="00454D31">
          <w:rPr>
            <w:rFonts w:ascii="Calibri" w:eastAsiaTheme="minorEastAsia" w:hAnsi="Calibri" w:cstheme="minorBidi"/>
            <w:b w:val="0"/>
            <w:bCs w:val="0"/>
            <w:caps w:val="0"/>
            <w:noProof/>
            <w:sz w:val="22"/>
            <w:szCs w:val="22"/>
            <w:lang w:eastAsia="hr-HR"/>
          </w:rPr>
          <w:tab/>
        </w:r>
        <w:r w:rsidR="00454D31" w:rsidRPr="00454D31">
          <w:rPr>
            <w:rStyle w:val="Hyperlink"/>
            <w:rFonts w:ascii="Calibri" w:hAnsi="Calibri"/>
            <w:noProof/>
          </w:rPr>
          <w:t>ZAKLJUČci I PREPORUKE</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_Toc254010229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76</w:t>
        </w:r>
        <w:r w:rsidR="0004037B" w:rsidRPr="00454D31">
          <w:rPr>
            <w:rFonts w:ascii="Calibri" w:hAnsi="Calibri"/>
            <w:noProof/>
            <w:webHidden/>
          </w:rPr>
          <w:fldChar w:fldCharType="end"/>
        </w:r>
      </w:hyperlink>
    </w:p>
    <w:p w:rsidR="00BC341E" w:rsidRPr="000063FC" w:rsidRDefault="0004037B">
      <w:pPr>
        <w:spacing w:before="120" w:after="120" w:line="276" w:lineRule="auto"/>
      </w:pPr>
      <w:r w:rsidRPr="0082748D">
        <w:rPr>
          <w:rFonts w:asciiTheme="minorHAnsi" w:hAnsiTheme="minorHAnsi"/>
          <w:szCs w:val="22"/>
        </w:rPr>
        <w:fldChar w:fldCharType="end"/>
      </w:r>
      <w:r w:rsidR="002D68F1" w:rsidRPr="000063FC">
        <w:rPr>
          <w:b/>
          <w:sz w:val="28"/>
          <w:szCs w:val="28"/>
        </w:rPr>
        <w:br w:type="page"/>
      </w:r>
    </w:p>
    <w:p w:rsidR="00B23695" w:rsidRPr="000063FC" w:rsidRDefault="007B0169">
      <w:pPr>
        <w:pStyle w:val="TableofFigures"/>
        <w:tabs>
          <w:tab w:val="right" w:leader="dot" w:pos="9344"/>
        </w:tabs>
        <w:spacing w:line="276" w:lineRule="auto"/>
        <w:rPr>
          <w:rFonts w:asciiTheme="minorHAnsi" w:hAnsiTheme="minorHAnsi"/>
          <w:b/>
          <w:sz w:val="28"/>
          <w:szCs w:val="28"/>
        </w:rPr>
      </w:pPr>
      <w:r w:rsidRPr="000063FC">
        <w:rPr>
          <w:rFonts w:asciiTheme="minorHAnsi" w:hAnsiTheme="minorHAnsi"/>
          <w:b/>
          <w:sz w:val="28"/>
          <w:szCs w:val="28"/>
        </w:rPr>
        <w:lastRenderedPageBreak/>
        <w:t>POPIS TABLICA I SLIKA</w:t>
      </w:r>
    </w:p>
    <w:p w:rsidR="00B23695" w:rsidRPr="000063FC" w:rsidRDefault="00B23695">
      <w:pPr>
        <w:pStyle w:val="TableofFigures"/>
        <w:tabs>
          <w:tab w:val="right" w:leader="dot" w:pos="9344"/>
        </w:tabs>
        <w:spacing w:line="276" w:lineRule="auto"/>
        <w:rPr>
          <w:rFonts w:asciiTheme="minorHAnsi" w:hAnsiTheme="minorHAnsi"/>
          <w:b/>
        </w:rPr>
      </w:pPr>
    </w:p>
    <w:p w:rsidR="00B23695" w:rsidRPr="000063FC" w:rsidRDefault="007B0169">
      <w:pPr>
        <w:pStyle w:val="TableofFigures"/>
        <w:tabs>
          <w:tab w:val="right" w:leader="dot" w:pos="9344"/>
        </w:tabs>
        <w:spacing w:line="276" w:lineRule="auto"/>
        <w:rPr>
          <w:rFonts w:asciiTheme="minorHAnsi" w:hAnsiTheme="minorHAnsi"/>
          <w:b/>
        </w:rPr>
      </w:pPr>
      <w:r w:rsidRPr="000063FC">
        <w:rPr>
          <w:rFonts w:asciiTheme="minorHAnsi" w:hAnsiTheme="minorHAnsi"/>
          <w:b/>
        </w:rPr>
        <w:t>POPIS TABLICA</w:t>
      </w:r>
    </w:p>
    <w:p w:rsidR="00BC341E" w:rsidRPr="000063FC" w:rsidRDefault="00BC341E">
      <w:pPr>
        <w:rPr>
          <w:rFonts w:asciiTheme="minorHAnsi" w:hAnsiTheme="minorHAnsi"/>
        </w:rPr>
      </w:pPr>
    </w:p>
    <w:p w:rsidR="00454D31" w:rsidRPr="00454D31" w:rsidRDefault="0004037B" w:rsidP="00454D31">
      <w:pPr>
        <w:pStyle w:val="TableofFigures"/>
        <w:tabs>
          <w:tab w:val="right" w:leader="dot" w:pos="9063"/>
        </w:tabs>
        <w:spacing w:after="120"/>
        <w:rPr>
          <w:rFonts w:ascii="Calibri" w:eastAsiaTheme="minorEastAsia" w:hAnsi="Calibri" w:cstheme="minorBidi"/>
          <w:noProof/>
          <w:szCs w:val="22"/>
          <w:lang w:eastAsia="hr-HR"/>
        </w:rPr>
      </w:pPr>
      <w:r w:rsidRPr="00454D31">
        <w:rPr>
          <w:rFonts w:ascii="Calibri" w:hAnsi="Calibri"/>
          <w:i/>
        </w:rPr>
        <w:fldChar w:fldCharType="begin"/>
      </w:r>
      <w:r w:rsidR="007B0169" w:rsidRPr="00454D31">
        <w:rPr>
          <w:rFonts w:ascii="Calibri" w:hAnsi="Calibri"/>
          <w:i/>
        </w:rPr>
        <w:instrText xml:space="preserve"> TOC \h \z \t "Heading 6;TABLICE" \c </w:instrText>
      </w:r>
      <w:r w:rsidRPr="00454D31">
        <w:rPr>
          <w:rFonts w:ascii="Calibri" w:hAnsi="Calibri"/>
          <w:i/>
        </w:rPr>
        <w:fldChar w:fldCharType="separate"/>
      </w:r>
      <w:hyperlink w:anchor="_Toc254010230" w:history="1">
        <w:r w:rsidR="00454D31" w:rsidRPr="00454D31">
          <w:rPr>
            <w:rStyle w:val="Hyperlink"/>
            <w:rFonts w:ascii="Calibri" w:hAnsi="Calibri"/>
            <w:noProof/>
          </w:rPr>
          <w:t>Tablica 2.1: Standardni emisijski faktori iz izgaranja goriva prema IPCC metodologiji</w:t>
        </w:r>
        <w:r w:rsidR="00454D31" w:rsidRPr="00454D31">
          <w:rPr>
            <w:rFonts w:ascii="Calibri" w:hAnsi="Calibri"/>
            <w:noProof/>
            <w:webHidden/>
          </w:rPr>
          <w:tab/>
        </w:r>
        <w:r w:rsidRPr="00454D31">
          <w:rPr>
            <w:rFonts w:ascii="Calibri" w:hAnsi="Calibri"/>
            <w:noProof/>
            <w:webHidden/>
          </w:rPr>
          <w:fldChar w:fldCharType="begin"/>
        </w:r>
        <w:r w:rsidR="00454D31" w:rsidRPr="00454D31">
          <w:rPr>
            <w:rFonts w:ascii="Calibri" w:hAnsi="Calibri"/>
            <w:noProof/>
            <w:webHidden/>
          </w:rPr>
          <w:instrText xml:space="preserve"> PAGEREF _Toc254010230 \h </w:instrText>
        </w:r>
        <w:r w:rsidRPr="00454D31">
          <w:rPr>
            <w:rFonts w:ascii="Calibri" w:hAnsi="Calibri"/>
            <w:noProof/>
            <w:webHidden/>
          </w:rPr>
        </w:r>
        <w:r w:rsidRPr="00454D31">
          <w:rPr>
            <w:rFonts w:ascii="Calibri" w:hAnsi="Calibri"/>
            <w:noProof/>
            <w:webHidden/>
          </w:rPr>
          <w:fldChar w:fldCharType="separate"/>
        </w:r>
        <w:r w:rsidR="00DC766F">
          <w:rPr>
            <w:rFonts w:ascii="Calibri" w:hAnsi="Calibri"/>
            <w:noProof/>
            <w:webHidden/>
          </w:rPr>
          <w:t>4</w:t>
        </w:r>
        <w:r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31" w:history="1">
        <w:r w:rsidR="00454D31" w:rsidRPr="00454D31">
          <w:rPr>
            <w:rStyle w:val="Hyperlink"/>
            <w:rFonts w:ascii="Calibri" w:hAnsi="Calibri"/>
            <w:noProof/>
          </w:rPr>
          <w:t>Tablica 2.2: Pojedinačni emisijski faktor te konačan emisijski faktor za proračun emisije iz potrošnje topline</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_Toc254010231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6</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32" w:history="1">
        <w:r w:rsidR="00454D31" w:rsidRPr="00454D31">
          <w:rPr>
            <w:rStyle w:val="Hyperlink"/>
            <w:rFonts w:ascii="Calibri" w:hAnsi="Calibri"/>
            <w:noProof/>
          </w:rPr>
          <w:t>Tablica 2.3: Karakteristike goriva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_Toc254010232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6</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33" w:history="1">
        <w:r w:rsidR="00454D31" w:rsidRPr="00454D31">
          <w:rPr>
            <w:rStyle w:val="Hyperlink"/>
            <w:rFonts w:ascii="Calibri" w:hAnsi="Calibri"/>
            <w:noProof/>
          </w:rPr>
          <w:t>Tablica 2.4: Emisijski faktori korišteni u proračunu</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_Toc254010233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6</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34" w:history="1">
        <w:r w:rsidR="00454D31" w:rsidRPr="00454D31">
          <w:rPr>
            <w:rStyle w:val="Hyperlink"/>
            <w:rFonts w:ascii="Calibri" w:hAnsi="Calibri"/>
            <w:noProof/>
          </w:rPr>
          <w:t>Tablica 2.5: Prikaz tehnoloških rješenja vozila prema ECE i Euro normama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_Toc254010234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9</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35" w:history="1">
        <w:r w:rsidR="00454D31" w:rsidRPr="00454D31">
          <w:rPr>
            <w:rStyle w:val="Hyperlink"/>
            <w:rFonts w:ascii="Calibri" w:hAnsi="Calibri"/>
            <w:noProof/>
          </w:rPr>
          <w:t>Tablica 2.6: Raspodjela osobnih vozila po kategorijama i klasama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_Toc254010235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10</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36" w:history="1">
        <w:r w:rsidR="00454D31" w:rsidRPr="00454D31">
          <w:rPr>
            <w:rStyle w:val="Hyperlink"/>
            <w:rFonts w:ascii="Calibri" w:hAnsi="Calibri"/>
            <w:noProof/>
          </w:rPr>
          <w:t>Tablica 2.7: Raspodjela teretnih vozila, autobusa, te mopeda i motocikala po kategorijama i klasama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_Toc254010236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11</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37" w:history="1">
        <w:r w:rsidR="00454D31" w:rsidRPr="00454D31">
          <w:rPr>
            <w:rStyle w:val="Hyperlink"/>
            <w:rFonts w:ascii="Calibri" w:hAnsi="Calibri"/>
            <w:noProof/>
          </w:rPr>
          <w:t>Tablica 2.8: Ulazni podaci za proračun emisije pomoću COPERT metodologije</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_Toc254010237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12</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38" w:history="1">
        <w:r w:rsidR="00454D31" w:rsidRPr="00454D31">
          <w:rPr>
            <w:rStyle w:val="Hyperlink"/>
            <w:rFonts w:ascii="Calibri" w:hAnsi="Calibri"/>
            <w:noProof/>
          </w:rPr>
          <w:t>Tablica 2.9: Potrošnja električne energije i neizravna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za sektor javne rasvjete</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_Toc254010238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13</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39" w:history="1">
        <w:r w:rsidR="00454D31" w:rsidRPr="00454D31">
          <w:rPr>
            <w:rStyle w:val="Hyperlink"/>
            <w:rFonts w:ascii="Calibri" w:hAnsi="Calibri"/>
            <w:noProof/>
          </w:rPr>
          <w:t>Tablica 2.10: Potrošnja plina i emisija CO</w:t>
        </w:r>
        <w:r w:rsidR="00454D31" w:rsidRPr="00454D31">
          <w:rPr>
            <w:rStyle w:val="Hyperlink"/>
            <w:rFonts w:ascii="Calibri" w:hAnsi="Calibri"/>
            <w:noProof/>
            <w:vertAlign w:val="subscript"/>
          </w:rPr>
          <w:t xml:space="preserve">2 </w:t>
        </w:r>
        <w:r w:rsidR="00454D31" w:rsidRPr="00454D31">
          <w:rPr>
            <w:rStyle w:val="Hyperlink"/>
            <w:rFonts w:ascii="Calibri" w:hAnsi="Calibri"/>
            <w:noProof/>
          </w:rPr>
          <w:t>za sektor javne rasvjete</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_Toc254010239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13</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40" w:history="1">
        <w:r w:rsidR="00454D31" w:rsidRPr="00454D31">
          <w:rPr>
            <w:rStyle w:val="Hyperlink"/>
            <w:rFonts w:ascii="Calibri" w:hAnsi="Calibri"/>
            <w:noProof/>
          </w:rPr>
          <w:t>Tablica 2.11: Karakteristične vrijednosti korištenog goriva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_Toc254010240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14</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41" w:history="1">
        <w:r w:rsidR="00454D31" w:rsidRPr="00454D31">
          <w:rPr>
            <w:rStyle w:val="Hyperlink"/>
            <w:rFonts w:ascii="Calibri" w:hAnsi="Calibri"/>
            <w:noProof/>
          </w:rPr>
          <w:t>Tablica 2.12: Detaljan prikaz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iz sektora zgradarstva Grada Zagreba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_Toc254010241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14</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42" w:history="1">
        <w:r w:rsidR="00454D31" w:rsidRPr="00454D31">
          <w:rPr>
            <w:rStyle w:val="Hyperlink"/>
            <w:rFonts w:ascii="Calibri" w:hAnsi="Calibri"/>
            <w:noProof/>
          </w:rPr>
          <w:t>Tablica 2.13: Raspodjela uvjeta vožnje u Gradu Zagrebu</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_Toc254010242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17</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43" w:history="1">
        <w:r w:rsidR="00454D31" w:rsidRPr="00454D31">
          <w:rPr>
            <w:rStyle w:val="Hyperlink"/>
            <w:rFonts w:ascii="Calibri" w:hAnsi="Calibri"/>
            <w:noProof/>
          </w:rPr>
          <w:t>Tablica 2.14: Struktura registriranih vozila u Gradu Zagrebu u 2008. godini</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_Toc254010243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18</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44" w:history="1">
        <w:r w:rsidR="00454D31" w:rsidRPr="00454D31">
          <w:rPr>
            <w:rStyle w:val="Hyperlink"/>
            <w:rFonts w:ascii="Calibri" w:hAnsi="Calibri"/>
            <w:noProof/>
          </w:rPr>
          <w:t>Tablica 2.15: Potrošnje raznih vrsta goriva voznog parka u vlasništvu Grada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_Toc254010244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20</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45" w:history="1">
        <w:r w:rsidR="00454D31" w:rsidRPr="00454D31">
          <w:rPr>
            <w:rStyle w:val="Hyperlink"/>
            <w:rFonts w:ascii="Calibri" w:hAnsi="Calibri"/>
            <w:noProof/>
          </w:rPr>
          <w:t>Tablica 2.17: Karakteristike goriva i standardni emisijski faktori</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_Toc254010245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21</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46" w:history="1">
        <w:r w:rsidR="00454D31" w:rsidRPr="00454D31">
          <w:rPr>
            <w:rStyle w:val="Hyperlink"/>
            <w:rFonts w:ascii="Calibri" w:hAnsi="Calibri"/>
            <w:noProof/>
          </w:rPr>
          <w:t>Tablica 2.18: Potrošnje goriva i emisije stakleničkih plinova po kategorijama autobusa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_Toc254010246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23</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47" w:history="1">
        <w:r w:rsidR="00454D31" w:rsidRPr="00454D31">
          <w:rPr>
            <w:rStyle w:val="Hyperlink"/>
            <w:rFonts w:ascii="Calibri" w:hAnsi="Calibri"/>
            <w:noProof/>
          </w:rPr>
          <w:t>Tablica 2.19: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vozila javnog prijevoza na električni pogon</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_Toc254010247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24</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48" w:history="1">
        <w:r w:rsidR="00454D31" w:rsidRPr="00454D31">
          <w:rPr>
            <w:rStyle w:val="Hyperlink"/>
            <w:rFonts w:ascii="Calibri" w:hAnsi="Calibri"/>
            <w:noProof/>
          </w:rPr>
          <w:t>Tablica 2.21: Potrošnja pojedine vrste goriva u 2008. godini</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_Toc254010248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25</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49" w:history="1">
        <w:r w:rsidR="00454D31" w:rsidRPr="00454D31">
          <w:rPr>
            <w:rStyle w:val="Hyperlink"/>
            <w:rFonts w:ascii="Calibri" w:hAnsi="Calibri"/>
            <w:noProof/>
          </w:rPr>
          <w:t>Tablica 2.22: Potrošnje goriva i emisije stakleničkih plinova potkategorije osobnih vozila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_Toc254010249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26</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50" w:history="1">
        <w:r w:rsidR="00454D31" w:rsidRPr="00454D31">
          <w:rPr>
            <w:rStyle w:val="Hyperlink"/>
            <w:rFonts w:ascii="Calibri" w:hAnsi="Calibri"/>
            <w:noProof/>
          </w:rPr>
          <w:t>Tablica 2.23: Potrošnje goriva i emisije stakleničkih stakleničkih plinova po kategorijama teretnih vozila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_Toc254010250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28</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51" w:history="1">
        <w:r w:rsidR="00454D31" w:rsidRPr="00454D31">
          <w:rPr>
            <w:rStyle w:val="Hyperlink"/>
            <w:rFonts w:ascii="Calibri" w:hAnsi="Calibri"/>
            <w:noProof/>
          </w:rPr>
          <w:t>Tablica 2.24: Ukupna emisija stakleničkih plinova po kategorijama mopeda i motocikala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_Toc254010251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29</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52" w:history="1">
        <w:r w:rsidR="00454D31" w:rsidRPr="00454D31">
          <w:rPr>
            <w:rStyle w:val="Hyperlink"/>
            <w:rFonts w:ascii="Calibri" w:hAnsi="Calibri"/>
            <w:noProof/>
          </w:rPr>
          <w:t>Tablica 2.25: Potrošnja pojedine vrste goriva u 2008. godini</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_Toc254010252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30</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53" w:history="1">
        <w:r w:rsidR="00454D31" w:rsidRPr="00454D31">
          <w:rPr>
            <w:rStyle w:val="Hyperlink"/>
            <w:rFonts w:ascii="Calibri" w:hAnsi="Calibri"/>
            <w:noProof/>
          </w:rPr>
          <w:t>Tablica 2.26: Emisije i ekvivalent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za podsektor osobnih i komercijalnih vozila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_Toc254010253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31</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54" w:history="1">
        <w:r w:rsidR="00454D31" w:rsidRPr="00454D31">
          <w:rPr>
            <w:rStyle w:val="Hyperlink"/>
            <w:rFonts w:ascii="Calibri" w:hAnsi="Calibri"/>
            <w:noProof/>
          </w:rPr>
          <w:t>Tablica 2.27: Potrošnje energije po sektorima i energentima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_Toc254010254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32</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55" w:history="1">
        <w:r w:rsidR="00454D31" w:rsidRPr="00454D31">
          <w:rPr>
            <w:rStyle w:val="Hyperlink"/>
            <w:rFonts w:ascii="Calibri" w:hAnsi="Calibri"/>
            <w:noProof/>
          </w:rPr>
          <w:t>Tablica 2.28: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po sektorima i energentima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_Toc254010255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34</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56" w:history="1">
        <w:r w:rsidR="00454D31" w:rsidRPr="00454D31">
          <w:rPr>
            <w:rStyle w:val="Hyperlink"/>
            <w:rFonts w:ascii="Calibri" w:hAnsi="Calibri"/>
            <w:noProof/>
          </w:rPr>
          <w:t>Tablica 2.29: Prikaz emisija CO</w:t>
        </w:r>
        <w:r w:rsidR="00454D31" w:rsidRPr="00454D31">
          <w:rPr>
            <w:rStyle w:val="Hyperlink"/>
            <w:rFonts w:ascii="Calibri" w:hAnsi="Calibri"/>
            <w:noProof/>
            <w:vertAlign w:val="subscript"/>
          </w:rPr>
          <w:t>2</w:t>
        </w:r>
        <w:r w:rsidR="00454D31" w:rsidRPr="00454D31">
          <w:rPr>
            <w:rStyle w:val="Hyperlink"/>
            <w:rFonts w:ascii="Calibri" w:hAnsi="Calibri"/>
            <w:noProof/>
          </w:rPr>
          <w:t>-ekv po sektorima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_Toc254010256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36</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57" w:history="1">
        <w:r w:rsidR="00454D31" w:rsidRPr="00454D31">
          <w:rPr>
            <w:rStyle w:val="Hyperlink"/>
            <w:rFonts w:ascii="Calibri" w:hAnsi="Calibri"/>
            <w:noProof/>
          </w:rPr>
          <w:t>Tablica 3.1: Potrošnja energije i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scenarija bez mjera sektora javna rasvjeta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_Toc254010257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37</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58" w:history="1">
        <w:r w:rsidR="00454D31" w:rsidRPr="00454D31">
          <w:rPr>
            <w:rStyle w:val="Hyperlink"/>
            <w:rFonts w:ascii="Calibri" w:hAnsi="Calibri"/>
            <w:noProof/>
          </w:rPr>
          <w:t>Tablica 3.2: Popis mjera te pripadajuće uštede i potencijal smanjenja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sektora javna rasvjeta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_Toc254010258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37</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59" w:history="1">
        <w:r w:rsidR="00454D31" w:rsidRPr="00454D31">
          <w:rPr>
            <w:rStyle w:val="Hyperlink"/>
            <w:rFonts w:ascii="Calibri" w:hAnsi="Calibri"/>
            <w:noProof/>
          </w:rPr>
          <w:t>Tablica 3.3: Usporedba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za scenarij bez i s mjerama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_Toc254010259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38</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60" w:history="1">
        <w:r w:rsidR="00454D31" w:rsidRPr="00454D31">
          <w:rPr>
            <w:rStyle w:val="Hyperlink"/>
            <w:rFonts w:ascii="Calibri" w:hAnsi="Calibri"/>
            <w:noProof/>
          </w:rPr>
          <w:t>Tablica 3.4: Potrošnja energenata scenarija bez mjera sektora zgradarstvo</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_Toc254010260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39</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61" w:history="1">
        <w:r w:rsidR="00454D31" w:rsidRPr="00454D31">
          <w:rPr>
            <w:rStyle w:val="Hyperlink"/>
            <w:rFonts w:ascii="Calibri" w:hAnsi="Calibri"/>
            <w:noProof/>
          </w:rPr>
          <w:t>Tablica 3.5: Projekcija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scenarija bez mjera sektora zgradarstvo</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_Toc254010261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40</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62" w:history="1">
        <w:r w:rsidR="00454D31" w:rsidRPr="00454D31">
          <w:rPr>
            <w:rStyle w:val="Hyperlink"/>
            <w:rFonts w:ascii="Calibri" w:hAnsi="Calibri"/>
            <w:noProof/>
          </w:rPr>
          <w:t>Tablica 3.6: Potrošnja energenata scenarija s mjerama sektora zgradarstvo</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_Toc254010262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41</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63" w:history="1">
        <w:r w:rsidR="00454D31" w:rsidRPr="00454D31">
          <w:rPr>
            <w:rStyle w:val="Hyperlink"/>
            <w:rFonts w:ascii="Calibri" w:hAnsi="Calibri"/>
            <w:noProof/>
          </w:rPr>
          <w:t>Tablica 3.7: Projekcija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scenarija s mjerama sektora zgradarstvo</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_Toc254010263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41</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64" w:history="1">
        <w:r w:rsidR="00454D31" w:rsidRPr="00454D31">
          <w:rPr>
            <w:rStyle w:val="Hyperlink"/>
            <w:rFonts w:ascii="Calibri" w:hAnsi="Calibri"/>
            <w:noProof/>
          </w:rPr>
          <w:t>Tablica 3.8: Potencijal energetskih ušteda sektora zgradarstva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_Toc254010264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42</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65" w:history="1">
        <w:r w:rsidR="00454D31" w:rsidRPr="00454D31">
          <w:rPr>
            <w:rStyle w:val="Hyperlink"/>
            <w:rFonts w:ascii="Calibri" w:hAnsi="Calibri"/>
            <w:noProof/>
          </w:rPr>
          <w:t>Tablica 3.9: Potencijal smanjenja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sektora zgradarstvo</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_Toc254010265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42</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66" w:history="1">
        <w:r w:rsidR="00454D31" w:rsidRPr="00454D31">
          <w:rPr>
            <w:rStyle w:val="Hyperlink"/>
            <w:rFonts w:ascii="Calibri" w:hAnsi="Calibri"/>
            <w:noProof/>
          </w:rPr>
          <w:t>Tablica 3.10: Projekcije sektora zgradarstvo po scenarijima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_Toc254010266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44</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67" w:history="1">
        <w:r w:rsidR="00454D31" w:rsidRPr="00454D31">
          <w:rPr>
            <w:rStyle w:val="Hyperlink"/>
            <w:rFonts w:ascii="Calibri" w:hAnsi="Calibri"/>
            <w:noProof/>
          </w:rPr>
          <w:t>Tablica 3.11: Procjena porasta ukupnog broja cestovnih vozila u 2020. godini</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_Toc254010267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45</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68" w:history="1">
        <w:r w:rsidR="00454D31" w:rsidRPr="00454D31">
          <w:rPr>
            <w:rStyle w:val="Hyperlink"/>
            <w:rFonts w:ascii="Calibri" w:hAnsi="Calibri"/>
            <w:noProof/>
          </w:rPr>
          <w:t>Tablica 3.12: Projekcija potrošnje energije i emisije za 2020. godinu za scenarij bez mjera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_Toc254010268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46</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69" w:history="1">
        <w:r w:rsidR="00454D31" w:rsidRPr="00454D31">
          <w:rPr>
            <w:rStyle w:val="Hyperlink"/>
            <w:rFonts w:ascii="Calibri" w:hAnsi="Calibri"/>
            <w:noProof/>
          </w:rPr>
          <w:t>Tablica 3.13: Projekcija potrošnje energije i emisija za 2020. godinu za scenarij s mjerama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_Toc254010269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47</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70" w:history="1">
        <w:r w:rsidR="00454D31" w:rsidRPr="00454D31">
          <w:rPr>
            <w:rStyle w:val="Hyperlink"/>
            <w:rFonts w:ascii="Calibri" w:hAnsi="Calibri"/>
            <w:noProof/>
          </w:rPr>
          <w:t>Tablica 3.14: Projekcije potrošnje energije i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sektora promet po scenarijima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_Toc254010270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48</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71" w:history="1">
        <w:r w:rsidR="00454D31" w:rsidRPr="00454D31">
          <w:rPr>
            <w:rStyle w:val="Hyperlink"/>
            <w:rFonts w:ascii="Calibri" w:hAnsi="Calibri"/>
            <w:noProof/>
          </w:rPr>
          <w:t>Tablica 3.15: Projekcije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za scenarij bez mjera i scenarij s mjerama po sektorima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_Toc254010271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49</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72" w:history="1">
        <w:r w:rsidR="00454D31" w:rsidRPr="00454D31">
          <w:rPr>
            <w:rStyle w:val="Hyperlink"/>
            <w:rFonts w:ascii="Calibri" w:hAnsi="Calibri"/>
            <w:noProof/>
          </w:rPr>
          <w:t>Tablica 3.16: Ukupni potencijali smanjenja emisija po sektorima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_Toc254010272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49</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73" w:history="1">
        <w:r w:rsidR="00454D31" w:rsidRPr="00454D31">
          <w:rPr>
            <w:rStyle w:val="Hyperlink"/>
            <w:rFonts w:ascii="Calibri" w:hAnsi="Calibri"/>
            <w:noProof/>
          </w:rPr>
          <w:t>Tablica 5.1: Vremenski okvir provedbe mjera u sektoru zgradarstva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_Toc254010273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60</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74" w:history="1">
        <w:r w:rsidR="00454D31" w:rsidRPr="00454D31">
          <w:rPr>
            <w:rStyle w:val="Hyperlink"/>
            <w:rFonts w:ascii="Calibri" w:hAnsi="Calibri"/>
            <w:noProof/>
          </w:rPr>
          <w:t>Tablica 5.2: Vremenski okv</w:t>
        </w:r>
        <w:r w:rsidR="005455C2">
          <w:rPr>
            <w:rStyle w:val="Hyperlink"/>
            <w:rFonts w:ascii="Calibri" w:hAnsi="Calibri"/>
            <w:noProof/>
          </w:rPr>
          <w:t>i</w:t>
        </w:r>
        <w:r w:rsidR="00454D31" w:rsidRPr="00454D31">
          <w:rPr>
            <w:rStyle w:val="Hyperlink"/>
            <w:rFonts w:ascii="Calibri" w:hAnsi="Calibri"/>
            <w:noProof/>
          </w:rPr>
          <w:t>r provedbe mjera u sektoru prometa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_Toc254010274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62</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75" w:history="1">
        <w:r w:rsidR="00454D31" w:rsidRPr="00454D31">
          <w:rPr>
            <w:rStyle w:val="Hyperlink"/>
            <w:rFonts w:ascii="Calibri" w:hAnsi="Calibri"/>
            <w:noProof/>
          </w:rPr>
          <w:t>Tablica 5.3: Vremenski okv</w:t>
        </w:r>
        <w:r w:rsidR="005455C2">
          <w:rPr>
            <w:rStyle w:val="Hyperlink"/>
            <w:rFonts w:ascii="Calibri" w:hAnsi="Calibri"/>
            <w:noProof/>
          </w:rPr>
          <w:t>i</w:t>
        </w:r>
        <w:r w:rsidR="00454D31" w:rsidRPr="00454D31">
          <w:rPr>
            <w:rStyle w:val="Hyperlink"/>
            <w:rFonts w:ascii="Calibri" w:hAnsi="Calibri"/>
            <w:noProof/>
          </w:rPr>
          <w:t xml:space="preserve">r provedbe mjera za sektor </w:t>
        </w:r>
        <w:r w:rsidR="005455C2">
          <w:rPr>
            <w:rStyle w:val="Hyperlink"/>
            <w:rFonts w:ascii="Calibri" w:hAnsi="Calibri"/>
            <w:noProof/>
          </w:rPr>
          <w:t>javne rasvjete</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_Toc254010275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63</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76" w:history="1">
        <w:r w:rsidR="00454D31" w:rsidRPr="00454D31">
          <w:rPr>
            <w:rStyle w:val="Hyperlink"/>
            <w:rFonts w:ascii="Calibri" w:hAnsi="Calibri"/>
            <w:noProof/>
          </w:rPr>
          <w:t>Tablica 6.1: Smanjenje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u sektoru zgradarstva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_Toc254010276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64</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77" w:history="1">
        <w:r w:rsidR="00454D31" w:rsidRPr="00454D31">
          <w:rPr>
            <w:rStyle w:val="Hyperlink"/>
            <w:rFonts w:ascii="Calibri" w:hAnsi="Calibri"/>
            <w:noProof/>
          </w:rPr>
          <w:t>Tablica 6.2: Smanjenje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u sektoru prometa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_Toc254010277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65</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78" w:history="1">
        <w:r w:rsidR="00454D31" w:rsidRPr="00454D31">
          <w:rPr>
            <w:rStyle w:val="Hyperlink"/>
            <w:rFonts w:ascii="Calibri" w:hAnsi="Calibri"/>
            <w:noProof/>
          </w:rPr>
          <w:t>Tablica 6.3: Smanjenje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u sektoru javne rasvjete</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_Toc254010278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65</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79" w:history="1">
        <w:r w:rsidR="00454D31" w:rsidRPr="00454D31">
          <w:rPr>
            <w:rStyle w:val="Hyperlink"/>
            <w:rFonts w:ascii="Calibri" w:hAnsi="Calibri"/>
            <w:noProof/>
          </w:rPr>
          <w:t>Tablica 6.4: Smanjenje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provedbom identificiranih mjera energetske učinkovitosti</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_Toc254010279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66</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80" w:history="1">
        <w:r w:rsidR="00454D31" w:rsidRPr="00454D31">
          <w:rPr>
            <w:rStyle w:val="Hyperlink"/>
            <w:rFonts w:ascii="Calibri" w:hAnsi="Calibri"/>
            <w:noProof/>
          </w:rPr>
          <w:t>Tablica 8.1: Pregled mogućih izvora financiranja mjera i aktivnosti Akcijskog plana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_Toc254010280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72</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81" w:history="1">
        <w:r w:rsidR="00454D31" w:rsidRPr="00454D31">
          <w:rPr>
            <w:rStyle w:val="Hyperlink"/>
            <w:rFonts w:ascii="Calibri" w:hAnsi="Calibri"/>
            <w:noProof/>
          </w:rPr>
          <w:t>Tablica 8.2: Financijski okvir provedbe identificiranih mjera sektora zgradarstvo</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_Toc254010281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73</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82" w:history="1">
        <w:r w:rsidR="00454D31" w:rsidRPr="00454D31">
          <w:rPr>
            <w:rStyle w:val="Hyperlink"/>
            <w:rFonts w:ascii="Calibri" w:hAnsi="Calibri"/>
            <w:noProof/>
          </w:rPr>
          <w:t>Tablica 8.3: Financijski okvir provedbe identificiranih mjera sektora promet</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_Toc254010282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74</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83" w:history="1">
        <w:r w:rsidR="00454D31" w:rsidRPr="00454D31">
          <w:rPr>
            <w:rStyle w:val="Hyperlink"/>
            <w:rFonts w:ascii="Calibri" w:hAnsi="Calibri"/>
            <w:noProof/>
          </w:rPr>
          <w:t>Tablica 8.4: Financijski okvir provedbe identificiranih mjera sektora javna rasvjeta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_Toc254010283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75</w:t>
        </w:r>
        <w:r w:rsidR="0004037B" w:rsidRPr="00454D31">
          <w:rPr>
            <w:rFonts w:ascii="Calibri" w:hAnsi="Calibri"/>
            <w:noProof/>
            <w:webHidden/>
          </w:rPr>
          <w:fldChar w:fldCharType="end"/>
        </w:r>
      </w:hyperlink>
    </w:p>
    <w:p w:rsidR="00B23695" w:rsidRPr="000063FC" w:rsidRDefault="0004037B" w:rsidP="00454D31">
      <w:pPr>
        <w:spacing w:after="120" w:line="276" w:lineRule="auto"/>
        <w:rPr>
          <w:rFonts w:asciiTheme="minorHAnsi" w:hAnsiTheme="minorHAnsi"/>
          <w:i/>
        </w:rPr>
      </w:pPr>
      <w:r w:rsidRPr="00454D31">
        <w:rPr>
          <w:i/>
        </w:rPr>
        <w:fldChar w:fldCharType="end"/>
      </w:r>
    </w:p>
    <w:p w:rsidR="00F35240" w:rsidRPr="000063FC" w:rsidRDefault="00F35240">
      <w:pPr>
        <w:tabs>
          <w:tab w:val="clear" w:pos="720"/>
          <w:tab w:val="clear" w:pos="6912"/>
        </w:tabs>
        <w:spacing w:line="240" w:lineRule="auto"/>
        <w:jc w:val="left"/>
        <w:rPr>
          <w:rFonts w:asciiTheme="minorHAnsi" w:hAnsiTheme="minorHAnsi"/>
          <w:i/>
        </w:rPr>
      </w:pPr>
      <w:r w:rsidRPr="000063FC">
        <w:rPr>
          <w:rFonts w:asciiTheme="minorHAnsi" w:hAnsiTheme="minorHAnsi"/>
          <w:i/>
        </w:rPr>
        <w:br w:type="page"/>
      </w:r>
    </w:p>
    <w:p w:rsidR="00B23695" w:rsidRPr="000063FC" w:rsidRDefault="007B0169">
      <w:pPr>
        <w:spacing w:line="276" w:lineRule="auto"/>
        <w:rPr>
          <w:rFonts w:asciiTheme="minorHAnsi" w:hAnsiTheme="minorHAnsi"/>
          <w:b/>
        </w:rPr>
      </w:pPr>
      <w:r w:rsidRPr="000063FC">
        <w:rPr>
          <w:rFonts w:asciiTheme="minorHAnsi" w:hAnsiTheme="minorHAnsi"/>
          <w:b/>
        </w:rPr>
        <w:lastRenderedPageBreak/>
        <w:t>POPIS SLIKA</w:t>
      </w:r>
    </w:p>
    <w:p w:rsidR="00B23695" w:rsidRPr="000063FC" w:rsidRDefault="00B23695">
      <w:pPr>
        <w:spacing w:line="276" w:lineRule="auto"/>
        <w:rPr>
          <w:rFonts w:asciiTheme="minorHAnsi" w:hAnsiTheme="minorHAnsi"/>
          <w:b/>
        </w:rPr>
      </w:pPr>
    </w:p>
    <w:p w:rsidR="00454D31" w:rsidRPr="00454D31" w:rsidRDefault="0004037B" w:rsidP="00454D31">
      <w:pPr>
        <w:pStyle w:val="TableofFigures"/>
        <w:tabs>
          <w:tab w:val="right" w:leader="dot" w:pos="9063"/>
        </w:tabs>
        <w:spacing w:after="120"/>
        <w:rPr>
          <w:rFonts w:ascii="Calibri" w:eastAsiaTheme="minorEastAsia" w:hAnsi="Calibri" w:cstheme="minorBidi"/>
          <w:noProof/>
          <w:szCs w:val="22"/>
          <w:lang w:eastAsia="hr-HR"/>
        </w:rPr>
      </w:pPr>
      <w:r w:rsidRPr="000063FC">
        <w:rPr>
          <w:rFonts w:ascii="Calibri" w:hAnsi="Calibri"/>
        </w:rPr>
        <w:fldChar w:fldCharType="begin"/>
      </w:r>
      <w:r w:rsidR="007B0169" w:rsidRPr="000063FC">
        <w:rPr>
          <w:rFonts w:ascii="Calibri" w:hAnsi="Calibri"/>
        </w:rPr>
        <w:instrText xml:space="preserve"> TOC \h \z \t "Heading 7;SLIKE" \c </w:instrText>
      </w:r>
      <w:r w:rsidRPr="000063FC">
        <w:rPr>
          <w:rFonts w:ascii="Calibri" w:hAnsi="Calibri"/>
        </w:rPr>
        <w:fldChar w:fldCharType="separate"/>
      </w:r>
      <w:hyperlink w:anchor="_Toc254010284" w:history="1">
        <w:r w:rsidR="00454D31" w:rsidRPr="00454D31">
          <w:rPr>
            <w:rStyle w:val="Hyperlink"/>
            <w:rFonts w:ascii="Calibri" w:hAnsi="Calibri"/>
            <w:noProof/>
          </w:rPr>
          <w:t>Slika 2.1: Blok dijagram COPERT metodologije</w:t>
        </w:r>
        <w:r w:rsidR="00454D31" w:rsidRPr="00454D31">
          <w:rPr>
            <w:rFonts w:ascii="Calibri" w:hAnsi="Calibri"/>
            <w:noProof/>
            <w:webHidden/>
          </w:rPr>
          <w:tab/>
        </w:r>
        <w:r w:rsidRPr="00454D31">
          <w:rPr>
            <w:rFonts w:ascii="Calibri" w:hAnsi="Calibri"/>
            <w:noProof/>
            <w:webHidden/>
          </w:rPr>
          <w:fldChar w:fldCharType="begin"/>
        </w:r>
        <w:r w:rsidR="00454D31" w:rsidRPr="00454D31">
          <w:rPr>
            <w:rFonts w:ascii="Calibri" w:hAnsi="Calibri"/>
            <w:noProof/>
            <w:webHidden/>
          </w:rPr>
          <w:instrText xml:space="preserve"> PAGEREF _Toc254010284 \h </w:instrText>
        </w:r>
        <w:r w:rsidRPr="00454D31">
          <w:rPr>
            <w:rFonts w:ascii="Calibri" w:hAnsi="Calibri"/>
            <w:noProof/>
            <w:webHidden/>
          </w:rPr>
        </w:r>
        <w:r w:rsidRPr="00454D31">
          <w:rPr>
            <w:rFonts w:ascii="Calibri" w:hAnsi="Calibri"/>
            <w:noProof/>
            <w:webHidden/>
          </w:rPr>
          <w:fldChar w:fldCharType="separate"/>
        </w:r>
        <w:r w:rsidR="00DC766F">
          <w:rPr>
            <w:rFonts w:ascii="Calibri" w:hAnsi="Calibri"/>
            <w:noProof/>
            <w:webHidden/>
          </w:rPr>
          <w:t>8</w:t>
        </w:r>
        <w:r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85" w:history="1">
        <w:r w:rsidR="00454D31" w:rsidRPr="00454D31">
          <w:rPr>
            <w:rStyle w:val="Hyperlink"/>
            <w:rFonts w:ascii="Calibri" w:hAnsi="Calibri"/>
            <w:noProof/>
          </w:rPr>
          <w:t>Slika 2.2: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iz sektora zgradarstva Grada Zagreba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_Toc254010285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15</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86" w:history="1">
        <w:r w:rsidR="00454D31" w:rsidRPr="00454D31">
          <w:rPr>
            <w:rStyle w:val="Hyperlink"/>
            <w:rFonts w:ascii="Calibri" w:hAnsi="Calibri"/>
            <w:noProof/>
          </w:rPr>
          <w:t>Slika 2.3: Raspodjela cestovnih vozila u Gradu Zagrebu prema kategorijama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_Toc254010286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19</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87" w:history="1">
        <w:r w:rsidR="00454D31" w:rsidRPr="00454D31">
          <w:rPr>
            <w:rStyle w:val="Hyperlink"/>
            <w:rFonts w:ascii="Calibri" w:hAnsi="Calibri"/>
            <w:noProof/>
          </w:rPr>
          <w:t>Slika 2.4: Broj autobusa proizvođača MAN prema godini proizvodnje</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_Toc254010287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22</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88" w:history="1">
        <w:r w:rsidR="00454D31" w:rsidRPr="00454D31">
          <w:rPr>
            <w:rStyle w:val="Hyperlink"/>
            <w:rFonts w:ascii="Calibri" w:hAnsi="Calibri"/>
            <w:noProof/>
          </w:rPr>
          <w:t>Slika 2.5: Broja autobusa proizvođača Mercedes-Benz prema godini proizvodnje</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_Toc254010288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22</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89" w:history="1">
        <w:r w:rsidR="00454D31" w:rsidRPr="00454D31">
          <w:rPr>
            <w:rStyle w:val="Hyperlink"/>
            <w:rFonts w:ascii="Calibri" w:hAnsi="Calibri"/>
            <w:noProof/>
          </w:rPr>
          <w:t>Slika 2.6: Potrošnja goriva gradskih autobusa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_Toc254010289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23</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90" w:history="1">
        <w:r w:rsidR="00454D31" w:rsidRPr="00454D31">
          <w:rPr>
            <w:rStyle w:val="Hyperlink"/>
            <w:rFonts w:ascii="Calibri" w:hAnsi="Calibri"/>
            <w:noProof/>
          </w:rPr>
          <w:t>Slika 2.7: Potrošnja dizelskog goriva kategorije autobusi</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_Toc254010290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24</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91" w:history="1">
        <w:r w:rsidR="00454D31" w:rsidRPr="00454D31">
          <w:rPr>
            <w:rStyle w:val="Hyperlink"/>
            <w:rFonts w:ascii="Calibri" w:hAnsi="Calibri"/>
            <w:noProof/>
          </w:rPr>
          <w:t>Slika 2.8: Potrošnja pojedinih vrsta goriva podsektora osobnih vozila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_Toc254010291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27</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92" w:history="1">
        <w:r w:rsidR="00454D31" w:rsidRPr="00454D31">
          <w:rPr>
            <w:rStyle w:val="Hyperlink"/>
            <w:rFonts w:ascii="Calibri" w:hAnsi="Calibri"/>
            <w:noProof/>
          </w:rPr>
          <w:t>Slika 2.9: Potrošnja pojedinih vrsta goriva teretnih vozila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_Toc254010292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29</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93" w:history="1">
        <w:r w:rsidR="00454D31" w:rsidRPr="00454D31">
          <w:rPr>
            <w:rStyle w:val="Hyperlink"/>
            <w:rFonts w:ascii="Calibri" w:hAnsi="Calibri"/>
            <w:noProof/>
          </w:rPr>
          <w:t>Slika 2.10: Potrošnja benzinskog goriva kategorije mopeda i motocikala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_Toc254010293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30</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94" w:history="1">
        <w:r w:rsidR="00454D31" w:rsidRPr="00454D31">
          <w:rPr>
            <w:rStyle w:val="Hyperlink"/>
            <w:rFonts w:ascii="Calibri" w:hAnsi="Calibri"/>
            <w:noProof/>
            <w:lang w:eastAsia="hr-HR"/>
          </w:rPr>
          <w:t>Slika</w:t>
        </w:r>
        <w:r w:rsidR="00454D31" w:rsidRPr="00454D31">
          <w:rPr>
            <w:rStyle w:val="Hyperlink"/>
            <w:rFonts w:ascii="Calibri" w:hAnsi="Calibri"/>
            <w:noProof/>
          </w:rPr>
          <w:t xml:space="preserve"> 2.12: Potrošnja ukupne energije Inventara po sektorima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_Toc254010294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32</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95" w:history="1">
        <w:r w:rsidR="00454D31" w:rsidRPr="00454D31">
          <w:rPr>
            <w:rStyle w:val="Hyperlink"/>
            <w:rFonts w:ascii="Calibri" w:hAnsi="Calibri"/>
            <w:noProof/>
          </w:rPr>
          <w:t>Slika 2.13: Potrošnja ukupne energije Inventara po energentima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_Toc254010295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33</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96" w:history="1">
        <w:r w:rsidR="00454D31" w:rsidRPr="00454D31">
          <w:rPr>
            <w:rStyle w:val="Hyperlink"/>
            <w:rFonts w:ascii="Calibri" w:hAnsi="Calibri"/>
            <w:noProof/>
          </w:rPr>
          <w:t>Slika 2.14: Prikaz potrošnje ukupne energije po sektorima i energentima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_Toc254010296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33</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97" w:history="1">
        <w:r w:rsidR="00454D31" w:rsidRPr="00454D31">
          <w:rPr>
            <w:rStyle w:val="Hyperlink"/>
            <w:rFonts w:ascii="Calibri" w:hAnsi="Calibri"/>
            <w:noProof/>
            <w:lang w:eastAsia="hr-HR"/>
          </w:rPr>
          <w:t>Slika</w:t>
        </w:r>
        <w:r w:rsidR="00454D31" w:rsidRPr="00454D31">
          <w:rPr>
            <w:rStyle w:val="Hyperlink"/>
            <w:rFonts w:ascii="Calibri" w:hAnsi="Calibri"/>
            <w:noProof/>
          </w:rPr>
          <w:t xml:space="preserve"> 2.15: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Inventara po sektorima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_Toc254010297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34</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98" w:history="1">
        <w:r w:rsidR="00454D31" w:rsidRPr="00454D31">
          <w:rPr>
            <w:rStyle w:val="Hyperlink"/>
            <w:rFonts w:ascii="Calibri" w:hAnsi="Calibri"/>
            <w:noProof/>
            <w:lang w:eastAsia="hr-HR"/>
          </w:rPr>
          <w:t>Slika</w:t>
        </w:r>
        <w:r w:rsidR="00454D31" w:rsidRPr="00454D31">
          <w:rPr>
            <w:rStyle w:val="Hyperlink"/>
            <w:rFonts w:ascii="Calibri" w:hAnsi="Calibri"/>
            <w:noProof/>
          </w:rPr>
          <w:t xml:space="preserve"> 2.16: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Inventara po energentima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_Toc254010298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35</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299" w:history="1">
        <w:r w:rsidR="00454D31" w:rsidRPr="00454D31">
          <w:rPr>
            <w:rStyle w:val="Hyperlink"/>
            <w:rFonts w:ascii="Calibri" w:hAnsi="Calibri"/>
            <w:noProof/>
          </w:rPr>
          <w:t>Slika 2.17: Prikaz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po sektorima i energentima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_Toc254010299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35</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300" w:history="1">
        <w:r w:rsidR="00454D31" w:rsidRPr="00454D31">
          <w:rPr>
            <w:rStyle w:val="Hyperlink"/>
            <w:rFonts w:ascii="Calibri" w:hAnsi="Calibri"/>
            <w:noProof/>
          </w:rPr>
          <w:t>Slika 3.1: Usporedba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za oba scenarija u 2020. godini s emisijom u 2008. godini</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_Toc254010300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38</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301" w:history="1">
        <w:r w:rsidR="00454D31" w:rsidRPr="00454D31">
          <w:rPr>
            <w:rStyle w:val="Hyperlink"/>
            <w:rFonts w:ascii="Calibri" w:hAnsi="Calibri"/>
            <w:noProof/>
          </w:rPr>
          <w:t>Slika 3.2: Raspodjela potencijala smanjenja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sektora zgradarstvo Grada Zagreba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_Toc254010301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43</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302" w:history="1">
        <w:r w:rsidR="00454D31" w:rsidRPr="00454D31">
          <w:rPr>
            <w:rStyle w:val="Hyperlink"/>
            <w:rFonts w:ascii="Calibri" w:hAnsi="Calibri"/>
            <w:noProof/>
          </w:rPr>
          <w:t>Slika 3.3: Raspodjela potencijala smanjenja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podsektora stambene i javne zgrade u vlasništvu Grada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_Toc254010302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43</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303" w:history="1">
        <w:r w:rsidR="00454D31" w:rsidRPr="00454D31">
          <w:rPr>
            <w:rStyle w:val="Hyperlink"/>
            <w:rFonts w:ascii="Calibri" w:hAnsi="Calibri"/>
            <w:noProof/>
          </w:rPr>
          <w:t>Slika 3.4: Raspodjela potencijala smanjenja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 sektora zgradarstvo prema podsektorima, kategorijama i potkategorijama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_Toc254010303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44</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304" w:history="1">
        <w:r w:rsidR="00454D31" w:rsidRPr="00454D31">
          <w:rPr>
            <w:rStyle w:val="Hyperlink"/>
            <w:rFonts w:ascii="Calibri" w:hAnsi="Calibri"/>
            <w:noProof/>
          </w:rPr>
          <w:t>Slika 3.5: Usporedba projekcija emisija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u 2020. godini s emisijom u 2008. godini sektora zgradarstvo</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_Toc254010304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45</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305" w:history="1">
        <w:r w:rsidR="00454D31" w:rsidRPr="00454D31">
          <w:rPr>
            <w:rStyle w:val="Hyperlink"/>
            <w:rFonts w:ascii="Calibri" w:hAnsi="Calibri"/>
            <w:noProof/>
          </w:rPr>
          <w:t>Slika 3.6: Raspodjela potencijala smanjenja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sektora promet</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_Toc254010305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47</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306" w:history="1">
        <w:r w:rsidR="00454D31" w:rsidRPr="00454D31">
          <w:rPr>
            <w:rStyle w:val="Hyperlink"/>
            <w:rFonts w:ascii="Calibri" w:hAnsi="Calibri"/>
            <w:noProof/>
          </w:rPr>
          <w:t>Slika 3.7: Usporedba projekcija emisija u 2020. godini s emisijom u 2008. godini za sektor promet</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_Toc254010306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48</w:t>
        </w:r>
        <w:r w:rsidR="0004037B" w:rsidRPr="00454D31">
          <w:rPr>
            <w:rFonts w:ascii="Calibri" w:hAnsi="Calibri"/>
            <w:noProof/>
            <w:webHidden/>
          </w:rPr>
          <w:fldChar w:fldCharType="end"/>
        </w:r>
      </w:hyperlink>
    </w:p>
    <w:p w:rsidR="00454D31" w:rsidRPr="00454D31" w:rsidRDefault="00263443" w:rsidP="00454D31">
      <w:pPr>
        <w:pStyle w:val="TableofFigures"/>
        <w:tabs>
          <w:tab w:val="right" w:leader="dot" w:pos="9063"/>
        </w:tabs>
        <w:spacing w:after="120"/>
        <w:rPr>
          <w:rFonts w:ascii="Calibri" w:eastAsiaTheme="minorEastAsia" w:hAnsi="Calibri" w:cstheme="minorBidi"/>
          <w:noProof/>
          <w:szCs w:val="22"/>
          <w:lang w:eastAsia="hr-HR"/>
        </w:rPr>
      </w:pPr>
      <w:hyperlink w:anchor="_Toc254010307" w:history="1">
        <w:r w:rsidR="00454D31" w:rsidRPr="00454D31">
          <w:rPr>
            <w:rStyle w:val="Hyperlink"/>
            <w:rFonts w:ascii="Calibri" w:hAnsi="Calibri"/>
            <w:noProof/>
          </w:rPr>
          <w:t>Slika 3.8: Raspodjela potencijala smanjenja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(%)po sektorima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_Toc254010307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50</w:t>
        </w:r>
        <w:r w:rsidR="0004037B" w:rsidRPr="00454D31">
          <w:rPr>
            <w:rFonts w:ascii="Calibri" w:hAnsi="Calibri"/>
            <w:noProof/>
            <w:webHidden/>
          </w:rPr>
          <w:fldChar w:fldCharType="end"/>
        </w:r>
      </w:hyperlink>
    </w:p>
    <w:p w:rsidR="00454D31" w:rsidRDefault="00263443" w:rsidP="00454D31">
      <w:pPr>
        <w:pStyle w:val="TableofFigures"/>
        <w:tabs>
          <w:tab w:val="right" w:leader="dot" w:pos="9063"/>
        </w:tabs>
        <w:spacing w:after="120"/>
        <w:rPr>
          <w:rFonts w:asciiTheme="minorHAnsi" w:eastAsiaTheme="minorEastAsia" w:hAnsiTheme="minorHAnsi" w:cstheme="minorBidi"/>
          <w:noProof/>
          <w:szCs w:val="22"/>
          <w:lang w:eastAsia="hr-HR"/>
        </w:rPr>
      </w:pPr>
      <w:hyperlink w:anchor="_Toc254010308" w:history="1">
        <w:r w:rsidR="00454D31" w:rsidRPr="00454D31">
          <w:rPr>
            <w:rStyle w:val="Hyperlink"/>
            <w:rFonts w:ascii="Calibri" w:hAnsi="Calibri"/>
            <w:noProof/>
          </w:rPr>
          <w:t>Slika 3.9: Ukupne projekcije emisije CO</w:t>
        </w:r>
        <w:r w:rsidR="00454D31" w:rsidRPr="00454D31">
          <w:rPr>
            <w:rStyle w:val="Hyperlink"/>
            <w:rFonts w:ascii="Calibri" w:hAnsi="Calibri"/>
            <w:noProof/>
            <w:vertAlign w:val="subscript"/>
          </w:rPr>
          <w:t>2</w:t>
        </w:r>
        <w:r w:rsidR="00454D31" w:rsidRPr="00454D31">
          <w:rPr>
            <w:rStyle w:val="Hyperlink"/>
            <w:rFonts w:ascii="Calibri" w:hAnsi="Calibri"/>
            <w:noProof/>
          </w:rPr>
          <w:t xml:space="preserve"> po scenarijima</w:t>
        </w:r>
        <w:r w:rsidR="00454D31" w:rsidRPr="00454D31">
          <w:rPr>
            <w:rFonts w:ascii="Calibri" w:hAnsi="Calibri"/>
            <w:noProof/>
            <w:webHidden/>
          </w:rPr>
          <w:tab/>
        </w:r>
        <w:r w:rsidR="0004037B" w:rsidRPr="00454D31">
          <w:rPr>
            <w:rFonts w:ascii="Calibri" w:hAnsi="Calibri"/>
            <w:noProof/>
            <w:webHidden/>
          </w:rPr>
          <w:fldChar w:fldCharType="begin"/>
        </w:r>
        <w:r w:rsidR="00454D31" w:rsidRPr="00454D31">
          <w:rPr>
            <w:rFonts w:ascii="Calibri" w:hAnsi="Calibri"/>
            <w:noProof/>
            <w:webHidden/>
          </w:rPr>
          <w:instrText xml:space="preserve"> PAGEREF _Toc254010308 \h </w:instrText>
        </w:r>
        <w:r w:rsidR="0004037B" w:rsidRPr="00454D31">
          <w:rPr>
            <w:rFonts w:ascii="Calibri" w:hAnsi="Calibri"/>
            <w:noProof/>
            <w:webHidden/>
          </w:rPr>
        </w:r>
        <w:r w:rsidR="0004037B" w:rsidRPr="00454D31">
          <w:rPr>
            <w:rFonts w:ascii="Calibri" w:hAnsi="Calibri"/>
            <w:noProof/>
            <w:webHidden/>
          </w:rPr>
          <w:fldChar w:fldCharType="separate"/>
        </w:r>
        <w:r w:rsidR="00DC766F">
          <w:rPr>
            <w:rFonts w:ascii="Calibri" w:hAnsi="Calibri"/>
            <w:noProof/>
            <w:webHidden/>
          </w:rPr>
          <w:t>50</w:t>
        </w:r>
        <w:r w:rsidR="0004037B" w:rsidRPr="00454D31">
          <w:rPr>
            <w:rFonts w:ascii="Calibri" w:hAnsi="Calibri"/>
            <w:noProof/>
            <w:webHidden/>
          </w:rPr>
          <w:fldChar w:fldCharType="end"/>
        </w:r>
      </w:hyperlink>
    </w:p>
    <w:p w:rsidR="00BC341E" w:rsidRPr="000063FC" w:rsidRDefault="0004037B">
      <w:pPr>
        <w:spacing w:after="120" w:line="276" w:lineRule="auto"/>
      </w:pPr>
      <w:r w:rsidRPr="000063FC">
        <w:fldChar w:fldCharType="end"/>
      </w:r>
    </w:p>
    <w:p w:rsidR="00B23695" w:rsidRPr="000063FC" w:rsidRDefault="00B23695">
      <w:pPr>
        <w:tabs>
          <w:tab w:val="right" w:leader="dot" w:pos="9356"/>
        </w:tabs>
        <w:spacing w:after="120" w:line="276" w:lineRule="auto"/>
        <w:ind w:left="993" w:right="565" w:hanging="993"/>
        <w:rPr>
          <w:szCs w:val="22"/>
        </w:rPr>
      </w:pPr>
    </w:p>
    <w:p w:rsidR="008B7CDB" w:rsidRPr="000063FC" w:rsidRDefault="008B7CDB" w:rsidP="00712520">
      <w:pPr>
        <w:spacing w:line="276" w:lineRule="auto"/>
        <w:rPr>
          <w:szCs w:val="22"/>
        </w:rPr>
        <w:sectPr w:rsidR="008B7CDB" w:rsidRPr="000063FC" w:rsidSect="00B40362">
          <w:headerReference w:type="default" r:id="rId17"/>
          <w:footerReference w:type="default" r:id="rId18"/>
          <w:pgSz w:w="11909" w:h="16834" w:code="9"/>
          <w:pgMar w:top="970" w:right="1418" w:bottom="1418" w:left="1418" w:header="1151" w:footer="1111" w:gutter="0"/>
          <w:pgNumType w:start="1"/>
          <w:cols w:space="720"/>
        </w:sectPr>
      </w:pPr>
    </w:p>
    <w:p w:rsidR="000B5A4D" w:rsidRPr="000063FC" w:rsidRDefault="000B5A4D" w:rsidP="00712520">
      <w:pPr>
        <w:pStyle w:val="NoSpacing"/>
        <w:spacing w:line="276" w:lineRule="auto"/>
        <w:sectPr w:rsidR="000B5A4D" w:rsidRPr="000063FC" w:rsidSect="00A44CF7">
          <w:type w:val="continuous"/>
          <w:pgSz w:w="11909" w:h="16834" w:code="9"/>
          <w:pgMar w:top="1418" w:right="1701" w:bottom="1418" w:left="1418" w:header="1151" w:footer="1111" w:gutter="0"/>
          <w:pgNumType w:start="1"/>
          <w:cols w:space="720"/>
        </w:sectPr>
      </w:pPr>
    </w:p>
    <w:p w:rsidR="00B23695" w:rsidRPr="000063FC" w:rsidRDefault="008B2E49">
      <w:pPr>
        <w:pStyle w:val="Heading1"/>
      </w:pPr>
      <w:bookmarkStart w:id="1" w:name="_Toc254010176"/>
      <w:r w:rsidRPr="000063FC">
        <w:lastRenderedPageBreak/>
        <w:t>UVOD</w:t>
      </w:r>
      <w:bookmarkEnd w:id="1"/>
    </w:p>
    <w:p w:rsidR="00B23695" w:rsidRPr="000063FC" w:rsidRDefault="00B52596">
      <w:pPr>
        <w:pStyle w:val="Obinitekst1"/>
        <w:spacing w:line="276" w:lineRule="auto"/>
        <w:jc w:val="both"/>
        <w:rPr>
          <w:rFonts w:ascii="Calibri" w:hAnsi="Calibri" w:cs="Arial"/>
          <w:sz w:val="22"/>
          <w:szCs w:val="22"/>
          <w:lang w:val="hr-HR"/>
        </w:rPr>
      </w:pPr>
      <w:r w:rsidRPr="000063FC">
        <w:rPr>
          <w:rFonts w:ascii="Calibri" w:hAnsi="Calibri" w:cs="Arial"/>
          <w:sz w:val="22"/>
          <w:szCs w:val="22"/>
          <w:lang w:val="hr-HR"/>
        </w:rPr>
        <w:t xml:space="preserve">Europska komisija je 29. siječnja 2008. pokrenula veliku inicijativu povezivanja gradonačelnika energetski </w:t>
      </w:r>
      <w:r w:rsidR="00032C5D" w:rsidRPr="000063FC">
        <w:rPr>
          <w:rFonts w:ascii="Calibri" w:hAnsi="Calibri" w:cs="Arial"/>
          <w:sz w:val="22"/>
          <w:szCs w:val="22"/>
          <w:lang w:val="hr-HR"/>
        </w:rPr>
        <w:t>osviještenih</w:t>
      </w:r>
      <w:r w:rsidRPr="000063FC">
        <w:rPr>
          <w:rFonts w:ascii="Calibri" w:hAnsi="Calibri" w:cs="Arial"/>
          <w:sz w:val="22"/>
          <w:szCs w:val="22"/>
          <w:lang w:val="hr-HR"/>
        </w:rPr>
        <w:t xml:space="preserve"> europskih gradova u trajnu mrežu s ciljem razmjene iskustava u primjeni djelotvornih mjera za poboljšanje energetske učinkovitosti urbanih sredina. Sporazum gradonačelnika (Covenant of Mayors) je odgovor naprednih europskih gradova na </w:t>
      </w:r>
      <w:r w:rsidR="00FA4B2E">
        <w:rPr>
          <w:rFonts w:ascii="Calibri" w:hAnsi="Calibri" w:cs="Arial"/>
          <w:sz w:val="22"/>
          <w:szCs w:val="22"/>
          <w:lang w:val="hr-HR"/>
        </w:rPr>
        <w:t xml:space="preserve">izazove globalne promjene klime, te </w:t>
      </w:r>
      <w:r w:rsidRPr="000063FC">
        <w:rPr>
          <w:rFonts w:ascii="Calibri" w:hAnsi="Calibri" w:cs="Arial"/>
          <w:sz w:val="22"/>
          <w:szCs w:val="22"/>
          <w:lang w:val="hr-HR"/>
        </w:rPr>
        <w:t xml:space="preserve">prva i najambicioznija inicijativa Europske komisije koja izravno cilja na lokalne vlasti i građane </w:t>
      </w:r>
      <w:r w:rsidR="00FA4B2E">
        <w:rPr>
          <w:rFonts w:ascii="Calibri" w:hAnsi="Calibri" w:cs="Arial"/>
          <w:sz w:val="22"/>
          <w:szCs w:val="22"/>
          <w:lang w:val="hr-HR"/>
        </w:rPr>
        <w:t>da se aktivno uključ</w:t>
      </w:r>
      <w:r w:rsidRPr="000063FC">
        <w:rPr>
          <w:rFonts w:ascii="Calibri" w:hAnsi="Calibri" w:cs="Arial"/>
          <w:sz w:val="22"/>
          <w:szCs w:val="22"/>
          <w:lang w:val="hr-HR"/>
        </w:rPr>
        <w:t>e u borbu protiv globalnog zatopljenja.</w:t>
      </w:r>
      <w:r w:rsidRPr="000063FC">
        <w:rPr>
          <w:rFonts w:ascii="Calibri" w:hAnsi="Calibri" w:cs="Courier New"/>
          <w:sz w:val="22"/>
          <w:szCs w:val="22"/>
          <w:lang w:val="hr-HR"/>
        </w:rPr>
        <w:t xml:space="preserve"> </w:t>
      </w:r>
      <w:r w:rsidRPr="000063FC">
        <w:rPr>
          <w:rFonts w:ascii="Calibri" w:hAnsi="Calibri" w:cs="Arial"/>
          <w:sz w:val="22"/>
          <w:szCs w:val="22"/>
          <w:lang w:val="hr-HR"/>
        </w:rPr>
        <w:t>Potpisivanjem Sporazuma gradonačelnici se obvezuju na primjenu brojnih mjera energetske učinkovitosti kojima će u konačnici do 2020. godine smanjiti emisije CO</w:t>
      </w:r>
      <w:r w:rsidRPr="000063FC">
        <w:rPr>
          <w:rFonts w:ascii="Calibri" w:hAnsi="Calibri" w:cs="Arial"/>
          <w:sz w:val="22"/>
          <w:szCs w:val="22"/>
          <w:vertAlign w:val="subscript"/>
          <w:lang w:val="hr-HR"/>
        </w:rPr>
        <w:t>2</w:t>
      </w:r>
      <w:r w:rsidRPr="000063FC">
        <w:rPr>
          <w:rFonts w:ascii="Calibri" w:hAnsi="Calibri" w:cs="Arial"/>
          <w:sz w:val="22"/>
          <w:szCs w:val="22"/>
          <w:lang w:val="hr-HR"/>
        </w:rPr>
        <w:t xml:space="preserve"> u svom gradu za više od 20% na koliko obvezuje Prijedlog Europske energetske politike iz 2007. godine. </w:t>
      </w:r>
    </w:p>
    <w:p w:rsidR="00B23695" w:rsidRPr="000063FC" w:rsidRDefault="00B23695">
      <w:pPr>
        <w:pStyle w:val="Obinitekst1"/>
        <w:spacing w:line="276" w:lineRule="auto"/>
        <w:jc w:val="both"/>
        <w:rPr>
          <w:rFonts w:ascii="Calibri" w:hAnsi="Calibri" w:cs="Arial"/>
          <w:sz w:val="22"/>
          <w:szCs w:val="22"/>
          <w:lang w:val="hr-HR"/>
        </w:rPr>
      </w:pPr>
    </w:p>
    <w:p w:rsidR="00B23695" w:rsidRPr="000063FC" w:rsidRDefault="00B52596">
      <w:pPr>
        <w:pStyle w:val="Obinitekst1"/>
        <w:spacing w:line="276" w:lineRule="auto"/>
        <w:jc w:val="both"/>
        <w:rPr>
          <w:rFonts w:ascii="Calibri" w:hAnsi="Calibri" w:cs="Arial"/>
          <w:sz w:val="22"/>
          <w:szCs w:val="22"/>
          <w:lang w:val="hr-HR"/>
        </w:rPr>
      </w:pPr>
      <w:r w:rsidRPr="000063FC">
        <w:rPr>
          <w:rFonts w:ascii="Calibri" w:hAnsi="Calibri" w:cs="Arial"/>
          <w:sz w:val="22"/>
          <w:szCs w:val="22"/>
          <w:lang w:val="hr-HR"/>
        </w:rPr>
        <w:t>Sporazumom su definirane i konkretne aktivnosti koje potpisnik prihvaća:</w:t>
      </w:r>
    </w:p>
    <w:p w:rsidR="00B23695" w:rsidRPr="000063FC" w:rsidRDefault="002F7331" w:rsidP="00C20113">
      <w:pPr>
        <w:pStyle w:val="Obinitekst1"/>
        <w:numPr>
          <w:ilvl w:val="0"/>
          <w:numId w:val="15"/>
        </w:numPr>
        <w:spacing w:line="276" w:lineRule="auto"/>
        <w:jc w:val="both"/>
        <w:rPr>
          <w:rFonts w:ascii="Calibri" w:hAnsi="Calibri" w:cs="Arial"/>
          <w:sz w:val="22"/>
          <w:szCs w:val="22"/>
          <w:lang w:val="hr-HR"/>
        </w:rPr>
      </w:pPr>
      <w:r w:rsidRPr="000063FC">
        <w:rPr>
          <w:rFonts w:ascii="Calibri" w:hAnsi="Calibri" w:cs="Arial"/>
          <w:sz w:val="22"/>
          <w:szCs w:val="22"/>
          <w:lang w:val="hr-HR"/>
        </w:rPr>
        <w:t>Izrada</w:t>
      </w:r>
      <w:r w:rsidR="00B52596" w:rsidRPr="000063FC">
        <w:rPr>
          <w:rFonts w:ascii="Calibri" w:hAnsi="Calibri" w:cs="Arial"/>
          <w:sz w:val="22"/>
          <w:szCs w:val="22"/>
          <w:lang w:val="hr-HR"/>
        </w:rPr>
        <w:t xml:space="preserve"> </w:t>
      </w:r>
      <w:r w:rsidRPr="000063FC">
        <w:rPr>
          <w:rFonts w:ascii="Calibri" w:hAnsi="Calibri" w:cs="Arial"/>
          <w:sz w:val="22"/>
          <w:szCs w:val="22"/>
          <w:lang w:val="hr-HR"/>
        </w:rPr>
        <w:t>Referentnog inventara emisija CO</w:t>
      </w:r>
      <w:r w:rsidRPr="000063FC">
        <w:rPr>
          <w:rFonts w:ascii="Calibri" w:hAnsi="Calibri" w:cs="Arial"/>
          <w:sz w:val="22"/>
          <w:szCs w:val="22"/>
          <w:vertAlign w:val="subscript"/>
          <w:lang w:val="hr-HR"/>
        </w:rPr>
        <w:t>2</w:t>
      </w:r>
      <w:r w:rsidRPr="000063FC">
        <w:rPr>
          <w:rFonts w:ascii="Calibri" w:hAnsi="Calibri" w:cs="Arial"/>
          <w:sz w:val="22"/>
          <w:szCs w:val="22"/>
          <w:lang w:val="hr-HR"/>
        </w:rPr>
        <w:t xml:space="preserve"> za odabranu referentnu godinu </w:t>
      </w:r>
      <w:r w:rsidR="00B52596" w:rsidRPr="000063FC">
        <w:rPr>
          <w:rFonts w:ascii="Calibri" w:hAnsi="Calibri" w:cs="Arial"/>
          <w:sz w:val="22"/>
          <w:szCs w:val="22"/>
          <w:lang w:val="hr-HR"/>
        </w:rPr>
        <w:t>kao temelja za izradu Akcijskog plana</w:t>
      </w:r>
      <w:r w:rsidRPr="000063FC">
        <w:rPr>
          <w:rFonts w:ascii="Calibri" w:hAnsi="Calibri" w:cs="Arial"/>
          <w:sz w:val="22"/>
          <w:szCs w:val="22"/>
          <w:lang w:val="hr-HR"/>
        </w:rPr>
        <w:t xml:space="preserve"> energetski održivog razvitka grada</w:t>
      </w:r>
      <w:r w:rsidR="00604C33" w:rsidRPr="000063FC">
        <w:rPr>
          <w:rFonts w:ascii="Calibri" w:hAnsi="Calibri" w:cs="Arial"/>
          <w:sz w:val="22"/>
          <w:szCs w:val="22"/>
          <w:lang w:val="hr-HR"/>
        </w:rPr>
        <w:t xml:space="preserve"> (u daljem tekstu Akcijski plan)</w:t>
      </w:r>
      <w:r w:rsidR="00B52596" w:rsidRPr="000063FC">
        <w:rPr>
          <w:rFonts w:ascii="Calibri" w:hAnsi="Calibri" w:cs="Arial"/>
          <w:sz w:val="22"/>
          <w:szCs w:val="22"/>
          <w:lang w:val="hr-HR"/>
        </w:rPr>
        <w:t>,</w:t>
      </w:r>
    </w:p>
    <w:p w:rsidR="00B23695" w:rsidRPr="000063FC" w:rsidRDefault="002F7331" w:rsidP="00C20113">
      <w:pPr>
        <w:pStyle w:val="Obinitekst1"/>
        <w:numPr>
          <w:ilvl w:val="0"/>
          <w:numId w:val="15"/>
        </w:numPr>
        <w:spacing w:line="276" w:lineRule="auto"/>
        <w:jc w:val="both"/>
        <w:rPr>
          <w:rFonts w:ascii="Calibri" w:hAnsi="Calibri" w:cs="Arial"/>
          <w:sz w:val="22"/>
          <w:szCs w:val="22"/>
          <w:lang w:val="hr-HR"/>
        </w:rPr>
      </w:pPr>
      <w:r w:rsidRPr="000063FC">
        <w:rPr>
          <w:rFonts w:ascii="Calibri" w:hAnsi="Calibri" w:cs="Arial"/>
          <w:sz w:val="22"/>
          <w:szCs w:val="22"/>
          <w:lang w:val="hr-HR"/>
        </w:rPr>
        <w:t>Izrada i provedba</w:t>
      </w:r>
      <w:r w:rsidR="00B52596" w:rsidRPr="000063FC">
        <w:rPr>
          <w:rFonts w:ascii="Calibri" w:hAnsi="Calibri" w:cs="Arial"/>
          <w:sz w:val="22"/>
          <w:szCs w:val="22"/>
          <w:lang w:val="hr-HR"/>
        </w:rPr>
        <w:t xml:space="preserve"> Akcijskog plana te</w:t>
      </w:r>
      <w:r w:rsidRPr="000063FC">
        <w:rPr>
          <w:rFonts w:ascii="Calibri" w:hAnsi="Calibri" w:cs="Arial"/>
          <w:sz w:val="22"/>
          <w:szCs w:val="22"/>
          <w:lang w:val="hr-HR"/>
        </w:rPr>
        <w:t xml:space="preserve"> podnošenje izviješća </w:t>
      </w:r>
      <w:r w:rsidR="00B52596" w:rsidRPr="000063FC">
        <w:rPr>
          <w:rFonts w:ascii="Calibri" w:hAnsi="Calibri" w:cs="Arial"/>
          <w:sz w:val="22"/>
          <w:szCs w:val="22"/>
          <w:lang w:val="hr-HR"/>
        </w:rPr>
        <w:t>Europskoj komisiji svake dvije godine,</w:t>
      </w:r>
    </w:p>
    <w:p w:rsidR="00B23695" w:rsidRPr="000063FC" w:rsidRDefault="00B52596" w:rsidP="00C20113">
      <w:pPr>
        <w:pStyle w:val="Obinitekst1"/>
        <w:numPr>
          <w:ilvl w:val="0"/>
          <w:numId w:val="15"/>
        </w:numPr>
        <w:spacing w:line="276" w:lineRule="auto"/>
        <w:jc w:val="both"/>
        <w:rPr>
          <w:rFonts w:ascii="Calibri" w:hAnsi="Calibri" w:cs="Arial"/>
          <w:sz w:val="22"/>
          <w:szCs w:val="22"/>
          <w:lang w:val="hr-HR"/>
        </w:rPr>
      </w:pPr>
      <w:r w:rsidRPr="000063FC">
        <w:rPr>
          <w:rFonts w:ascii="Calibri" w:hAnsi="Calibri" w:cs="Arial"/>
          <w:sz w:val="22"/>
          <w:szCs w:val="22"/>
          <w:lang w:val="hr-HR"/>
        </w:rPr>
        <w:t xml:space="preserve">Prilagođavanje gradske strukture </w:t>
      </w:r>
      <w:r w:rsidR="002F7331" w:rsidRPr="000063FC">
        <w:rPr>
          <w:rFonts w:ascii="Calibri" w:hAnsi="Calibri" w:cs="Arial"/>
          <w:sz w:val="22"/>
          <w:szCs w:val="22"/>
          <w:lang w:val="hr-HR"/>
        </w:rPr>
        <w:t xml:space="preserve">i osiguravanje potrebnog ljudskog potencijala za pripremu i provedbu identificiranih mjera i </w:t>
      </w:r>
      <w:r w:rsidRPr="000063FC">
        <w:rPr>
          <w:rFonts w:ascii="Calibri" w:hAnsi="Calibri" w:cs="Arial"/>
          <w:sz w:val="22"/>
          <w:szCs w:val="22"/>
          <w:lang w:val="hr-HR"/>
        </w:rPr>
        <w:t>aktivnosti,</w:t>
      </w:r>
    </w:p>
    <w:p w:rsidR="00B23695" w:rsidRPr="000063FC" w:rsidRDefault="002F7331" w:rsidP="00C20113">
      <w:pPr>
        <w:pStyle w:val="Obinitekst1"/>
        <w:numPr>
          <w:ilvl w:val="0"/>
          <w:numId w:val="15"/>
        </w:numPr>
        <w:spacing w:line="276" w:lineRule="auto"/>
        <w:jc w:val="both"/>
        <w:rPr>
          <w:rFonts w:ascii="Calibri" w:hAnsi="Calibri" w:cs="Arial"/>
          <w:sz w:val="22"/>
          <w:szCs w:val="22"/>
          <w:lang w:val="hr-HR"/>
        </w:rPr>
      </w:pPr>
      <w:r w:rsidRPr="000063FC">
        <w:rPr>
          <w:rFonts w:ascii="Calibri" w:hAnsi="Calibri" w:cs="Arial"/>
          <w:sz w:val="22"/>
          <w:szCs w:val="22"/>
          <w:lang w:val="hr-HR"/>
        </w:rPr>
        <w:t>Kontinuirano</w:t>
      </w:r>
      <w:r w:rsidR="00B52596" w:rsidRPr="000063FC">
        <w:rPr>
          <w:rFonts w:ascii="Calibri" w:hAnsi="Calibri" w:cs="Arial"/>
          <w:sz w:val="22"/>
          <w:szCs w:val="22"/>
          <w:lang w:val="hr-HR"/>
        </w:rPr>
        <w:t xml:space="preserve"> informiranje </w:t>
      </w:r>
      <w:r w:rsidRPr="000063FC">
        <w:rPr>
          <w:rFonts w:ascii="Calibri" w:hAnsi="Calibri" w:cs="Arial"/>
          <w:sz w:val="22"/>
          <w:szCs w:val="22"/>
          <w:lang w:val="hr-HR"/>
        </w:rPr>
        <w:t xml:space="preserve">građanstva putem </w:t>
      </w:r>
      <w:r w:rsidR="00B52596" w:rsidRPr="000063FC">
        <w:rPr>
          <w:rFonts w:ascii="Calibri" w:hAnsi="Calibri" w:cs="Arial"/>
          <w:sz w:val="22"/>
          <w:szCs w:val="22"/>
          <w:lang w:val="hr-HR"/>
        </w:rPr>
        <w:t xml:space="preserve">lokalnih medija o </w:t>
      </w:r>
      <w:r w:rsidR="00F4653F" w:rsidRPr="000063FC">
        <w:rPr>
          <w:rFonts w:ascii="Calibri" w:hAnsi="Calibri" w:cs="Arial"/>
          <w:sz w:val="22"/>
          <w:szCs w:val="22"/>
          <w:lang w:val="hr-HR"/>
        </w:rPr>
        <w:t>rezultatima</w:t>
      </w:r>
      <w:r w:rsidR="00B52596" w:rsidRPr="000063FC">
        <w:rPr>
          <w:rFonts w:ascii="Calibri" w:hAnsi="Calibri" w:cs="Arial"/>
          <w:sz w:val="22"/>
          <w:szCs w:val="22"/>
          <w:lang w:val="hr-HR"/>
        </w:rPr>
        <w:t xml:space="preserve"> </w:t>
      </w:r>
      <w:r w:rsidRPr="000063FC">
        <w:rPr>
          <w:rFonts w:ascii="Calibri" w:hAnsi="Calibri" w:cs="Arial"/>
          <w:sz w:val="22"/>
          <w:szCs w:val="22"/>
          <w:lang w:val="hr-HR"/>
        </w:rPr>
        <w:t xml:space="preserve">provedbe </w:t>
      </w:r>
      <w:r w:rsidR="00B52596" w:rsidRPr="000063FC">
        <w:rPr>
          <w:rFonts w:ascii="Calibri" w:hAnsi="Calibri" w:cs="Arial"/>
          <w:sz w:val="22"/>
          <w:szCs w:val="22"/>
          <w:lang w:val="hr-HR"/>
        </w:rPr>
        <w:t>Akcijskog plana,</w:t>
      </w:r>
    </w:p>
    <w:p w:rsidR="00B23695" w:rsidRPr="000063FC" w:rsidRDefault="00B52596" w:rsidP="00C20113">
      <w:pPr>
        <w:pStyle w:val="Obinitekst1"/>
        <w:numPr>
          <w:ilvl w:val="0"/>
          <w:numId w:val="15"/>
        </w:numPr>
        <w:spacing w:line="276" w:lineRule="auto"/>
        <w:jc w:val="both"/>
        <w:rPr>
          <w:rFonts w:ascii="Calibri" w:hAnsi="Calibri" w:cs="Arial"/>
          <w:sz w:val="22"/>
          <w:szCs w:val="22"/>
          <w:lang w:val="hr-HR"/>
        </w:rPr>
      </w:pPr>
      <w:r w:rsidRPr="000063FC">
        <w:rPr>
          <w:rFonts w:ascii="Calibri" w:hAnsi="Calibri" w:cs="Arial"/>
          <w:sz w:val="22"/>
          <w:szCs w:val="22"/>
          <w:lang w:val="hr-HR"/>
        </w:rPr>
        <w:t>Informiranje građana o mogućnostima i prednostima k</w:t>
      </w:r>
      <w:r w:rsidR="002F7331" w:rsidRPr="000063FC">
        <w:rPr>
          <w:rFonts w:ascii="Calibri" w:hAnsi="Calibri" w:cs="Arial"/>
          <w:sz w:val="22"/>
          <w:szCs w:val="22"/>
          <w:lang w:val="hr-HR"/>
        </w:rPr>
        <w:t>orištenja energije na učinkovit</w:t>
      </w:r>
      <w:r w:rsidRPr="000063FC">
        <w:rPr>
          <w:rFonts w:ascii="Calibri" w:hAnsi="Calibri" w:cs="Arial"/>
          <w:sz w:val="22"/>
          <w:szCs w:val="22"/>
          <w:lang w:val="hr-HR"/>
        </w:rPr>
        <w:t xml:space="preserve"> način,</w:t>
      </w:r>
    </w:p>
    <w:p w:rsidR="002F7331" w:rsidRPr="000063FC" w:rsidRDefault="002F7331" w:rsidP="00C20113">
      <w:pPr>
        <w:pStyle w:val="Obinitekst1"/>
        <w:numPr>
          <w:ilvl w:val="0"/>
          <w:numId w:val="15"/>
        </w:numPr>
        <w:spacing w:line="276" w:lineRule="auto"/>
        <w:jc w:val="both"/>
        <w:rPr>
          <w:rFonts w:ascii="Calibri" w:hAnsi="Calibri" w:cs="Arial"/>
          <w:sz w:val="22"/>
          <w:szCs w:val="22"/>
          <w:lang w:val="hr-HR"/>
        </w:rPr>
      </w:pPr>
      <w:r w:rsidRPr="000063FC">
        <w:rPr>
          <w:rFonts w:ascii="Calibri" w:hAnsi="Calibri" w:cs="Arial"/>
          <w:sz w:val="22"/>
          <w:szCs w:val="22"/>
          <w:lang w:val="hr-HR"/>
        </w:rPr>
        <w:t>O</w:t>
      </w:r>
      <w:r w:rsidR="00B52596" w:rsidRPr="000063FC">
        <w:rPr>
          <w:rFonts w:ascii="Calibri" w:hAnsi="Calibri" w:cs="Arial"/>
          <w:sz w:val="22"/>
          <w:szCs w:val="22"/>
          <w:lang w:val="hr-HR"/>
        </w:rPr>
        <w:t>rganiziranje Energetskih dana ili Dana Sporazuma gradova</w:t>
      </w:r>
      <w:r w:rsidRPr="000063FC">
        <w:rPr>
          <w:rFonts w:ascii="Calibri" w:hAnsi="Calibri" w:cs="Arial"/>
          <w:sz w:val="22"/>
          <w:szCs w:val="22"/>
          <w:lang w:val="hr-HR"/>
        </w:rPr>
        <w:t xml:space="preserve"> za informiranje građana o prednostima racionalnog korištenja energije</w:t>
      </w:r>
      <w:r w:rsidR="00B52596" w:rsidRPr="000063FC">
        <w:rPr>
          <w:rFonts w:ascii="Calibri" w:hAnsi="Calibri" w:cs="Arial"/>
          <w:sz w:val="22"/>
          <w:szCs w:val="22"/>
          <w:lang w:val="hr-HR"/>
        </w:rPr>
        <w:t xml:space="preserve">, </w:t>
      </w:r>
      <w:r w:rsidRPr="000063FC">
        <w:rPr>
          <w:rFonts w:ascii="Calibri" w:hAnsi="Calibri" w:cs="Arial"/>
          <w:sz w:val="22"/>
          <w:szCs w:val="22"/>
          <w:lang w:val="hr-HR"/>
        </w:rPr>
        <w:t>u suradnji s Europskom komisijom</w:t>
      </w:r>
    </w:p>
    <w:p w:rsidR="00B23695" w:rsidRPr="000063FC" w:rsidRDefault="00B52596" w:rsidP="00C20113">
      <w:pPr>
        <w:pStyle w:val="Obinitekst1"/>
        <w:numPr>
          <w:ilvl w:val="0"/>
          <w:numId w:val="15"/>
        </w:numPr>
        <w:spacing w:line="276" w:lineRule="auto"/>
        <w:jc w:val="both"/>
        <w:rPr>
          <w:rFonts w:ascii="Calibri" w:hAnsi="Calibri" w:cs="Arial"/>
          <w:sz w:val="22"/>
          <w:szCs w:val="22"/>
          <w:lang w:val="hr-HR"/>
        </w:rPr>
      </w:pPr>
      <w:r w:rsidRPr="000063FC">
        <w:rPr>
          <w:rFonts w:ascii="Calibri" w:hAnsi="Calibri" w:cs="Arial"/>
          <w:sz w:val="22"/>
          <w:szCs w:val="22"/>
          <w:lang w:val="hr-HR"/>
        </w:rPr>
        <w:t>Prisustvovanje i doprinos godišnjoj Konferenciji gradonačelnika EU o energetski održivoj Europi,</w:t>
      </w:r>
    </w:p>
    <w:p w:rsidR="00B23695" w:rsidRPr="000063FC" w:rsidRDefault="00B52596" w:rsidP="00C20113">
      <w:pPr>
        <w:pStyle w:val="Obinitekst1"/>
        <w:numPr>
          <w:ilvl w:val="0"/>
          <w:numId w:val="15"/>
        </w:numPr>
        <w:spacing w:line="276" w:lineRule="auto"/>
        <w:jc w:val="both"/>
        <w:rPr>
          <w:rFonts w:ascii="Calibri" w:hAnsi="Calibri" w:cs="Arial"/>
          <w:sz w:val="22"/>
          <w:szCs w:val="22"/>
          <w:lang w:val="hr-HR"/>
        </w:rPr>
      </w:pPr>
      <w:r w:rsidRPr="000063FC">
        <w:rPr>
          <w:rFonts w:ascii="Calibri" w:hAnsi="Calibri" w:cs="Arial"/>
          <w:sz w:val="22"/>
          <w:szCs w:val="22"/>
          <w:lang w:val="hr-HR"/>
        </w:rPr>
        <w:t>Razmjena iskustva i znanja s drugim gradovima i općinama.</w:t>
      </w:r>
    </w:p>
    <w:p w:rsidR="00B23695" w:rsidRPr="000063FC" w:rsidRDefault="00B23695">
      <w:pPr>
        <w:pStyle w:val="Obinitekst1"/>
        <w:spacing w:line="276" w:lineRule="auto"/>
        <w:jc w:val="both"/>
        <w:rPr>
          <w:rFonts w:ascii="Calibri" w:hAnsi="Calibri" w:cs="Arial"/>
          <w:sz w:val="22"/>
          <w:szCs w:val="22"/>
          <w:lang w:val="hr-HR"/>
        </w:rPr>
      </w:pPr>
    </w:p>
    <w:p w:rsidR="00604C33" w:rsidRPr="000063FC" w:rsidRDefault="00604C33" w:rsidP="00604C33">
      <w:pPr>
        <w:pStyle w:val="Obinitekst1"/>
        <w:spacing w:line="276" w:lineRule="auto"/>
        <w:jc w:val="both"/>
        <w:rPr>
          <w:rFonts w:ascii="Calibri" w:hAnsi="Calibri" w:cs="Arial"/>
          <w:sz w:val="22"/>
          <w:szCs w:val="22"/>
          <w:lang w:val="hr-HR"/>
        </w:rPr>
      </w:pPr>
      <w:r w:rsidRPr="000063FC">
        <w:rPr>
          <w:rFonts w:ascii="Calibri" w:hAnsi="Calibri" w:cs="Arial"/>
          <w:sz w:val="22"/>
          <w:szCs w:val="22"/>
          <w:lang w:val="hr-HR"/>
        </w:rPr>
        <w:t>Akcijski plan održivog energetskog razvitka grada predstavlja ključni dokument koji na bazi prikupljenih i analiziranih podataka o zatečenom stanju identificira te daje precizne i jasne odrednice za provedbu projekata i mjera energetske učinkovitosti i korištenja obnovljivih izvora energije na gradskoj razini. Osnovni je preduvjet da provedba identificiranih mjera u konačnici treba rezultirati smanjenjem emisije CO</w:t>
      </w:r>
      <w:r w:rsidRPr="000063FC">
        <w:rPr>
          <w:rFonts w:ascii="Calibri" w:hAnsi="Calibri" w:cs="Arial"/>
          <w:sz w:val="22"/>
          <w:szCs w:val="22"/>
          <w:vertAlign w:val="subscript"/>
          <w:lang w:val="hr-HR"/>
        </w:rPr>
        <w:t>2</w:t>
      </w:r>
      <w:r w:rsidRPr="000063FC">
        <w:rPr>
          <w:rFonts w:ascii="Calibri" w:hAnsi="Calibri" w:cs="Arial"/>
          <w:sz w:val="22"/>
          <w:szCs w:val="22"/>
          <w:lang w:val="hr-HR"/>
        </w:rPr>
        <w:t xml:space="preserve"> za više od 20% do 2020. godine. Akcijski plan treba biti dostavljen Europskoj komisiji unutar razdoblja od jedne godine.</w:t>
      </w:r>
    </w:p>
    <w:p w:rsidR="00772AF0" w:rsidRPr="000063FC" w:rsidRDefault="00772AF0">
      <w:pPr>
        <w:tabs>
          <w:tab w:val="clear" w:pos="720"/>
          <w:tab w:val="clear" w:pos="6912"/>
        </w:tabs>
        <w:spacing w:line="240" w:lineRule="auto"/>
        <w:jc w:val="left"/>
        <w:rPr>
          <w:rFonts w:eastAsia="Calibri" w:cs="Arial"/>
          <w:szCs w:val="22"/>
        </w:rPr>
      </w:pPr>
      <w:r w:rsidRPr="000063FC">
        <w:rPr>
          <w:rFonts w:cs="Arial"/>
        </w:rPr>
        <w:br w:type="page"/>
      </w:r>
    </w:p>
    <w:p w:rsidR="00D242E5" w:rsidRPr="000063FC" w:rsidRDefault="00D242E5" w:rsidP="00D242E5">
      <w:pPr>
        <w:pStyle w:val="NoSpacing"/>
        <w:spacing w:after="240"/>
        <w:rPr>
          <w:rFonts w:cs="Arial"/>
        </w:rPr>
      </w:pPr>
      <w:r w:rsidRPr="000063FC">
        <w:rPr>
          <w:rFonts w:cs="Arial"/>
        </w:rPr>
        <w:lastRenderedPageBreak/>
        <w:t>Akcijski plan energetski održivog razvitka Grada Zagreba obuhvaća 10 glavnih aktivnosti:</w:t>
      </w:r>
    </w:p>
    <w:p w:rsidR="00D242E5" w:rsidRPr="000063FC" w:rsidRDefault="00D242E5" w:rsidP="00C20113">
      <w:pPr>
        <w:pStyle w:val="NoSpacing"/>
        <w:numPr>
          <w:ilvl w:val="0"/>
          <w:numId w:val="46"/>
        </w:numPr>
        <w:jc w:val="both"/>
        <w:rPr>
          <w:rFonts w:cs="Arial"/>
        </w:rPr>
      </w:pPr>
      <w:r w:rsidRPr="000063FC">
        <w:rPr>
          <w:rFonts w:cs="Arial"/>
        </w:rPr>
        <w:t>Određivanje vremenskog okvira provedbe Akcijskog plana;</w:t>
      </w:r>
    </w:p>
    <w:p w:rsidR="00D242E5" w:rsidRPr="000063FC" w:rsidRDefault="00D242E5" w:rsidP="00C20113">
      <w:pPr>
        <w:pStyle w:val="NoSpacing"/>
        <w:numPr>
          <w:ilvl w:val="0"/>
          <w:numId w:val="46"/>
        </w:numPr>
        <w:jc w:val="both"/>
        <w:rPr>
          <w:rFonts w:cs="Arial"/>
        </w:rPr>
      </w:pPr>
      <w:r w:rsidRPr="000063FC">
        <w:rPr>
          <w:rFonts w:cs="Arial"/>
        </w:rPr>
        <w:t>K</w:t>
      </w:r>
      <w:r w:rsidR="00F16EC0" w:rsidRPr="000063FC">
        <w:rPr>
          <w:rFonts w:cs="Arial"/>
        </w:rPr>
        <w:t>lasifikaciju</w:t>
      </w:r>
      <w:r w:rsidRPr="000063FC">
        <w:rPr>
          <w:rFonts w:cs="Arial"/>
        </w:rPr>
        <w:t xml:space="preserve"> sektora energetske potrošnje na razini Grada Zagreba; </w:t>
      </w:r>
    </w:p>
    <w:p w:rsidR="00D242E5" w:rsidRPr="000063FC" w:rsidRDefault="00D242E5" w:rsidP="00C20113">
      <w:pPr>
        <w:pStyle w:val="NoSpacing"/>
        <w:numPr>
          <w:ilvl w:val="0"/>
          <w:numId w:val="46"/>
        </w:numPr>
        <w:jc w:val="both"/>
        <w:rPr>
          <w:rFonts w:cs="Arial"/>
        </w:rPr>
      </w:pPr>
      <w:r w:rsidRPr="000063FC">
        <w:rPr>
          <w:rFonts w:cs="Arial"/>
        </w:rPr>
        <w:t>A</w:t>
      </w:r>
      <w:r w:rsidR="00F16EC0" w:rsidRPr="000063FC">
        <w:rPr>
          <w:rFonts w:cs="Arial"/>
        </w:rPr>
        <w:t>nalizu</w:t>
      </w:r>
      <w:r w:rsidRPr="000063FC">
        <w:rPr>
          <w:rFonts w:cs="Arial"/>
        </w:rPr>
        <w:t xml:space="preserve"> energetske potrošnje po sektorima;</w:t>
      </w:r>
    </w:p>
    <w:p w:rsidR="00D242E5" w:rsidRPr="000063FC" w:rsidRDefault="00D242E5" w:rsidP="00C20113">
      <w:pPr>
        <w:pStyle w:val="NoSpacing"/>
        <w:numPr>
          <w:ilvl w:val="0"/>
          <w:numId w:val="46"/>
        </w:numPr>
        <w:jc w:val="both"/>
        <w:rPr>
          <w:rFonts w:cs="Arial"/>
        </w:rPr>
      </w:pPr>
      <w:r w:rsidRPr="000063FC">
        <w:rPr>
          <w:rFonts w:cs="Arial"/>
        </w:rPr>
        <w:t>Određivanje prioritetnih sektora djelovanja prema rezultatima analize energetske potrošnje;</w:t>
      </w:r>
    </w:p>
    <w:p w:rsidR="00D242E5" w:rsidRPr="000063FC" w:rsidRDefault="00D242E5" w:rsidP="00C20113">
      <w:pPr>
        <w:pStyle w:val="NoSpacing"/>
        <w:numPr>
          <w:ilvl w:val="0"/>
          <w:numId w:val="46"/>
        </w:numPr>
        <w:jc w:val="both"/>
        <w:rPr>
          <w:rFonts w:cs="Arial"/>
        </w:rPr>
      </w:pPr>
      <w:r w:rsidRPr="000063FC">
        <w:rPr>
          <w:rFonts w:cs="Arial"/>
        </w:rPr>
        <w:t>I</w:t>
      </w:r>
      <w:r w:rsidR="00F16EC0" w:rsidRPr="000063FC">
        <w:rPr>
          <w:rFonts w:cs="Arial"/>
        </w:rPr>
        <w:t>zradu</w:t>
      </w:r>
      <w:r w:rsidRPr="000063FC">
        <w:rPr>
          <w:rFonts w:cs="Arial"/>
        </w:rPr>
        <w:t xml:space="preserve"> Referentnog inventara emisija CO</w:t>
      </w:r>
      <w:r w:rsidRPr="000063FC">
        <w:rPr>
          <w:rFonts w:cs="Arial"/>
          <w:vertAlign w:val="subscript"/>
        </w:rPr>
        <w:t>2</w:t>
      </w:r>
      <w:r w:rsidRPr="000063FC">
        <w:rPr>
          <w:rFonts w:cs="Arial"/>
        </w:rPr>
        <w:t>;</w:t>
      </w:r>
    </w:p>
    <w:p w:rsidR="00D242E5" w:rsidRPr="000063FC" w:rsidRDefault="00D242E5" w:rsidP="00C20113">
      <w:pPr>
        <w:pStyle w:val="NoSpacing"/>
        <w:numPr>
          <w:ilvl w:val="0"/>
          <w:numId w:val="46"/>
        </w:numPr>
        <w:jc w:val="both"/>
        <w:rPr>
          <w:rFonts w:cs="Arial"/>
        </w:rPr>
      </w:pPr>
      <w:r w:rsidRPr="000063FC">
        <w:rPr>
          <w:rFonts w:cs="Arial"/>
        </w:rPr>
        <w:t>I</w:t>
      </w:r>
      <w:r w:rsidR="00F16EC0" w:rsidRPr="000063FC">
        <w:rPr>
          <w:rFonts w:cs="Arial"/>
        </w:rPr>
        <w:t>zradu</w:t>
      </w:r>
      <w:r w:rsidRPr="000063FC">
        <w:rPr>
          <w:rFonts w:cs="Arial"/>
        </w:rPr>
        <w:t xml:space="preserve"> Plana prioritetnih aktivnosti i mjera za postizanje zacrtanih ciljeva smanjenja emisija CO</w:t>
      </w:r>
      <w:r w:rsidRPr="000063FC">
        <w:rPr>
          <w:rFonts w:cs="Arial"/>
          <w:vertAlign w:val="subscript"/>
        </w:rPr>
        <w:t>2</w:t>
      </w:r>
      <w:r w:rsidRPr="000063FC">
        <w:rPr>
          <w:rFonts w:cs="Arial"/>
        </w:rPr>
        <w:t xml:space="preserve"> do 2020. godine;</w:t>
      </w:r>
    </w:p>
    <w:p w:rsidR="00D242E5" w:rsidRPr="000063FC" w:rsidRDefault="00D242E5" w:rsidP="00C20113">
      <w:pPr>
        <w:pStyle w:val="NoSpacing"/>
        <w:numPr>
          <w:ilvl w:val="0"/>
          <w:numId w:val="46"/>
        </w:numPr>
        <w:jc w:val="both"/>
        <w:rPr>
          <w:rFonts w:cs="Arial"/>
        </w:rPr>
      </w:pPr>
      <w:r w:rsidRPr="000063FC">
        <w:rPr>
          <w:rFonts w:cs="Arial"/>
        </w:rPr>
        <w:t>Određivanje dinamike provedbe Plana prioritetnih aktivnosti i mjera;</w:t>
      </w:r>
    </w:p>
    <w:p w:rsidR="00D242E5" w:rsidRPr="000063FC" w:rsidRDefault="00D242E5" w:rsidP="00C20113">
      <w:pPr>
        <w:pStyle w:val="NoSpacing"/>
        <w:numPr>
          <w:ilvl w:val="0"/>
          <w:numId w:val="46"/>
        </w:numPr>
        <w:jc w:val="both"/>
        <w:rPr>
          <w:rFonts w:cs="Arial"/>
        </w:rPr>
      </w:pPr>
      <w:r w:rsidRPr="000063FC">
        <w:rPr>
          <w:rFonts w:cs="Arial"/>
        </w:rPr>
        <w:t>Određivanje mehanizama financiranja provedbe Plana prioritetnih aktivnosti i mjera;</w:t>
      </w:r>
    </w:p>
    <w:p w:rsidR="00D242E5" w:rsidRPr="000063FC" w:rsidRDefault="00D242E5" w:rsidP="00C20113">
      <w:pPr>
        <w:pStyle w:val="NoSpacing"/>
        <w:numPr>
          <w:ilvl w:val="0"/>
          <w:numId w:val="46"/>
        </w:numPr>
        <w:jc w:val="both"/>
        <w:rPr>
          <w:rFonts w:cs="Arial"/>
        </w:rPr>
      </w:pPr>
      <w:r w:rsidRPr="000063FC">
        <w:rPr>
          <w:rFonts w:cs="Arial"/>
        </w:rPr>
        <w:t>Utvrđivanje zakonodavnog okvira za provedbu Plana prioritetnih aktivnosti i mjera</w:t>
      </w:r>
    </w:p>
    <w:p w:rsidR="00D242E5" w:rsidRPr="000063FC" w:rsidRDefault="00D242E5" w:rsidP="00C20113">
      <w:pPr>
        <w:pStyle w:val="NoSpacing"/>
        <w:numPr>
          <w:ilvl w:val="0"/>
          <w:numId w:val="46"/>
        </w:numPr>
        <w:jc w:val="both"/>
        <w:rPr>
          <w:rFonts w:cs="Arial"/>
        </w:rPr>
      </w:pPr>
      <w:r w:rsidRPr="000063FC">
        <w:rPr>
          <w:rFonts w:cs="Arial"/>
        </w:rPr>
        <w:t>Postavljanje ciljeva smanjenja energetske potrošnje i pripadajućih emisija CO</w:t>
      </w:r>
      <w:r w:rsidRPr="000063FC">
        <w:rPr>
          <w:rFonts w:cs="Arial"/>
          <w:vertAlign w:val="subscript"/>
        </w:rPr>
        <w:t>2</w:t>
      </w:r>
      <w:r w:rsidRPr="000063FC">
        <w:rPr>
          <w:rFonts w:cs="Arial"/>
        </w:rPr>
        <w:t>.</w:t>
      </w:r>
    </w:p>
    <w:p w:rsidR="00D242E5" w:rsidRPr="000063FC" w:rsidRDefault="00D242E5" w:rsidP="00D242E5">
      <w:pPr>
        <w:pStyle w:val="NoSpacing"/>
        <w:rPr>
          <w:rFonts w:cs="Arial"/>
        </w:rPr>
      </w:pPr>
    </w:p>
    <w:p w:rsidR="00D242E5" w:rsidRPr="000063FC" w:rsidRDefault="00D242E5" w:rsidP="00D242E5">
      <w:pPr>
        <w:pStyle w:val="NoSpacing"/>
        <w:jc w:val="both"/>
        <w:rPr>
          <w:rFonts w:cs="Arial"/>
        </w:rPr>
      </w:pPr>
      <w:r w:rsidRPr="000063FC">
        <w:rPr>
          <w:rFonts w:cs="Arial"/>
        </w:rPr>
        <w:t>Prva aktivnost u izradi Akcijskog plana energetski održivog razvitka Grada Zagreba je određivanje vremenskog okvira provedbe, odnosno odabir referentne (bazne) godine za koju će biti izrađen Referentni inventar emisija CO</w:t>
      </w:r>
      <w:r w:rsidRPr="000063FC">
        <w:rPr>
          <w:rFonts w:cs="Arial"/>
          <w:vertAlign w:val="subscript"/>
        </w:rPr>
        <w:t>2</w:t>
      </w:r>
      <w:r w:rsidRPr="000063FC">
        <w:rPr>
          <w:rFonts w:cs="Arial"/>
        </w:rPr>
        <w:t>. Vremenski okvir provedbe Akcijskog plana čini razdoblje od referentne do 2020. godine. Za to vremensko razdoblje treba pripremiti Plan prioritetnih aktivnosti i mjera čija će implementacija rezultirati ostvarenjem postavljenih ciljeva smanjenja emisija CO</w:t>
      </w:r>
      <w:r w:rsidRPr="000063FC">
        <w:rPr>
          <w:rFonts w:cs="Arial"/>
          <w:vertAlign w:val="subscript"/>
        </w:rPr>
        <w:t>2</w:t>
      </w:r>
      <w:r w:rsidRPr="000063FC">
        <w:rPr>
          <w:rFonts w:cs="Arial"/>
        </w:rPr>
        <w:t>. Prijedlog Europske komisije je da se za referentnu (baznu) godinu izabere 1990. godina ukoliko grad raspolaže potrebnim podacima o energetskim potrošnjama i pripadajućim emisijama. U slučaju da grad ne raspolaže potrebnim podacima za 1990. godinu preporuka je za referentnu odabrati najraniju godinu za koj</w:t>
      </w:r>
      <w:r w:rsidR="000063FC" w:rsidRPr="000063FC">
        <w:rPr>
          <w:rFonts w:cs="Arial"/>
        </w:rPr>
        <w:t xml:space="preserve">u su potrebni podaci dostupni. </w:t>
      </w:r>
      <w:r w:rsidRPr="000063FC">
        <w:rPr>
          <w:rFonts w:cs="Arial"/>
        </w:rPr>
        <w:t>Kako Grad Zagreb ne raspolaže potrebnim podacima za prethodne godine, kao referentna je odabrana 2008. godina, za koju će biti izra</w:t>
      </w:r>
      <w:r w:rsidR="000063FC" w:rsidRPr="000063FC">
        <w:rPr>
          <w:rFonts w:cs="Arial"/>
        </w:rPr>
        <w:t>đen Referentni inventar emisija</w:t>
      </w:r>
      <w:r w:rsidRPr="000063FC">
        <w:rPr>
          <w:rFonts w:cs="Arial"/>
        </w:rPr>
        <w:t xml:space="preserve"> CO</w:t>
      </w:r>
      <w:r w:rsidRPr="000063FC">
        <w:rPr>
          <w:rFonts w:cs="Arial"/>
          <w:vertAlign w:val="subscript"/>
        </w:rPr>
        <w:t>2</w:t>
      </w:r>
      <w:r w:rsidRPr="000063FC">
        <w:rPr>
          <w:rFonts w:cs="Arial"/>
        </w:rPr>
        <w:t xml:space="preserve"> za sektore zgradarstva, prometa i javne rasvjete.</w:t>
      </w:r>
    </w:p>
    <w:p w:rsidR="00D242E5" w:rsidRPr="000063FC" w:rsidRDefault="00D242E5" w:rsidP="00D242E5">
      <w:pPr>
        <w:pStyle w:val="NoSpacing"/>
        <w:jc w:val="both"/>
        <w:rPr>
          <w:rFonts w:cs="Arial"/>
        </w:rPr>
      </w:pPr>
    </w:p>
    <w:p w:rsidR="00D242E5" w:rsidRPr="000063FC" w:rsidRDefault="00D242E5" w:rsidP="00D242E5">
      <w:pPr>
        <w:pStyle w:val="NoSpacing"/>
        <w:jc w:val="both"/>
        <w:rPr>
          <w:rFonts w:cs="Arial"/>
        </w:rPr>
      </w:pPr>
      <w:r w:rsidRPr="000063FC">
        <w:rPr>
          <w:rFonts w:cs="Arial"/>
        </w:rPr>
        <w:t>Važna pripremna aktivnost za izradu kvalitetnog Referentnog inventara emisija CO</w:t>
      </w:r>
      <w:r w:rsidRPr="000063FC">
        <w:rPr>
          <w:rFonts w:cs="Arial"/>
          <w:vertAlign w:val="subscript"/>
        </w:rPr>
        <w:t>2</w:t>
      </w:r>
      <w:r w:rsidRPr="000063FC">
        <w:rPr>
          <w:rFonts w:cs="Arial"/>
        </w:rPr>
        <w:t xml:space="preserve"> za sektore zgradarstva, prometa i javne rasvjete je priprema osnovnih odrednica i podloga za praćenje emisija CO</w:t>
      </w:r>
      <w:r w:rsidRPr="000063FC">
        <w:rPr>
          <w:rFonts w:cs="Arial"/>
          <w:vertAlign w:val="subscript"/>
        </w:rPr>
        <w:t>2</w:t>
      </w:r>
      <w:r w:rsidRPr="000063FC">
        <w:rPr>
          <w:rFonts w:cs="Arial"/>
        </w:rPr>
        <w:t xml:space="preserve"> što je zadatak ove studije.</w:t>
      </w:r>
    </w:p>
    <w:p w:rsidR="00D242E5" w:rsidRPr="000063FC" w:rsidRDefault="00D242E5" w:rsidP="00D242E5">
      <w:pPr>
        <w:pStyle w:val="NoSpacing"/>
        <w:jc w:val="both"/>
        <w:rPr>
          <w:rFonts w:cs="Arial"/>
        </w:rPr>
      </w:pPr>
    </w:p>
    <w:p w:rsidR="00C20113" w:rsidRPr="000063FC" w:rsidRDefault="00C20113">
      <w:pPr>
        <w:tabs>
          <w:tab w:val="clear" w:pos="720"/>
          <w:tab w:val="clear" w:pos="6912"/>
        </w:tabs>
        <w:spacing w:line="240" w:lineRule="auto"/>
        <w:jc w:val="left"/>
        <w:rPr>
          <w:rFonts w:eastAsia="Calibri" w:cs="Arial"/>
          <w:szCs w:val="22"/>
        </w:rPr>
      </w:pPr>
      <w:r w:rsidRPr="000063FC">
        <w:rPr>
          <w:rFonts w:cs="Arial"/>
        </w:rPr>
        <w:br w:type="page"/>
      </w:r>
    </w:p>
    <w:p w:rsidR="00BC341E" w:rsidRPr="000063FC" w:rsidRDefault="0078191B">
      <w:pPr>
        <w:pStyle w:val="Heading1"/>
      </w:pPr>
      <w:bookmarkStart w:id="2" w:name="_Toc254010177"/>
      <w:r w:rsidRPr="000063FC">
        <w:lastRenderedPageBreak/>
        <w:t>IZRADA REFERENTNOG INVENTARA EMISIJA ZA GRAD ZAGREB</w:t>
      </w:r>
      <w:bookmarkEnd w:id="2"/>
    </w:p>
    <w:p w:rsidR="00BC341E" w:rsidRPr="000063FC" w:rsidRDefault="0078191B">
      <w:pPr>
        <w:pStyle w:val="Heading2"/>
      </w:pPr>
      <w:bookmarkStart w:id="3" w:name="_Toc252437371"/>
      <w:bookmarkStart w:id="4" w:name="_Toc252438007"/>
      <w:bookmarkStart w:id="5" w:name="_Toc252438133"/>
      <w:bookmarkStart w:id="6" w:name="_Toc252438165"/>
      <w:bookmarkStart w:id="7" w:name="_Toc252438221"/>
      <w:bookmarkStart w:id="8" w:name="_Toc252438254"/>
      <w:bookmarkStart w:id="9" w:name="_Toc252438384"/>
      <w:bookmarkStart w:id="10" w:name="_Toc252438503"/>
      <w:bookmarkStart w:id="11" w:name="_Toc252438526"/>
      <w:bookmarkStart w:id="12" w:name="_Toc252442172"/>
      <w:bookmarkStart w:id="13" w:name="_Toc252451764"/>
      <w:bookmarkStart w:id="14" w:name="_Toc252451826"/>
      <w:bookmarkStart w:id="15" w:name="_Toc252453341"/>
      <w:bookmarkStart w:id="16" w:name="_Toc252528549"/>
      <w:bookmarkStart w:id="17" w:name="_Toc252529049"/>
      <w:bookmarkStart w:id="18" w:name="_Toc252543551"/>
      <w:bookmarkStart w:id="19" w:name="_Toc252543613"/>
      <w:bookmarkStart w:id="20" w:name="_Toc252543657"/>
      <w:bookmarkStart w:id="21" w:name="_Toc252861230"/>
      <w:bookmarkStart w:id="22" w:name="_Toc252861291"/>
      <w:bookmarkStart w:id="23" w:name="_Toc252861351"/>
      <w:bookmarkStart w:id="24" w:name="_Toc252861411"/>
      <w:bookmarkStart w:id="25" w:name="_Toc252861471"/>
      <w:bookmarkStart w:id="26" w:name="_Toc252861532"/>
      <w:bookmarkStart w:id="27" w:name="_Toc252861592"/>
      <w:bookmarkStart w:id="28" w:name="_Toc252861653"/>
      <w:bookmarkStart w:id="29" w:name="_Toc252861713"/>
      <w:bookmarkStart w:id="30" w:name="_Toc252861773"/>
      <w:bookmarkStart w:id="31" w:name="_Toc252872586"/>
      <w:bookmarkStart w:id="32" w:name="_Toc25401017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0063FC">
        <w:t xml:space="preserve">ODABIR </w:t>
      </w:r>
      <w:r w:rsidR="007B0169" w:rsidRPr="000063FC">
        <w:t>REFERENTNE</w:t>
      </w:r>
      <w:r w:rsidRPr="000063FC">
        <w:t xml:space="preserve"> GODINE</w:t>
      </w:r>
      <w:bookmarkEnd w:id="32"/>
    </w:p>
    <w:p w:rsidR="005209DA" w:rsidRPr="000063FC" w:rsidRDefault="00383344" w:rsidP="005209DA">
      <w:pPr>
        <w:spacing w:line="276" w:lineRule="auto"/>
        <w:rPr>
          <w:rFonts w:cs="Arial"/>
          <w:szCs w:val="22"/>
        </w:rPr>
      </w:pPr>
      <w:r w:rsidRPr="000063FC">
        <w:rPr>
          <w:rFonts w:cs="Arial"/>
          <w:szCs w:val="22"/>
        </w:rPr>
        <w:t xml:space="preserve">Prvi korak u pripremi podloga za izradu Referentnog </w:t>
      </w:r>
      <w:r w:rsidR="00153BB9" w:rsidRPr="000063FC">
        <w:rPr>
          <w:rFonts w:cs="Arial"/>
          <w:szCs w:val="22"/>
        </w:rPr>
        <w:t>inventara emisija CO</w:t>
      </w:r>
      <w:r w:rsidR="00153BB9" w:rsidRPr="000063FC">
        <w:rPr>
          <w:rFonts w:cs="Arial"/>
          <w:szCs w:val="22"/>
          <w:vertAlign w:val="subscript"/>
        </w:rPr>
        <w:t>2</w:t>
      </w:r>
      <w:r w:rsidR="00153BB9" w:rsidRPr="000063FC">
        <w:rPr>
          <w:rFonts w:cs="Arial"/>
          <w:szCs w:val="22"/>
        </w:rPr>
        <w:t xml:space="preserve"> </w:t>
      </w:r>
      <w:r w:rsidRPr="000063FC">
        <w:rPr>
          <w:rFonts w:cs="Arial"/>
        </w:rPr>
        <w:t xml:space="preserve">(u daljem tekstu Inventar) </w:t>
      </w:r>
      <w:r w:rsidR="00153BB9" w:rsidRPr="000063FC">
        <w:rPr>
          <w:rFonts w:cs="Arial"/>
          <w:szCs w:val="22"/>
        </w:rPr>
        <w:t xml:space="preserve">je </w:t>
      </w:r>
      <w:r w:rsidRPr="000063FC">
        <w:rPr>
          <w:rFonts w:cs="Arial"/>
        </w:rPr>
        <w:t>odabir referentne (bazne)</w:t>
      </w:r>
      <w:r w:rsidR="00153BB9" w:rsidRPr="000063FC">
        <w:rPr>
          <w:rFonts w:cs="Arial"/>
          <w:szCs w:val="22"/>
        </w:rPr>
        <w:t xml:space="preserve"> godine. </w:t>
      </w:r>
      <w:r w:rsidRPr="000063FC">
        <w:rPr>
          <w:rFonts w:cs="Arial"/>
        </w:rPr>
        <w:t xml:space="preserve">Osnovni kriterij za odabir referentne godine je raspoloživost potrebnih podataka o energetskoj potrošnji u sektorima zgradarstva, prometa i javne rasvjete. </w:t>
      </w:r>
      <w:r w:rsidR="00FA4B2E">
        <w:rPr>
          <w:rFonts w:cs="Arial"/>
        </w:rPr>
        <w:t>U</w:t>
      </w:r>
      <w:r w:rsidRPr="000063FC">
        <w:rPr>
          <w:rFonts w:cs="Arial"/>
        </w:rPr>
        <w:t xml:space="preserve"> dogovoru s nadležnim </w:t>
      </w:r>
      <w:r w:rsidRPr="000063FC">
        <w:rPr>
          <w:rFonts w:cs="Arial"/>
          <w:szCs w:val="22"/>
        </w:rPr>
        <w:t>gradskim uredima i tvrtkama distributerima</w:t>
      </w:r>
      <w:r w:rsidRPr="000063FC">
        <w:rPr>
          <w:rFonts w:cs="Arial"/>
        </w:rPr>
        <w:t xml:space="preserve"> pojedinih energenata, za referentnu je odabrana 2008. godina</w:t>
      </w:r>
      <w:r w:rsidR="005209DA" w:rsidRPr="000063FC">
        <w:rPr>
          <w:rFonts w:cs="Arial"/>
        </w:rPr>
        <w:t xml:space="preserve"> za koju Grad Zagreb raspolaže potrebnim podacima o energetskoj potrošnji. Ovdje je važno naglasiti da niti za </w:t>
      </w:r>
      <w:r w:rsidR="005209DA" w:rsidRPr="000063FC">
        <w:rPr>
          <w:rFonts w:cs="Arial"/>
          <w:szCs w:val="22"/>
        </w:rPr>
        <w:t>2008. godinu nisu raspoloživi baš svi potrebni podaci o ener</w:t>
      </w:r>
      <w:r w:rsidR="00027D9F" w:rsidRPr="000063FC">
        <w:rPr>
          <w:rFonts w:cs="Arial"/>
          <w:szCs w:val="22"/>
        </w:rPr>
        <w:t xml:space="preserve">getskim potrošnjama za tri </w:t>
      </w:r>
      <w:r w:rsidR="000063FC" w:rsidRPr="000063FC">
        <w:rPr>
          <w:rFonts w:cs="Arial"/>
          <w:szCs w:val="22"/>
        </w:rPr>
        <w:t>promatrana</w:t>
      </w:r>
      <w:r w:rsidR="005209DA" w:rsidRPr="000063FC">
        <w:rPr>
          <w:rFonts w:cs="Arial"/>
          <w:szCs w:val="22"/>
        </w:rPr>
        <w:t xml:space="preserve"> sektora već su u nekim slučajevima dane stručne procjene.</w:t>
      </w:r>
    </w:p>
    <w:p w:rsidR="00BC341E" w:rsidRPr="000063FC" w:rsidRDefault="00C401D7">
      <w:pPr>
        <w:pStyle w:val="Heading2"/>
      </w:pPr>
      <w:bookmarkStart w:id="33" w:name="_Toc252442175"/>
      <w:bookmarkStart w:id="34" w:name="_Toc252451767"/>
      <w:bookmarkStart w:id="35" w:name="_Toc252451829"/>
      <w:bookmarkStart w:id="36" w:name="_Toc252453344"/>
      <w:bookmarkStart w:id="37" w:name="_Toc252528552"/>
      <w:bookmarkStart w:id="38" w:name="_Toc252529052"/>
      <w:bookmarkStart w:id="39" w:name="_Toc252543554"/>
      <w:bookmarkStart w:id="40" w:name="_Toc252543616"/>
      <w:bookmarkStart w:id="41" w:name="_Toc252543660"/>
      <w:bookmarkStart w:id="42" w:name="_Toc252861233"/>
      <w:bookmarkStart w:id="43" w:name="_Toc252861294"/>
      <w:bookmarkStart w:id="44" w:name="_Toc252861354"/>
      <w:bookmarkStart w:id="45" w:name="_Toc252861414"/>
      <w:bookmarkStart w:id="46" w:name="_Toc252861474"/>
      <w:bookmarkStart w:id="47" w:name="_Toc252861535"/>
      <w:bookmarkStart w:id="48" w:name="_Toc252861595"/>
      <w:bookmarkStart w:id="49" w:name="_Toc252861656"/>
      <w:bookmarkStart w:id="50" w:name="_Toc252861716"/>
      <w:bookmarkStart w:id="51" w:name="_Toc252861776"/>
      <w:bookmarkStart w:id="52" w:name="_Toc252872589"/>
      <w:bookmarkStart w:id="53" w:name="_Toc25401017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0063FC">
        <w:t xml:space="preserve">METODOLOGIJA </w:t>
      </w:r>
      <w:r w:rsidR="00027D9F" w:rsidRPr="000063FC">
        <w:t>ZA IZRADU</w:t>
      </w:r>
      <w:r w:rsidRPr="000063FC">
        <w:t xml:space="preserve"> </w:t>
      </w:r>
      <w:r w:rsidR="00027D9F" w:rsidRPr="000063FC">
        <w:t xml:space="preserve">REFERENTNOG </w:t>
      </w:r>
      <w:r w:rsidRPr="000063FC">
        <w:t>INVENTARA EMISIJA CO</w:t>
      </w:r>
      <w:r w:rsidR="007B0169" w:rsidRPr="000063FC">
        <w:rPr>
          <w:vertAlign w:val="subscript"/>
        </w:rPr>
        <w:t>2</w:t>
      </w:r>
      <w:r w:rsidRPr="000063FC">
        <w:t xml:space="preserve"> ZA GRAD ZAGREB</w:t>
      </w:r>
      <w:bookmarkEnd w:id="53"/>
    </w:p>
    <w:p w:rsidR="00027D9F" w:rsidRPr="000063FC" w:rsidRDefault="00027D9F" w:rsidP="00027D9F">
      <w:pPr>
        <w:pStyle w:val="Obinitekst10"/>
        <w:jc w:val="both"/>
        <w:rPr>
          <w:rFonts w:ascii="Calibri" w:hAnsi="Calibri" w:cs="Arial"/>
          <w:sz w:val="22"/>
          <w:szCs w:val="22"/>
          <w:lang w:val="hr-HR"/>
        </w:rPr>
      </w:pPr>
      <w:r w:rsidRPr="000063FC">
        <w:rPr>
          <w:rFonts w:ascii="Calibri" w:hAnsi="Calibri" w:cs="Arial"/>
          <w:sz w:val="22"/>
          <w:szCs w:val="22"/>
          <w:lang w:val="hr-HR"/>
        </w:rPr>
        <w:t>U skladu s preporukama Europske komisije, Referentni inventar emisija CO</w:t>
      </w:r>
      <w:r w:rsidRPr="000063FC">
        <w:rPr>
          <w:rFonts w:ascii="Calibri" w:hAnsi="Calibri" w:cs="Arial"/>
          <w:sz w:val="22"/>
          <w:szCs w:val="22"/>
          <w:vertAlign w:val="subscript"/>
          <w:lang w:val="hr-HR"/>
        </w:rPr>
        <w:t>2</w:t>
      </w:r>
      <w:r w:rsidRPr="000063FC">
        <w:rPr>
          <w:rFonts w:ascii="Calibri" w:hAnsi="Calibri" w:cs="Arial"/>
          <w:sz w:val="22"/>
          <w:szCs w:val="22"/>
          <w:lang w:val="hr-HR"/>
        </w:rPr>
        <w:t xml:space="preserve"> za Grad Zagreb izrađen je prema IPCC protokolu. IPCC protokol za određivanje emisija onečišćujućih tvari u atmosferu je protokol Međuvladinog tijela za klimatske promjene (</w:t>
      </w:r>
      <w:r w:rsidRPr="000063FC">
        <w:rPr>
          <w:rFonts w:ascii="Calibri" w:hAnsi="Calibri" w:cs="Arial"/>
          <w:i/>
          <w:sz w:val="22"/>
          <w:szCs w:val="22"/>
          <w:lang w:val="hr-HR"/>
        </w:rPr>
        <w:t>Intergovernmental Panel on Climate Change – IPCC</w:t>
      </w:r>
      <w:r w:rsidRPr="000063FC">
        <w:rPr>
          <w:rFonts w:ascii="Calibri" w:hAnsi="Calibri" w:cs="Arial"/>
          <w:sz w:val="22"/>
          <w:szCs w:val="22"/>
          <w:lang w:val="hr-HR"/>
        </w:rPr>
        <w:t>) kao izvršnog tijela Programa za okoliš Ujedinjenih naroda (</w:t>
      </w:r>
      <w:r w:rsidRPr="000063FC">
        <w:rPr>
          <w:rFonts w:ascii="Calibri" w:hAnsi="Calibri" w:cs="Arial"/>
          <w:i/>
          <w:sz w:val="22"/>
          <w:szCs w:val="22"/>
          <w:lang w:val="hr-HR"/>
        </w:rPr>
        <w:t>United Nations Environment Programme - UNEP</w:t>
      </w:r>
      <w:r w:rsidRPr="000063FC">
        <w:rPr>
          <w:rFonts w:ascii="Calibri" w:hAnsi="Calibri" w:cs="Arial"/>
          <w:sz w:val="22"/>
          <w:szCs w:val="22"/>
          <w:lang w:val="hr-HR"/>
        </w:rPr>
        <w:t>) i Svjetske meteorološke organizacije (</w:t>
      </w:r>
      <w:r w:rsidRPr="000063FC">
        <w:rPr>
          <w:rFonts w:ascii="Calibri" w:hAnsi="Calibri" w:cs="Arial"/>
          <w:i/>
          <w:sz w:val="22"/>
          <w:szCs w:val="22"/>
          <w:lang w:val="hr-HR"/>
        </w:rPr>
        <w:t>WMO</w:t>
      </w:r>
      <w:r w:rsidRPr="000063FC">
        <w:rPr>
          <w:rFonts w:ascii="Calibri" w:hAnsi="Calibri" w:cs="Arial"/>
          <w:sz w:val="22"/>
          <w:szCs w:val="22"/>
          <w:lang w:val="hr-HR"/>
        </w:rPr>
        <w:t>) u provođenju Okvirne konvencije Ujedinjenih naroda o promjeni klime (</w:t>
      </w:r>
      <w:r w:rsidRPr="000063FC">
        <w:rPr>
          <w:rFonts w:ascii="Calibri" w:hAnsi="Calibri" w:cs="Arial"/>
          <w:i/>
          <w:sz w:val="22"/>
          <w:szCs w:val="22"/>
          <w:lang w:val="hr-HR"/>
        </w:rPr>
        <w:t>United Nation Framework Convention on Climate Change – UNFCCC</w:t>
      </w:r>
      <w:r w:rsidRPr="000063FC">
        <w:rPr>
          <w:rFonts w:ascii="Calibri" w:hAnsi="Calibri" w:cs="Arial"/>
          <w:sz w:val="22"/>
          <w:szCs w:val="22"/>
          <w:lang w:val="hr-HR"/>
        </w:rPr>
        <w:t>). Hrvatska se ratificiranjem Kyotskog protokola 2007. godine obvezala na praćenje i izvještavanje o emisijama onečišćujućih tvari u  atmosferu prema IPCC protokolu, pa će se on kao nacionalno priznat protokol koristiti i za izradu Referentnog inventara emisija CO</w:t>
      </w:r>
      <w:r w:rsidRPr="000063FC">
        <w:rPr>
          <w:rFonts w:ascii="Calibri" w:hAnsi="Calibri" w:cs="Arial"/>
          <w:sz w:val="22"/>
          <w:szCs w:val="22"/>
          <w:vertAlign w:val="subscript"/>
          <w:lang w:val="hr-HR"/>
        </w:rPr>
        <w:t>2</w:t>
      </w:r>
      <w:r w:rsidRPr="000063FC">
        <w:rPr>
          <w:rFonts w:ascii="Calibri" w:hAnsi="Calibri" w:cs="Arial"/>
          <w:sz w:val="22"/>
          <w:szCs w:val="22"/>
          <w:lang w:val="hr-HR"/>
        </w:rPr>
        <w:t xml:space="preserve"> za Grad Zagreb. </w:t>
      </w:r>
    </w:p>
    <w:p w:rsidR="00027D9F" w:rsidRPr="000063FC" w:rsidRDefault="00027D9F">
      <w:pPr>
        <w:spacing w:line="276" w:lineRule="auto"/>
        <w:rPr>
          <w:rFonts w:asciiTheme="minorHAnsi" w:hAnsiTheme="minorHAnsi"/>
          <w:szCs w:val="22"/>
        </w:rPr>
      </w:pPr>
    </w:p>
    <w:p w:rsidR="00505687" w:rsidRPr="000063FC" w:rsidRDefault="00505687">
      <w:pPr>
        <w:spacing w:line="276" w:lineRule="auto"/>
        <w:rPr>
          <w:rFonts w:asciiTheme="minorHAnsi" w:hAnsiTheme="minorHAnsi"/>
          <w:szCs w:val="22"/>
        </w:rPr>
      </w:pPr>
      <w:r w:rsidRPr="000063FC">
        <w:rPr>
          <w:rFonts w:asciiTheme="minorHAnsi" w:hAnsiTheme="minorHAnsi"/>
          <w:szCs w:val="22"/>
        </w:rPr>
        <w:t xml:space="preserve">Kako IPCC metodologija ne definira proračun neizravnih emisija (iz </w:t>
      </w:r>
      <w:r w:rsidRPr="000063FC">
        <w:rPr>
          <w:szCs w:val="22"/>
        </w:rPr>
        <w:t xml:space="preserve">potrošnje električne i toplinske energije), ista je </w:t>
      </w:r>
      <w:r w:rsidRPr="000063FC">
        <w:rPr>
          <w:rFonts w:asciiTheme="minorHAnsi" w:hAnsiTheme="minorHAnsi"/>
          <w:szCs w:val="22"/>
        </w:rPr>
        <w:t>razvijena u svrhu izrade ovog Inventara.</w:t>
      </w:r>
      <w:r w:rsidRPr="000063FC">
        <w:rPr>
          <w:szCs w:val="22"/>
        </w:rPr>
        <w:t xml:space="preserve"> Za proračun emisije uslijed izgaranja i ishlapljivanja goriva iz cestovnog prometa korišten je programski paket COPERT III.</w:t>
      </w:r>
    </w:p>
    <w:p w:rsidR="00027D9F" w:rsidRPr="000063FC" w:rsidRDefault="00027D9F">
      <w:pPr>
        <w:spacing w:line="276" w:lineRule="auto"/>
        <w:rPr>
          <w:rFonts w:asciiTheme="minorHAnsi" w:hAnsiTheme="minorHAnsi"/>
          <w:szCs w:val="22"/>
        </w:rPr>
      </w:pPr>
    </w:p>
    <w:p w:rsidR="006970AF" w:rsidRPr="000063FC" w:rsidRDefault="007B0169">
      <w:pPr>
        <w:pStyle w:val="Heading3"/>
      </w:pPr>
      <w:bookmarkStart w:id="54" w:name="_Toc254010180"/>
      <w:r w:rsidRPr="000063FC">
        <w:rPr>
          <w:szCs w:val="22"/>
        </w:rPr>
        <w:t>IPCC METODOLOGIJA</w:t>
      </w:r>
      <w:bookmarkEnd w:id="54"/>
    </w:p>
    <w:p w:rsidR="00BC341E" w:rsidRPr="000063FC" w:rsidRDefault="00505687">
      <w:pPr>
        <w:spacing w:line="276" w:lineRule="auto"/>
        <w:rPr>
          <w:rFonts w:asciiTheme="minorHAnsi" w:hAnsiTheme="minorHAnsi"/>
          <w:szCs w:val="22"/>
        </w:rPr>
      </w:pPr>
      <w:r w:rsidRPr="000063FC">
        <w:rPr>
          <w:szCs w:val="22"/>
        </w:rPr>
        <w:t xml:space="preserve">Prema IPCC </w:t>
      </w:r>
      <w:r w:rsidR="007B0169" w:rsidRPr="000063FC">
        <w:rPr>
          <w:szCs w:val="22"/>
        </w:rPr>
        <w:t xml:space="preserve">metodologiji </w:t>
      </w:r>
      <w:r w:rsidR="007B0169" w:rsidRPr="000063FC">
        <w:rPr>
          <w:rFonts w:asciiTheme="minorHAnsi" w:hAnsiTheme="minorHAnsi"/>
          <w:szCs w:val="22"/>
        </w:rPr>
        <w:t xml:space="preserve">proračun emisija </w:t>
      </w:r>
      <w:r w:rsidRPr="000063FC">
        <w:rPr>
          <w:rFonts w:asciiTheme="minorHAnsi" w:hAnsiTheme="minorHAnsi"/>
          <w:szCs w:val="22"/>
        </w:rPr>
        <w:t xml:space="preserve">stakleničkih plinova </w:t>
      </w:r>
      <w:r w:rsidR="007B0169" w:rsidRPr="000063FC">
        <w:rPr>
          <w:rFonts w:asciiTheme="minorHAnsi" w:hAnsiTheme="minorHAnsi"/>
          <w:szCs w:val="22"/>
        </w:rPr>
        <w:t xml:space="preserve">obuhvaća samo emisije koje su posljedica antropogenih djelovanja i odnosi se na izvore/ponore emisija iz šest sektora: energetika, industrijski procesi, korištenje otapala, poljoprivreda, </w:t>
      </w:r>
      <w:r w:rsidR="007B0169" w:rsidRPr="000063FC">
        <w:rPr>
          <w:rFonts w:asciiTheme="minorHAnsi" w:hAnsiTheme="minorHAnsi" w:cs="Helvetica"/>
          <w:szCs w:val="22"/>
          <w:lang w:eastAsia="hr-HR"/>
        </w:rPr>
        <w:t>promjene u k</w:t>
      </w:r>
      <w:r w:rsidRPr="000063FC">
        <w:rPr>
          <w:rFonts w:asciiTheme="minorHAnsi" w:hAnsiTheme="minorHAnsi" w:cs="Helvetica"/>
          <w:szCs w:val="22"/>
          <w:lang w:eastAsia="hr-HR"/>
        </w:rPr>
        <w:t>orištenju zemljišta i šumarstvo</w:t>
      </w:r>
      <w:r w:rsidR="007B0169" w:rsidRPr="000063FC">
        <w:rPr>
          <w:rFonts w:asciiTheme="minorHAnsi" w:hAnsiTheme="minorHAnsi" w:cs="Helvetica"/>
          <w:szCs w:val="22"/>
          <w:lang w:eastAsia="hr-HR"/>
        </w:rPr>
        <w:t xml:space="preserve"> </w:t>
      </w:r>
      <w:r w:rsidRPr="000063FC">
        <w:rPr>
          <w:rFonts w:asciiTheme="minorHAnsi" w:hAnsiTheme="minorHAnsi" w:cs="Helvetica"/>
          <w:szCs w:val="22"/>
          <w:lang w:eastAsia="hr-HR"/>
        </w:rPr>
        <w:t xml:space="preserve">i </w:t>
      </w:r>
      <w:r w:rsidR="007B0169" w:rsidRPr="000063FC">
        <w:rPr>
          <w:rFonts w:asciiTheme="minorHAnsi" w:hAnsiTheme="minorHAnsi" w:cs="Helvetica"/>
          <w:szCs w:val="22"/>
          <w:lang w:eastAsia="hr-HR"/>
        </w:rPr>
        <w:t>gospodarenje otpadom.</w:t>
      </w:r>
      <w:r w:rsidR="007B0169" w:rsidRPr="000063FC">
        <w:rPr>
          <w:rFonts w:asciiTheme="minorHAnsi" w:hAnsiTheme="minorHAnsi"/>
          <w:szCs w:val="22"/>
        </w:rPr>
        <w:t xml:space="preserve"> </w:t>
      </w:r>
    </w:p>
    <w:p w:rsidR="00BC341E" w:rsidRPr="000063FC" w:rsidRDefault="00BC341E">
      <w:pPr>
        <w:spacing w:line="276" w:lineRule="auto"/>
        <w:rPr>
          <w:rFonts w:asciiTheme="minorHAnsi" w:hAnsiTheme="minorHAnsi"/>
          <w:szCs w:val="22"/>
        </w:rPr>
      </w:pPr>
    </w:p>
    <w:p w:rsidR="00772AF0" w:rsidRPr="000063FC" w:rsidRDefault="007B0169">
      <w:pPr>
        <w:spacing w:line="276" w:lineRule="auto"/>
        <w:rPr>
          <w:rFonts w:asciiTheme="minorHAnsi" w:hAnsiTheme="minorHAnsi"/>
          <w:szCs w:val="22"/>
        </w:rPr>
      </w:pPr>
      <w:r w:rsidRPr="000063FC">
        <w:rPr>
          <w:rFonts w:asciiTheme="minorHAnsi" w:hAnsiTheme="minorHAnsi"/>
          <w:szCs w:val="22"/>
        </w:rPr>
        <w:t>Proračun emisija obuhvaća d</w:t>
      </w:r>
      <w:r w:rsidR="00B52A88" w:rsidRPr="000063FC">
        <w:rPr>
          <w:rFonts w:asciiTheme="minorHAnsi" w:hAnsiTheme="minorHAnsi"/>
          <w:szCs w:val="22"/>
        </w:rPr>
        <w:t>irektne stakleničke plinove: CO</w:t>
      </w:r>
      <w:r w:rsidR="00B52A88" w:rsidRPr="000063FC">
        <w:rPr>
          <w:rFonts w:asciiTheme="minorHAnsi" w:hAnsiTheme="minorHAnsi"/>
          <w:szCs w:val="22"/>
          <w:vertAlign w:val="subscript"/>
        </w:rPr>
        <w:t>2</w:t>
      </w:r>
      <w:r w:rsidR="00B52A88" w:rsidRPr="000063FC">
        <w:rPr>
          <w:rFonts w:asciiTheme="minorHAnsi" w:hAnsiTheme="minorHAnsi"/>
          <w:szCs w:val="22"/>
        </w:rPr>
        <w:t>, CH</w:t>
      </w:r>
      <w:r w:rsidR="00B52A88" w:rsidRPr="000063FC">
        <w:rPr>
          <w:rFonts w:asciiTheme="minorHAnsi" w:hAnsiTheme="minorHAnsi"/>
          <w:szCs w:val="22"/>
          <w:vertAlign w:val="subscript"/>
        </w:rPr>
        <w:t>4</w:t>
      </w:r>
      <w:r w:rsidR="00B52A88" w:rsidRPr="000063FC">
        <w:rPr>
          <w:rFonts w:asciiTheme="minorHAnsi" w:hAnsiTheme="minorHAnsi"/>
          <w:szCs w:val="22"/>
        </w:rPr>
        <w:t>, N</w:t>
      </w:r>
      <w:r w:rsidR="00B52A88" w:rsidRPr="000063FC">
        <w:rPr>
          <w:rFonts w:asciiTheme="minorHAnsi" w:hAnsiTheme="minorHAnsi"/>
          <w:szCs w:val="22"/>
          <w:vertAlign w:val="subscript"/>
        </w:rPr>
        <w:t>2</w:t>
      </w:r>
      <w:r w:rsidRPr="000063FC">
        <w:rPr>
          <w:rFonts w:asciiTheme="minorHAnsi" w:hAnsiTheme="minorHAnsi"/>
          <w:szCs w:val="22"/>
        </w:rPr>
        <w:t>O, HFC, PFC</w:t>
      </w:r>
      <w:r w:rsidR="00B52A88" w:rsidRPr="000063FC">
        <w:rPr>
          <w:rFonts w:asciiTheme="minorHAnsi" w:hAnsiTheme="minorHAnsi"/>
          <w:szCs w:val="22"/>
        </w:rPr>
        <w:t>, CFC i SF</w:t>
      </w:r>
      <w:r w:rsidR="00B52A88" w:rsidRPr="000063FC">
        <w:rPr>
          <w:rFonts w:asciiTheme="minorHAnsi" w:hAnsiTheme="minorHAnsi"/>
          <w:szCs w:val="22"/>
          <w:vertAlign w:val="subscript"/>
        </w:rPr>
        <w:t>6</w:t>
      </w:r>
      <w:r w:rsidRPr="000063FC">
        <w:rPr>
          <w:rFonts w:asciiTheme="minorHAnsi" w:hAnsiTheme="minorHAnsi"/>
          <w:szCs w:val="22"/>
        </w:rPr>
        <w:t>, te indirek</w:t>
      </w:r>
      <w:r w:rsidR="00B52A88" w:rsidRPr="000063FC">
        <w:rPr>
          <w:rFonts w:asciiTheme="minorHAnsi" w:hAnsiTheme="minorHAnsi"/>
          <w:szCs w:val="22"/>
        </w:rPr>
        <w:t>tne stakleničke plinove: CO, NO</w:t>
      </w:r>
      <w:r w:rsidR="00B52A88" w:rsidRPr="000063FC">
        <w:rPr>
          <w:rFonts w:asciiTheme="minorHAnsi" w:hAnsiTheme="minorHAnsi"/>
          <w:szCs w:val="22"/>
          <w:vertAlign w:val="subscript"/>
        </w:rPr>
        <w:t>2</w:t>
      </w:r>
      <w:r w:rsidR="00B52A88" w:rsidRPr="000063FC">
        <w:rPr>
          <w:rFonts w:asciiTheme="minorHAnsi" w:hAnsiTheme="minorHAnsi"/>
          <w:szCs w:val="22"/>
        </w:rPr>
        <w:t>, NMVO i SO</w:t>
      </w:r>
      <w:r w:rsidR="00B52A88" w:rsidRPr="000063FC">
        <w:rPr>
          <w:rFonts w:asciiTheme="minorHAnsi" w:hAnsiTheme="minorHAnsi"/>
          <w:szCs w:val="22"/>
          <w:vertAlign w:val="subscript"/>
        </w:rPr>
        <w:t>2</w:t>
      </w:r>
      <w:r w:rsidRPr="000063FC">
        <w:rPr>
          <w:rFonts w:asciiTheme="minorHAnsi" w:hAnsiTheme="minorHAnsi"/>
          <w:szCs w:val="22"/>
        </w:rPr>
        <w:t xml:space="preserve">. </w:t>
      </w:r>
      <w:r w:rsidR="00B52A88" w:rsidRPr="000063FC">
        <w:rPr>
          <w:rFonts w:asciiTheme="minorHAnsi" w:hAnsiTheme="minorHAnsi"/>
          <w:szCs w:val="22"/>
        </w:rPr>
        <w:t>Od navedenih, veoma opasni, čak smrtonosni su perfluorougljik (CF</w:t>
      </w:r>
      <w:r w:rsidR="00B52A88" w:rsidRPr="000063FC">
        <w:rPr>
          <w:rFonts w:asciiTheme="minorHAnsi" w:hAnsiTheme="minorHAnsi"/>
          <w:szCs w:val="22"/>
          <w:vertAlign w:val="subscript"/>
        </w:rPr>
        <w:t>4</w:t>
      </w:r>
      <w:r w:rsidR="00B52A88" w:rsidRPr="000063FC">
        <w:rPr>
          <w:rFonts w:asciiTheme="minorHAnsi" w:hAnsiTheme="minorHAnsi"/>
          <w:szCs w:val="22"/>
        </w:rPr>
        <w:t>) te sumporheksafluorid (SF</w:t>
      </w:r>
      <w:r w:rsidR="00B52A88" w:rsidRPr="000063FC">
        <w:rPr>
          <w:rFonts w:asciiTheme="minorHAnsi" w:hAnsiTheme="minorHAnsi"/>
          <w:szCs w:val="22"/>
          <w:vertAlign w:val="subscript"/>
        </w:rPr>
        <w:t>6</w:t>
      </w:r>
      <w:r w:rsidR="0025372E" w:rsidRPr="000063FC">
        <w:rPr>
          <w:rFonts w:asciiTheme="minorHAnsi" w:hAnsiTheme="minorHAnsi"/>
          <w:szCs w:val="22"/>
        </w:rPr>
        <w:t>). K</w:t>
      </w:r>
      <w:r w:rsidR="00B52A88" w:rsidRPr="000063FC">
        <w:rPr>
          <w:rFonts w:asciiTheme="minorHAnsi" w:hAnsiTheme="minorHAnsi"/>
          <w:szCs w:val="22"/>
        </w:rPr>
        <w:t>lorofluorougljici</w:t>
      </w:r>
      <w:r w:rsidR="0025372E" w:rsidRPr="000063FC">
        <w:rPr>
          <w:rFonts w:asciiTheme="minorHAnsi" w:hAnsiTheme="minorHAnsi"/>
          <w:szCs w:val="22"/>
        </w:rPr>
        <w:t xml:space="preserve"> (CFC) </w:t>
      </w:r>
      <w:r w:rsidR="00B52A88" w:rsidRPr="000063FC">
        <w:rPr>
          <w:rFonts w:asciiTheme="minorHAnsi" w:hAnsiTheme="minorHAnsi"/>
          <w:szCs w:val="22"/>
        </w:rPr>
        <w:t xml:space="preserve"> i </w:t>
      </w:r>
      <w:r w:rsidR="0025372E" w:rsidRPr="000063FC">
        <w:rPr>
          <w:rFonts w:asciiTheme="minorHAnsi" w:hAnsiTheme="minorHAnsi"/>
          <w:szCs w:val="22"/>
        </w:rPr>
        <w:t>halogeni ugljikovodici (</w:t>
      </w:r>
      <w:r w:rsidR="00B52A88" w:rsidRPr="000063FC">
        <w:rPr>
          <w:rFonts w:asciiTheme="minorHAnsi" w:hAnsiTheme="minorHAnsi"/>
          <w:szCs w:val="22"/>
        </w:rPr>
        <w:t>HFC</w:t>
      </w:r>
      <w:r w:rsidR="0025372E" w:rsidRPr="000063FC">
        <w:rPr>
          <w:rFonts w:asciiTheme="minorHAnsi" w:hAnsiTheme="minorHAnsi"/>
          <w:szCs w:val="22"/>
        </w:rPr>
        <w:t>)</w:t>
      </w:r>
      <w:r w:rsidR="00B52A88" w:rsidRPr="000063FC">
        <w:rPr>
          <w:rFonts w:asciiTheme="minorHAnsi" w:hAnsiTheme="minorHAnsi"/>
          <w:szCs w:val="22"/>
        </w:rPr>
        <w:t xml:space="preserve"> </w:t>
      </w:r>
      <w:r w:rsidRPr="000063FC">
        <w:rPr>
          <w:rFonts w:asciiTheme="minorHAnsi" w:hAnsiTheme="minorHAnsi"/>
          <w:szCs w:val="22"/>
        </w:rPr>
        <w:t xml:space="preserve">najvećim </w:t>
      </w:r>
      <w:r w:rsidR="0025372E" w:rsidRPr="000063FC">
        <w:rPr>
          <w:rFonts w:asciiTheme="minorHAnsi" w:hAnsiTheme="minorHAnsi"/>
          <w:szCs w:val="22"/>
        </w:rPr>
        <w:t xml:space="preserve">su dijelom </w:t>
      </w:r>
      <w:r w:rsidRPr="000063FC">
        <w:rPr>
          <w:rFonts w:asciiTheme="minorHAnsi" w:hAnsiTheme="minorHAnsi"/>
          <w:szCs w:val="22"/>
        </w:rPr>
        <w:t>proizvodi kemijske industrije. Ti plinovi su neotrovni, nezapaljivi, termički i kemijski stabilni i kao takvi vrlo pogodni u proizvodnji stiropora, plinova u sprej-bocama, sredst</w:t>
      </w:r>
      <w:r w:rsidR="00FA4B2E">
        <w:rPr>
          <w:rFonts w:asciiTheme="minorHAnsi" w:hAnsiTheme="minorHAnsi"/>
          <w:szCs w:val="22"/>
        </w:rPr>
        <w:t>a</w:t>
      </w:r>
      <w:r w:rsidRPr="000063FC">
        <w:rPr>
          <w:rFonts w:asciiTheme="minorHAnsi" w:hAnsiTheme="minorHAnsi"/>
          <w:szCs w:val="22"/>
        </w:rPr>
        <w:t>va za hlađenje u hladnjacima i klima-uređajima, razrjeđivača boja, kemijskih čistila, te u poljoprivredi i medicini. Iako je njihova pptv koncentracija vrlo niska</w:t>
      </w:r>
      <w:r w:rsidR="00FA4B2E">
        <w:rPr>
          <w:rFonts w:asciiTheme="minorHAnsi" w:hAnsiTheme="minorHAnsi"/>
          <w:szCs w:val="22"/>
        </w:rPr>
        <w:t xml:space="preserve"> (jedan tirlijuntni dio po jedinici volumena)</w:t>
      </w:r>
      <w:r w:rsidRPr="000063FC">
        <w:rPr>
          <w:rFonts w:asciiTheme="minorHAnsi" w:hAnsiTheme="minorHAnsi"/>
          <w:szCs w:val="22"/>
        </w:rPr>
        <w:t xml:space="preserve">, u neprestanom je porastu. Osim stakleničkog učinka, ti plinovi pridonose i razgradnji </w:t>
      </w:r>
      <w:r w:rsidR="0025372E" w:rsidRPr="000063FC">
        <w:rPr>
          <w:rFonts w:asciiTheme="minorHAnsi" w:hAnsiTheme="minorHAnsi"/>
          <w:szCs w:val="22"/>
        </w:rPr>
        <w:t xml:space="preserve">stratosferskog ozona stvaranjem ozonskih rupa u atmosferskoj ovojnici </w:t>
      </w:r>
      <w:r w:rsidRPr="000063FC">
        <w:rPr>
          <w:rFonts w:asciiTheme="minorHAnsi" w:hAnsiTheme="minorHAnsi"/>
          <w:szCs w:val="22"/>
        </w:rPr>
        <w:t xml:space="preserve">Zemlje. </w:t>
      </w:r>
    </w:p>
    <w:p w:rsidR="00BC341E" w:rsidRPr="000063FC" w:rsidRDefault="007B0169">
      <w:pPr>
        <w:spacing w:line="276" w:lineRule="auto"/>
        <w:rPr>
          <w:szCs w:val="22"/>
        </w:rPr>
      </w:pPr>
      <w:r w:rsidRPr="000063FC">
        <w:rPr>
          <w:szCs w:val="22"/>
        </w:rPr>
        <w:lastRenderedPageBreak/>
        <w:t xml:space="preserve">Emisije iz izgaranja goriva </w:t>
      </w:r>
      <w:r w:rsidR="0025372E" w:rsidRPr="000063FC">
        <w:rPr>
          <w:szCs w:val="22"/>
        </w:rPr>
        <w:t xml:space="preserve">određuju </w:t>
      </w:r>
      <w:r w:rsidRPr="000063FC">
        <w:rPr>
          <w:szCs w:val="22"/>
        </w:rPr>
        <w:t xml:space="preserve">se preko standardnih emisijskih faktora (prva razina proračuna IPCC metodologije) navedenih u tablici </w:t>
      </w:r>
      <w:r w:rsidR="002443DB" w:rsidRPr="000063FC">
        <w:rPr>
          <w:szCs w:val="22"/>
        </w:rPr>
        <w:t>2</w:t>
      </w:r>
      <w:r w:rsidR="0025372E" w:rsidRPr="000063FC">
        <w:rPr>
          <w:szCs w:val="22"/>
        </w:rPr>
        <w:t>.1</w:t>
      </w:r>
      <w:r w:rsidRPr="000063FC">
        <w:rPr>
          <w:szCs w:val="22"/>
        </w:rPr>
        <w:t>.</w:t>
      </w:r>
    </w:p>
    <w:p w:rsidR="00B23695" w:rsidRPr="000063FC" w:rsidRDefault="00B23695"/>
    <w:p w:rsidR="00BC341E" w:rsidRPr="000063FC" w:rsidRDefault="00910543" w:rsidP="00B33E2F">
      <w:pPr>
        <w:pStyle w:val="Heading6"/>
      </w:pPr>
      <w:bookmarkStart w:id="55" w:name="_Toc252447749"/>
      <w:bookmarkStart w:id="56" w:name="_Toc252448672"/>
      <w:bookmarkStart w:id="57" w:name="_Toc254010230"/>
      <w:r w:rsidRPr="000063FC">
        <w:t xml:space="preserve">Tablica 2.1: </w:t>
      </w:r>
      <w:r w:rsidR="008C6BFA" w:rsidRPr="000063FC">
        <w:t>Standardni emisijski faktori iz izgaranja goriva prema IPCC</w:t>
      </w:r>
      <w:bookmarkEnd w:id="55"/>
      <w:bookmarkEnd w:id="56"/>
      <w:r w:rsidR="00505687" w:rsidRPr="000063FC">
        <w:t xml:space="preserve"> metodologiji</w:t>
      </w:r>
      <w:bookmarkEnd w:id="57"/>
    </w:p>
    <w:tbl>
      <w:tblPr>
        <w:tblW w:w="9084" w:type="dxa"/>
        <w:tblInd w:w="96" w:type="dxa"/>
        <w:tblBorders>
          <w:top w:val="single" w:sz="6" w:space="0" w:color="4BACC6"/>
          <w:left w:val="single" w:sz="6" w:space="0" w:color="4BACC6"/>
          <w:bottom w:val="single" w:sz="6" w:space="0" w:color="4BACC6"/>
          <w:right w:val="single" w:sz="6" w:space="0" w:color="4BACC6"/>
          <w:insideH w:val="single" w:sz="6" w:space="0" w:color="4BACC6"/>
          <w:insideV w:val="single" w:sz="6" w:space="0" w:color="4BACC6"/>
        </w:tblBorders>
        <w:tblLook w:val="00A0" w:firstRow="1" w:lastRow="0" w:firstColumn="1" w:lastColumn="0" w:noHBand="0" w:noVBand="0"/>
      </w:tblPr>
      <w:tblGrid>
        <w:gridCol w:w="2422"/>
        <w:gridCol w:w="1701"/>
        <w:gridCol w:w="1701"/>
        <w:gridCol w:w="1559"/>
        <w:gridCol w:w="1701"/>
      </w:tblGrid>
      <w:tr w:rsidR="0036551B" w:rsidRPr="000063FC" w:rsidTr="00C0691E">
        <w:trPr>
          <w:trHeight w:val="312"/>
        </w:trPr>
        <w:tc>
          <w:tcPr>
            <w:tcW w:w="2422" w:type="dxa"/>
            <w:vMerge w:val="restart"/>
            <w:tcBorders>
              <w:bottom w:val="single" w:sz="6" w:space="0" w:color="FFFFFF"/>
              <w:right w:val="single" w:sz="6" w:space="0" w:color="FFFFFF"/>
            </w:tcBorders>
            <w:shd w:val="clear" w:color="auto" w:fill="4BACC6"/>
            <w:noWrap/>
            <w:vAlign w:val="center"/>
          </w:tcPr>
          <w:p w:rsidR="00BC341E" w:rsidRPr="000063FC" w:rsidRDefault="0036551B">
            <w:pPr>
              <w:spacing w:line="240" w:lineRule="auto"/>
              <w:jc w:val="center"/>
              <w:rPr>
                <w:rFonts w:cs="Arial"/>
                <w:b/>
                <w:color w:val="FFFFFF"/>
                <w:sz w:val="20"/>
                <w:lang w:eastAsia="hr-HR"/>
              </w:rPr>
            </w:pPr>
            <w:r w:rsidRPr="000063FC">
              <w:rPr>
                <w:rFonts w:cs="Arial"/>
                <w:b/>
                <w:color w:val="FFFFFF"/>
                <w:sz w:val="20"/>
                <w:lang w:eastAsia="hr-HR"/>
              </w:rPr>
              <w:t>Izvor</w:t>
            </w:r>
          </w:p>
        </w:tc>
        <w:tc>
          <w:tcPr>
            <w:tcW w:w="6662" w:type="dxa"/>
            <w:gridSpan w:val="4"/>
            <w:tcBorders>
              <w:left w:val="single" w:sz="6" w:space="0" w:color="FFFFFF"/>
              <w:bottom w:val="single" w:sz="4" w:space="0" w:color="FFFFFF"/>
            </w:tcBorders>
            <w:shd w:val="clear" w:color="auto" w:fill="4BACC6"/>
            <w:vAlign w:val="center"/>
          </w:tcPr>
          <w:p w:rsidR="00BC341E" w:rsidRPr="000063FC" w:rsidRDefault="0036551B">
            <w:pPr>
              <w:spacing w:line="240" w:lineRule="auto"/>
              <w:jc w:val="center"/>
              <w:rPr>
                <w:rFonts w:cs="Arial"/>
                <w:b/>
                <w:color w:val="FFFFFF"/>
                <w:sz w:val="20"/>
                <w:lang w:eastAsia="hr-HR"/>
              </w:rPr>
            </w:pPr>
            <w:r w:rsidRPr="000063FC">
              <w:rPr>
                <w:rFonts w:cs="Arial"/>
                <w:b/>
                <w:color w:val="FFFFFF"/>
                <w:sz w:val="20"/>
                <w:lang w:eastAsia="hr-HR"/>
              </w:rPr>
              <w:t>Emisijski faktori</w:t>
            </w:r>
            <w:r w:rsidRPr="000063FC">
              <w:rPr>
                <w:rStyle w:val="FootnoteReference"/>
                <w:b/>
                <w:color w:val="FFFFFF"/>
                <w:sz w:val="20"/>
                <w:lang w:eastAsia="hr-HR"/>
              </w:rPr>
              <w:footnoteReference w:id="1"/>
            </w:r>
            <w:r w:rsidRPr="000063FC">
              <w:rPr>
                <w:rFonts w:cs="Arial"/>
                <w:b/>
                <w:color w:val="FFFFFF"/>
                <w:sz w:val="20"/>
                <w:lang w:eastAsia="hr-HR"/>
              </w:rPr>
              <w:t>, t/TJ</w:t>
            </w:r>
          </w:p>
        </w:tc>
      </w:tr>
      <w:tr w:rsidR="0036551B" w:rsidRPr="000063FC" w:rsidTr="00C0691E">
        <w:trPr>
          <w:trHeight w:val="345"/>
        </w:trPr>
        <w:tc>
          <w:tcPr>
            <w:tcW w:w="2422" w:type="dxa"/>
            <w:vMerge/>
            <w:tcBorders>
              <w:top w:val="single" w:sz="6" w:space="0" w:color="FFFFFF"/>
              <w:right w:val="single" w:sz="6" w:space="0" w:color="FFFFFF"/>
            </w:tcBorders>
            <w:shd w:val="clear" w:color="auto" w:fill="4BACC6"/>
            <w:vAlign w:val="center"/>
          </w:tcPr>
          <w:p w:rsidR="00BC341E" w:rsidRPr="000063FC" w:rsidRDefault="00BC341E">
            <w:pPr>
              <w:spacing w:line="240" w:lineRule="auto"/>
              <w:jc w:val="center"/>
              <w:rPr>
                <w:rFonts w:cs="Arial"/>
                <w:b/>
                <w:i/>
                <w:color w:val="FFFFFF"/>
                <w:sz w:val="20"/>
                <w:lang w:eastAsia="hr-HR"/>
              </w:rPr>
            </w:pPr>
          </w:p>
        </w:tc>
        <w:tc>
          <w:tcPr>
            <w:tcW w:w="1701" w:type="dxa"/>
            <w:tcBorders>
              <w:top w:val="single" w:sz="4" w:space="0" w:color="FFFFFF"/>
              <w:left w:val="single" w:sz="6" w:space="0" w:color="FFFFFF"/>
              <w:right w:val="single" w:sz="6" w:space="0" w:color="FFFFFF"/>
            </w:tcBorders>
            <w:shd w:val="clear" w:color="auto" w:fill="4BACC6"/>
            <w:vAlign w:val="center"/>
          </w:tcPr>
          <w:p w:rsidR="00BC341E" w:rsidRPr="000063FC" w:rsidRDefault="0036551B">
            <w:pPr>
              <w:spacing w:line="240" w:lineRule="auto"/>
              <w:jc w:val="center"/>
              <w:rPr>
                <w:rFonts w:cs="Arial"/>
                <w:b/>
                <w:color w:val="FFFFFF"/>
                <w:sz w:val="20"/>
                <w:lang w:eastAsia="hr-HR"/>
              </w:rPr>
            </w:pPr>
            <w:r w:rsidRPr="000063FC">
              <w:rPr>
                <w:rFonts w:cs="Arial"/>
                <w:b/>
                <w:color w:val="FFFFFF"/>
                <w:sz w:val="20"/>
                <w:lang w:eastAsia="hr-HR"/>
              </w:rPr>
              <w:t>Jedinica</w:t>
            </w:r>
          </w:p>
        </w:tc>
        <w:tc>
          <w:tcPr>
            <w:tcW w:w="1701" w:type="dxa"/>
            <w:tcBorders>
              <w:top w:val="single" w:sz="6" w:space="0" w:color="FFFFFF"/>
              <w:left w:val="single" w:sz="6" w:space="0" w:color="FFFFFF"/>
              <w:right w:val="single" w:sz="6" w:space="0" w:color="FFFFFF"/>
            </w:tcBorders>
            <w:shd w:val="clear" w:color="auto" w:fill="4BACC6"/>
            <w:noWrap/>
            <w:vAlign w:val="center"/>
          </w:tcPr>
          <w:p w:rsidR="00BC341E" w:rsidRPr="000063FC" w:rsidRDefault="0036551B">
            <w:pPr>
              <w:spacing w:line="240" w:lineRule="auto"/>
              <w:jc w:val="center"/>
              <w:rPr>
                <w:rFonts w:cs="Arial"/>
                <w:b/>
                <w:color w:val="FFFFFF"/>
                <w:sz w:val="20"/>
                <w:lang w:eastAsia="hr-HR"/>
              </w:rPr>
            </w:pPr>
            <w:r w:rsidRPr="000063FC">
              <w:rPr>
                <w:rFonts w:cs="Arial"/>
                <w:b/>
                <w:color w:val="FFFFFF"/>
                <w:sz w:val="20"/>
                <w:lang w:eastAsia="hr-HR"/>
              </w:rPr>
              <w:t>CO</w:t>
            </w:r>
            <w:r w:rsidRPr="000063FC">
              <w:rPr>
                <w:rFonts w:cs="Arial"/>
                <w:b/>
                <w:color w:val="FFFFFF"/>
                <w:sz w:val="20"/>
                <w:vertAlign w:val="subscript"/>
                <w:lang w:eastAsia="hr-HR"/>
              </w:rPr>
              <w:t>2</w:t>
            </w:r>
          </w:p>
        </w:tc>
        <w:tc>
          <w:tcPr>
            <w:tcW w:w="1559" w:type="dxa"/>
            <w:tcBorders>
              <w:top w:val="single" w:sz="6" w:space="0" w:color="FFFFFF"/>
              <w:left w:val="single" w:sz="6" w:space="0" w:color="FFFFFF"/>
              <w:right w:val="single" w:sz="6" w:space="0" w:color="FFFFFF"/>
            </w:tcBorders>
            <w:shd w:val="clear" w:color="auto" w:fill="4BACC6"/>
            <w:noWrap/>
            <w:vAlign w:val="center"/>
          </w:tcPr>
          <w:p w:rsidR="00BC341E" w:rsidRPr="000063FC" w:rsidRDefault="0036551B">
            <w:pPr>
              <w:spacing w:line="240" w:lineRule="auto"/>
              <w:jc w:val="center"/>
              <w:rPr>
                <w:rFonts w:cs="Arial"/>
                <w:b/>
                <w:color w:val="FFFFFF"/>
                <w:sz w:val="20"/>
                <w:lang w:eastAsia="hr-HR"/>
              </w:rPr>
            </w:pPr>
            <w:r w:rsidRPr="000063FC">
              <w:rPr>
                <w:rFonts w:cs="Arial"/>
                <w:b/>
                <w:color w:val="FFFFFF"/>
                <w:sz w:val="20"/>
                <w:lang w:eastAsia="hr-HR"/>
              </w:rPr>
              <w:t>CH</w:t>
            </w:r>
            <w:r w:rsidRPr="000063FC">
              <w:rPr>
                <w:rFonts w:cs="Arial"/>
                <w:b/>
                <w:color w:val="FFFFFF"/>
                <w:sz w:val="20"/>
                <w:vertAlign w:val="subscript"/>
                <w:lang w:eastAsia="hr-HR"/>
              </w:rPr>
              <w:t>4</w:t>
            </w:r>
          </w:p>
        </w:tc>
        <w:tc>
          <w:tcPr>
            <w:tcW w:w="1701" w:type="dxa"/>
            <w:tcBorders>
              <w:top w:val="single" w:sz="6" w:space="0" w:color="FFFFFF"/>
              <w:left w:val="single" w:sz="6" w:space="0" w:color="FFFFFF"/>
            </w:tcBorders>
            <w:shd w:val="clear" w:color="auto" w:fill="4BACC6"/>
            <w:noWrap/>
            <w:vAlign w:val="center"/>
          </w:tcPr>
          <w:p w:rsidR="00BC341E" w:rsidRPr="000063FC" w:rsidRDefault="0036551B">
            <w:pPr>
              <w:spacing w:line="240" w:lineRule="auto"/>
              <w:jc w:val="center"/>
              <w:rPr>
                <w:rFonts w:cs="Arial"/>
                <w:b/>
                <w:color w:val="FFFFFF"/>
                <w:sz w:val="20"/>
                <w:lang w:eastAsia="hr-HR"/>
              </w:rPr>
            </w:pPr>
            <w:r w:rsidRPr="000063FC">
              <w:rPr>
                <w:rFonts w:cs="Arial"/>
                <w:b/>
                <w:color w:val="FFFFFF"/>
                <w:sz w:val="20"/>
                <w:lang w:eastAsia="hr-HR"/>
              </w:rPr>
              <w:t>N</w:t>
            </w:r>
            <w:r w:rsidRPr="000063FC">
              <w:rPr>
                <w:rFonts w:cs="Arial"/>
                <w:b/>
                <w:color w:val="FFFFFF"/>
                <w:sz w:val="20"/>
                <w:vertAlign w:val="subscript"/>
                <w:lang w:eastAsia="hr-HR"/>
              </w:rPr>
              <w:t>2</w:t>
            </w:r>
            <w:r w:rsidRPr="000063FC">
              <w:rPr>
                <w:rFonts w:cs="Arial"/>
                <w:b/>
                <w:color w:val="FFFFFF"/>
                <w:sz w:val="20"/>
                <w:lang w:eastAsia="hr-HR"/>
              </w:rPr>
              <w:t>O</w:t>
            </w:r>
          </w:p>
        </w:tc>
      </w:tr>
      <w:tr w:rsidR="0036551B" w:rsidRPr="000063FC" w:rsidTr="00B23695">
        <w:trPr>
          <w:trHeight w:val="284"/>
        </w:trPr>
        <w:tc>
          <w:tcPr>
            <w:tcW w:w="2422" w:type="dxa"/>
            <w:noWrap/>
            <w:vAlign w:val="center"/>
          </w:tcPr>
          <w:p w:rsidR="00BC341E" w:rsidRPr="000063FC" w:rsidRDefault="0036551B">
            <w:pPr>
              <w:spacing w:line="240" w:lineRule="auto"/>
              <w:rPr>
                <w:rFonts w:cs="Arial"/>
                <w:sz w:val="20"/>
                <w:lang w:eastAsia="hr-HR"/>
              </w:rPr>
            </w:pPr>
            <w:r w:rsidRPr="000063FC">
              <w:rPr>
                <w:rFonts w:cs="Arial"/>
                <w:sz w:val="20"/>
                <w:lang w:eastAsia="hr-HR"/>
              </w:rPr>
              <w:t>Prirodni plin</w:t>
            </w:r>
          </w:p>
        </w:tc>
        <w:tc>
          <w:tcPr>
            <w:tcW w:w="1701"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t/TJ</w:t>
            </w:r>
          </w:p>
        </w:tc>
        <w:tc>
          <w:tcPr>
            <w:tcW w:w="1701"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55,8</w:t>
            </w:r>
          </w:p>
        </w:tc>
        <w:tc>
          <w:tcPr>
            <w:tcW w:w="1559"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0,005</w:t>
            </w:r>
          </w:p>
        </w:tc>
        <w:tc>
          <w:tcPr>
            <w:tcW w:w="1701"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0,0001</w:t>
            </w:r>
          </w:p>
        </w:tc>
      </w:tr>
      <w:tr w:rsidR="0036551B" w:rsidRPr="000063FC" w:rsidTr="00B23695">
        <w:trPr>
          <w:trHeight w:val="284"/>
        </w:trPr>
        <w:tc>
          <w:tcPr>
            <w:tcW w:w="2422" w:type="dxa"/>
            <w:noWrap/>
            <w:vAlign w:val="center"/>
          </w:tcPr>
          <w:p w:rsidR="00BC341E" w:rsidRPr="000063FC" w:rsidRDefault="0036551B">
            <w:pPr>
              <w:spacing w:line="240" w:lineRule="auto"/>
              <w:rPr>
                <w:rFonts w:cs="Arial"/>
                <w:sz w:val="20"/>
                <w:lang w:eastAsia="hr-HR"/>
              </w:rPr>
            </w:pPr>
            <w:r w:rsidRPr="000063FC">
              <w:rPr>
                <w:rFonts w:cs="Arial"/>
                <w:sz w:val="20"/>
                <w:lang w:eastAsia="hr-HR"/>
              </w:rPr>
              <w:t>Loživo ulje</w:t>
            </w:r>
          </w:p>
        </w:tc>
        <w:tc>
          <w:tcPr>
            <w:tcW w:w="1701"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t/TJ</w:t>
            </w:r>
          </w:p>
        </w:tc>
        <w:tc>
          <w:tcPr>
            <w:tcW w:w="1701"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76,6</w:t>
            </w:r>
          </w:p>
        </w:tc>
        <w:tc>
          <w:tcPr>
            <w:tcW w:w="1559"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0,010</w:t>
            </w:r>
          </w:p>
        </w:tc>
        <w:tc>
          <w:tcPr>
            <w:tcW w:w="1701"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0,0006</w:t>
            </w:r>
          </w:p>
        </w:tc>
      </w:tr>
      <w:tr w:rsidR="0036551B" w:rsidRPr="000063FC" w:rsidTr="00B23695">
        <w:trPr>
          <w:trHeight w:val="284"/>
        </w:trPr>
        <w:tc>
          <w:tcPr>
            <w:tcW w:w="2422" w:type="dxa"/>
            <w:noWrap/>
            <w:vAlign w:val="center"/>
          </w:tcPr>
          <w:p w:rsidR="00BC341E" w:rsidRPr="000063FC" w:rsidRDefault="0036551B">
            <w:pPr>
              <w:spacing w:line="240" w:lineRule="auto"/>
              <w:rPr>
                <w:rFonts w:cs="Arial"/>
                <w:sz w:val="20"/>
                <w:lang w:eastAsia="hr-HR"/>
              </w:rPr>
            </w:pPr>
            <w:r w:rsidRPr="000063FC">
              <w:rPr>
                <w:rFonts w:cs="Arial"/>
                <w:sz w:val="20"/>
                <w:lang w:eastAsia="hr-HR"/>
              </w:rPr>
              <w:t>Ukapljeni naftni plin</w:t>
            </w:r>
          </w:p>
        </w:tc>
        <w:tc>
          <w:tcPr>
            <w:tcW w:w="1701"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t/TJ</w:t>
            </w:r>
          </w:p>
        </w:tc>
        <w:tc>
          <w:tcPr>
            <w:tcW w:w="1701"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62,4</w:t>
            </w:r>
          </w:p>
        </w:tc>
        <w:tc>
          <w:tcPr>
            <w:tcW w:w="1559"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0,010</w:t>
            </w:r>
          </w:p>
        </w:tc>
        <w:tc>
          <w:tcPr>
            <w:tcW w:w="1701"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0,0006</w:t>
            </w:r>
          </w:p>
        </w:tc>
      </w:tr>
      <w:tr w:rsidR="0036551B" w:rsidRPr="000063FC" w:rsidTr="00B23695">
        <w:trPr>
          <w:trHeight w:val="284"/>
        </w:trPr>
        <w:tc>
          <w:tcPr>
            <w:tcW w:w="2422" w:type="dxa"/>
            <w:noWrap/>
            <w:vAlign w:val="center"/>
          </w:tcPr>
          <w:p w:rsidR="00BC341E" w:rsidRPr="000063FC" w:rsidRDefault="0036551B">
            <w:pPr>
              <w:spacing w:line="240" w:lineRule="auto"/>
              <w:rPr>
                <w:rFonts w:cs="Arial"/>
                <w:sz w:val="20"/>
                <w:lang w:eastAsia="hr-HR"/>
              </w:rPr>
            </w:pPr>
            <w:r w:rsidRPr="000063FC">
              <w:rPr>
                <w:rFonts w:cs="Arial"/>
                <w:sz w:val="20"/>
                <w:lang w:eastAsia="hr-HR"/>
              </w:rPr>
              <w:t>Ogrjevno drvo</w:t>
            </w:r>
          </w:p>
        </w:tc>
        <w:tc>
          <w:tcPr>
            <w:tcW w:w="1701"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t/TJ</w:t>
            </w:r>
          </w:p>
        </w:tc>
        <w:tc>
          <w:tcPr>
            <w:tcW w:w="1701"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0,0</w:t>
            </w:r>
          </w:p>
        </w:tc>
        <w:tc>
          <w:tcPr>
            <w:tcW w:w="1559"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0,300</w:t>
            </w:r>
          </w:p>
        </w:tc>
        <w:tc>
          <w:tcPr>
            <w:tcW w:w="1701" w:type="dxa"/>
            <w:noWrap/>
            <w:vAlign w:val="center"/>
          </w:tcPr>
          <w:p w:rsidR="00BC341E" w:rsidRPr="000063FC" w:rsidRDefault="0036551B">
            <w:pPr>
              <w:spacing w:line="240" w:lineRule="auto"/>
              <w:jc w:val="center"/>
              <w:rPr>
                <w:rFonts w:cs="Arial"/>
                <w:sz w:val="20"/>
                <w:lang w:eastAsia="hr-HR"/>
              </w:rPr>
            </w:pPr>
            <w:r w:rsidRPr="000063FC">
              <w:rPr>
                <w:rFonts w:cs="Arial"/>
                <w:sz w:val="20"/>
                <w:lang w:eastAsia="hr-HR"/>
              </w:rPr>
              <w:t>0,004</w:t>
            </w:r>
          </w:p>
        </w:tc>
      </w:tr>
    </w:tbl>
    <w:p w:rsidR="0025372E" w:rsidRPr="000063FC" w:rsidRDefault="0025372E" w:rsidP="007F6F90">
      <w:bookmarkStart w:id="58" w:name="_Toc252442178"/>
      <w:bookmarkStart w:id="59" w:name="_Toc252451770"/>
      <w:bookmarkStart w:id="60" w:name="_Toc252451832"/>
      <w:bookmarkStart w:id="61" w:name="_Toc252453347"/>
      <w:bookmarkStart w:id="62" w:name="_Toc252528555"/>
      <w:bookmarkStart w:id="63" w:name="_Toc252529055"/>
      <w:bookmarkStart w:id="64" w:name="_Toc252543557"/>
      <w:bookmarkStart w:id="65" w:name="_Toc252543619"/>
      <w:bookmarkStart w:id="66" w:name="_Toc252543663"/>
      <w:bookmarkStart w:id="67" w:name="_Toc252861236"/>
      <w:bookmarkStart w:id="68" w:name="_Toc252861297"/>
      <w:bookmarkStart w:id="69" w:name="_Toc252861357"/>
      <w:bookmarkStart w:id="70" w:name="_Toc252861417"/>
      <w:bookmarkStart w:id="71" w:name="_Toc252861477"/>
      <w:bookmarkStart w:id="72" w:name="_Toc252861538"/>
      <w:bookmarkStart w:id="73" w:name="_Toc252861598"/>
      <w:bookmarkStart w:id="74" w:name="_Toc252861659"/>
      <w:bookmarkStart w:id="75" w:name="_Toc252861719"/>
      <w:bookmarkStart w:id="76" w:name="_Toc252861779"/>
      <w:bookmarkStart w:id="77" w:name="_Toc25287259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6970AF" w:rsidRPr="000063FC" w:rsidRDefault="007B0169">
      <w:pPr>
        <w:pStyle w:val="Heading3"/>
      </w:pPr>
      <w:bookmarkStart w:id="78" w:name="_Toc254010181"/>
      <w:r w:rsidRPr="000063FC">
        <w:t>METODOLOGIJA</w:t>
      </w:r>
      <w:r w:rsidR="0036551B" w:rsidRPr="000063FC">
        <w:t xml:space="preserve"> ZA PRORAČUN NEIZRAVNIH EMISIJA</w:t>
      </w:r>
      <w:bookmarkEnd w:id="78"/>
    </w:p>
    <w:p w:rsidR="00BC341E" w:rsidRPr="000063FC" w:rsidRDefault="007B0169">
      <w:pPr>
        <w:spacing w:line="276" w:lineRule="auto"/>
        <w:rPr>
          <w:szCs w:val="22"/>
        </w:rPr>
      </w:pPr>
      <w:r w:rsidRPr="000063FC">
        <w:rPr>
          <w:szCs w:val="22"/>
        </w:rPr>
        <w:t xml:space="preserve">Za proračun </w:t>
      </w:r>
      <w:r w:rsidR="0025372E" w:rsidRPr="000063FC">
        <w:rPr>
          <w:szCs w:val="22"/>
        </w:rPr>
        <w:t xml:space="preserve">neizravnih </w:t>
      </w:r>
      <w:r w:rsidRPr="000063FC">
        <w:rPr>
          <w:szCs w:val="22"/>
        </w:rPr>
        <w:t xml:space="preserve">emisija iz potrošnje električne </w:t>
      </w:r>
      <w:r w:rsidR="0025372E" w:rsidRPr="000063FC">
        <w:rPr>
          <w:szCs w:val="22"/>
        </w:rPr>
        <w:t xml:space="preserve">i toplinske </w:t>
      </w:r>
      <w:r w:rsidRPr="000063FC">
        <w:rPr>
          <w:szCs w:val="22"/>
        </w:rPr>
        <w:t xml:space="preserve">energije </w:t>
      </w:r>
      <w:r w:rsidR="0025372E" w:rsidRPr="000063FC">
        <w:rPr>
          <w:szCs w:val="22"/>
        </w:rPr>
        <w:t>korišteni su emisijski faktori iz Priručnika Europske komisije: Kako izraditi Akcijski plan energ</w:t>
      </w:r>
      <w:r w:rsidR="00102021" w:rsidRPr="000063FC">
        <w:rPr>
          <w:szCs w:val="22"/>
        </w:rPr>
        <w:t>etski održivog razvitka grada, Dio III:</w:t>
      </w:r>
      <w:r w:rsidR="0025372E" w:rsidRPr="000063FC">
        <w:rPr>
          <w:szCs w:val="22"/>
        </w:rPr>
        <w:t xml:space="preserve"> Referentni inventar emisija. </w:t>
      </w:r>
      <w:r w:rsidR="00102021" w:rsidRPr="000063FC">
        <w:rPr>
          <w:szCs w:val="22"/>
        </w:rPr>
        <w:t>Preporučeni</w:t>
      </w:r>
      <w:r w:rsidRPr="000063FC">
        <w:rPr>
          <w:szCs w:val="22"/>
        </w:rPr>
        <w:t xml:space="preserve"> faktori emisija za proračun CO</w:t>
      </w:r>
      <w:r w:rsidRPr="000063FC">
        <w:rPr>
          <w:szCs w:val="22"/>
          <w:vertAlign w:val="subscript"/>
        </w:rPr>
        <w:t>2</w:t>
      </w:r>
      <w:r w:rsidRPr="000063FC">
        <w:rPr>
          <w:szCs w:val="22"/>
        </w:rPr>
        <w:t xml:space="preserve"> iz</w:t>
      </w:r>
      <w:r w:rsidR="00102021" w:rsidRPr="000063FC">
        <w:rPr>
          <w:szCs w:val="22"/>
        </w:rPr>
        <w:t xml:space="preserve"> potrošnje električne energije </w:t>
      </w:r>
      <w:r w:rsidRPr="000063FC">
        <w:rPr>
          <w:szCs w:val="22"/>
        </w:rPr>
        <w:t>se kreću u rasponu od 143 gCO</w:t>
      </w:r>
      <w:r w:rsidRPr="000063FC">
        <w:rPr>
          <w:szCs w:val="22"/>
          <w:vertAlign w:val="subscript"/>
        </w:rPr>
        <w:t>2</w:t>
      </w:r>
      <w:r w:rsidRPr="000063FC">
        <w:rPr>
          <w:szCs w:val="22"/>
        </w:rPr>
        <w:t>/kWh (Latvija) do 1036 gCO</w:t>
      </w:r>
      <w:r w:rsidRPr="000063FC">
        <w:rPr>
          <w:szCs w:val="22"/>
          <w:vertAlign w:val="subscript"/>
        </w:rPr>
        <w:t>2</w:t>
      </w:r>
      <w:r w:rsidR="00102021" w:rsidRPr="000063FC">
        <w:rPr>
          <w:szCs w:val="22"/>
        </w:rPr>
        <w:t xml:space="preserve">/kWh (Grčka). Srednja vrijednost za 27 članica Europske unije iznosi </w:t>
      </w:r>
      <w:r w:rsidRPr="000063FC">
        <w:rPr>
          <w:szCs w:val="22"/>
        </w:rPr>
        <w:t>476 gCO</w:t>
      </w:r>
      <w:r w:rsidRPr="000063FC">
        <w:rPr>
          <w:szCs w:val="22"/>
          <w:vertAlign w:val="subscript"/>
        </w:rPr>
        <w:t>2</w:t>
      </w:r>
      <w:r w:rsidR="00102021" w:rsidRPr="000063FC">
        <w:rPr>
          <w:szCs w:val="22"/>
        </w:rPr>
        <w:t>/kWh. Generalno</w:t>
      </w:r>
      <w:r w:rsidRPr="000063FC">
        <w:rPr>
          <w:szCs w:val="22"/>
        </w:rPr>
        <w:t>, faktor emisije ovisi o strukturi proizvodnje električne energije. Ako se električna energija proizvodi iz fosilnih goriva (posebice ugljena) taj faktor će biti veći, dok s druge strane ako se električna ene</w:t>
      </w:r>
      <w:r w:rsidR="00102021" w:rsidRPr="000063FC">
        <w:rPr>
          <w:szCs w:val="22"/>
        </w:rPr>
        <w:t>rgija proizvodi iz hidroenergije</w:t>
      </w:r>
      <w:r w:rsidRPr="000063FC">
        <w:rPr>
          <w:szCs w:val="22"/>
        </w:rPr>
        <w:t xml:space="preserve"> i obnovljivih izvora, faktor će biti manji. </w:t>
      </w:r>
      <w:r w:rsidR="00102021" w:rsidRPr="000063FC">
        <w:rPr>
          <w:szCs w:val="22"/>
        </w:rPr>
        <w:t>Uzevši u obzir činjenicu</w:t>
      </w:r>
      <w:r w:rsidRPr="000063FC">
        <w:rPr>
          <w:szCs w:val="22"/>
        </w:rPr>
        <w:t xml:space="preserve"> da se u Republici Hrvatskoj </w:t>
      </w:r>
      <w:r w:rsidR="00102021" w:rsidRPr="000063FC">
        <w:rPr>
          <w:szCs w:val="22"/>
        </w:rPr>
        <w:t xml:space="preserve">više od 45% ukupne električne energije </w:t>
      </w:r>
      <w:r w:rsidRPr="000063FC">
        <w:rPr>
          <w:szCs w:val="22"/>
        </w:rPr>
        <w:t>proizvede</w:t>
      </w:r>
      <w:r w:rsidR="00FA4B2E">
        <w:rPr>
          <w:szCs w:val="22"/>
        </w:rPr>
        <w:t xml:space="preserve"> u</w:t>
      </w:r>
      <w:r w:rsidRPr="000063FC">
        <w:rPr>
          <w:szCs w:val="22"/>
        </w:rPr>
        <w:t xml:space="preserve"> </w:t>
      </w:r>
      <w:r w:rsidR="00102021" w:rsidRPr="000063FC">
        <w:rPr>
          <w:szCs w:val="22"/>
        </w:rPr>
        <w:t>hidroelektranama, e</w:t>
      </w:r>
      <w:r w:rsidRPr="000063FC">
        <w:rPr>
          <w:szCs w:val="22"/>
        </w:rPr>
        <w:t xml:space="preserve">misijski faktor iz potrošnje električne energije </w:t>
      </w:r>
      <w:r w:rsidR="00102021" w:rsidRPr="000063FC">
        <w:rPr>
          <w:szCs w:val="22"/>
        </w:rPr>
        <w:t xml:space="preserve">je relativno nizak  u odnosu na </w:t>
      </w:r>
      <w:r w:rsidR="000063FC" w:rsidRPr="000063FC">
        <w:rPr>
          <w:szCs w:val="22"/>
        </w:rPr>
        <w:t>prosjek</w:t>
      </w:r>
      <w:r w:rsidRPr="000063FC">
        <w:rPr>
          <w:szCs w:val="22"/>
        </w:rPr>
        <w:t xml:space="preserve"> EU 27 i iznosi 323 gCO</w:t>
      </w:r>
      <w:r w:rsidRPr="000063FC">
        <w:rPr>
          <w:szCs w:val="22"/>
          <w:vertAlign w:val="subscript"/>
        </w:rPr>
        <w:t>2</w:t>
      </w:r>
      <w:r w:rsidRPr="000063FC">
        <w:rPr>
          <w:szCs w:val="22"/>
        </w:rPr>
        <w:t xml:space="preserve">/kWh. </w:t>
      </w:r>
      <w:r w:rsidR="00BC48D8" w:rsidRPr="000063FC">
        <w:rPr>
          <w:szCs w:val="22"/>
        </w:rPr>
        <w:t>O</w:t>
      </w:r>
      <w:r w:rsidR="00102021" w:rsidRPr="000063FC">
        <w:rPr>
          <w:szCs w:val="22"/>
        </w:rPr>
        <w:t>vdje je važno napomenuti, da je e</w:t>
      </w:r>
      <w:r w:rsidRPr="000063FC">
        <w:rPr>
          <w:szCs w:val="22"/>
        </w:rPr>
        <w:t>misijski faktor</w:t>
      </w:r>
      <w:r w:rsidR="00102021" w:rsidRPr="000063FC">
        <w:rPr>
          <w:szCs w:val="22"/>
        </w:rPr>
        <w:t xml:space="preserve"> od 323 g/kWh određen </w:t>
      </w:r>
      <w:r w:rsidRPr="000063FC">
        <w:rPr>
          <w:szCs w:val="22"/>
        </w:rPr>
        <w:t>kao prosjek emisijskih faktora niza od 2004. do 2007. godine dobivenih dijeljenjem emisije CO</w:t>
      </w:r>
      <w:r w:rsidRPr="000063FC">
        <w:rPr>
          <w:szCs w:val="22"/>
          <w:vertAlign w:val="subscript"/>
        </w:rPr>
        <w:t>2</w:t>
      </w:r>
      <w:r w:rsidR="00102021" w:rsidRPr="000063FC">
        <w:rPr>
          <w:szCs w:val="22"/>
        </w:rPr>
        <w:t xml:space="preserve"> iz termoelektrana Hrvatske elektroprivrede</w:t>
      </w:r>
      <w:r w:rsidRPr="000063FC">
        <w:rPr>
          <w:szCs w:val="22"/>
        </w:rPr>
        <w:t xml:space="preserve"> i </w:t>
      </w:r>
      <w:r w:rsidR="00943AF7" w:rsidRPr="000063FC">
        <w:rPr>
          <w:szCs w:val="22"/>
        </w:rPr>
        <w:t xml:space="preserve">ukupno </w:t>
      </w:r>
      <w:r w:rsidRPr="000063FC">
        <w:rPr>
          <w:szCs w:val="22"/>
        </w:rPr>
        <w:t>proizvedene električne energije za svaku spomenutu godinu.</w:t>
      </w:r>
    </w:p>
    <w:p w:rsidR="00BC341E" w:rsidRPr="000063FC" w:rsidRDefault="00BC341E">
      <w:pPr>
        <w:spacing w:line="276" w:lineRule="auto"/>
        <w:rPr>
          <w:szCs w:val="22"/>
        </w:rPr>
      </w:pPr>
    </w:p>
    <w:p w:rsidR="00BC341E" w:rsidRPr="000063FC" w:rsidRDefault="007B0169">
      <w:pPr>
        <w:spacing w:line="276" w:lineRule="auto"/>
        <w:rPr>
          <w:rFonts w:cs="Arial"/>
          <w:szCs w:val="22"/>
        </w:rPr>
      </w:pPr>
      <w:r w:rsidRPr="000063FC">
        <w:rPr>
          <w:szCs w:val="22"/>
        </w:rPr>
        <w:t xml:space="preserve">Na području Grada </w:t>
      </w:r>
      <w:r w:rsidR="00943AF7" w:rsidRPr="000063FC">
        <w:rPr>
          <w:szCs w:val="22"/>
        </w:rPr>
        <w:t xml:space="preserve">Zagreba </w:t>
      </w:r>
      <w:r w:rsidRPr="000063FC">
        <w:rPr>
          <w:szCs w:val="22"/>
        </w:rPr>
        <w:t>nalaze se dvije termoelektrane-toplane (TE-TO i EL-TO) koje sustavom daljinskog gr</w:t>
      </w:r>
      <w:r w:rsidR="00943AF7" w:rsidRPr="000063FC">
        <w:rPr>
          <w:szCs w:val="22"/>
        </w:rPr>
        <w:t xml:space="preserve">ijanja opskrbljuju Grad </w:t>
      </w:r>
      <w:r w:rsidR="000063FC" w:rsidRPr="000063FC">
        <w:rPr>
          <w:szCs w:val="22"/>
        </w:rPr>
        <w:t>toplinskom</w:t>
      </w:r>
      <w:r w:rsidR="00943AF7" w:rsidRPr="000063FC">
        <w:rPr>
          <w:szCs w:val="22"/>
        </w:rPr>
        <w:t xml:space="preserve"> energijom</w:t>
      </w:r>
      <w:r w:rsidRPr="000063FC">
        <w:rPr>
          <w:szCs w:val="22"/>
        </w:rPr>
        <w:t xml:space="preserve">. </w:t>
      </w:r>
      <w:r w:rsidRPr="000063FC">
        <w:rPr>
          <w:rFonts w:cs="Arial"/>
          <w:szCs w:val="22"/>
        </w:rPr>
        <w:t>TE-TO Zagreb najveća je termoelektrana-toplana u Hrvatskoj namijenjena prvenstveno pokrivanju toplinskih konzuma (ogrjevnih i pa</w:t>
      </w:r>
      <w:r w:rsidR="00BC48D8" w:rsidRPr="000063FC">
        <w:rPr>
          <w:rFonts w:cs="Arial"/>
          <w:szCs w:val="22"/>
        </w:rPr>
        <w:t>rnih) južnog i istočnog dijela G</w:t>
      </w:r>
      <w:r w:rsidRPr="000063FC">
        <w:rPr>
          <w:rFonts w:cs="Arial"/>
          <w:szCs w:val="22"/>
        </w:rPr>
        <w:t>rada. EL-TO Zagreb druga je po veličini termoelektrana-toplana u Hrvatskoj, namijenjena</w:t>
      </w:r>
      <w:r w:rsidR="00FA4B2E">
        <w:rPr>
          <w:rFonts w:cs="Arial"/>
          <w:szCs w:val="22"/>
        </w:rPr>
        <w:t xml:space="preserve"> pokrivanju toplinskih konzuma </w:t>
      </w:r>
      <w:r w:rsidRPr="000063FC">
        <w:rPr>
          <w:rFonts w:cs="Arial"/>
          <w:szCs w:val="22"/>
        </w:rPr>
        <w:t>zapadnog dijela grada. Osim termoelektrana-toplana, u toplins</w:t>
      </w:r>
      <w:r w:rsidR="00BC48D8" w:rsidRPr="000063FC">
        <w:rPr>
          <w:rFonts w:cs="Arial"/>
          <w:szCs w:val="22"/>
        </w:rPr>
        <w:t xml:space="preserve">kom sustavu Grada, sudjeluju i javne kotlovnice, čiji je udio </w:t>
      </w:r>
      <w:r w:rsidRPr="000063FC">
        <w:rPr>
          <w:rFonts w:cs="Arial"/>
          <w:szCs w:val="22"/>
        </w:rPr>
        <w:t>u ukupnoj ops</w:t>
      </w:r>
      <w:r w:rsidR="00BC48D8" w:rsidRPr="000063FC">
        <w:rPr>
          <w:rFonts w:cs="Arial"/>
          <w:szCs w:val="22"/>
        </w:rPr>
        <w:t xml:space="preserve">krbi Grada toplinom procijenjen </w:t>
      </w:r>
      <w:r w:rsidRPr="000063FC">
        <w:rPr>
          <w:rFonts w:cs="Arial"/>
          <w:szCs w:val="22"/>
        </w:rPr>
        <w:t>na 10%.</w:t>
      </w:r>
    </w:p>
    <w:p w:rsidR="007F6F90" w:rsidRDefault="007F6F90">
      <w:pPr>
        <w:tabs>
          <w:tab w:val="clear" w:pos="720"/>
          <w:tab w:val="clear" w:pos="6912"/>
        </w:tabs>
        <w:spacing w:line="240" w:lineRule="auto"/>
        <w:jc w:val="left"/>
        <w:rPr>
          <w:rFonts w:cs="Arial"/>
          <w:szCs w:val="22"/>
        </w:rPr>
      </w:pPr>
      <w:r>
        <w:rPr>
          <w:rFonts w:cs="Arial"/>
          <w:szCs w:val="22"/>
        </w:rPr>
        <w:br w:type="page"/>
      </w:r>
    </w:p>
    <w:p w:rsidR="00BC341E" w:rsidRPr="000063FC" w:rsidRDefault="007A1991">
      <w:pPr>
        <w:spacing w:line="276" w:lineRule="auto"/>
        <w:rPr>
          <w:rFonts w:cs="Arial"/>
          <w:szCs w:val="22"/>
        </w:rPr>
      </w:pPr>
      <w:r w:rsidRPr="000063FC">
        <w:rPr>
          <w:rFonts w:cs="Arial"/>
          <w:szCs w:val="22"/>
        </w:rPr>
        <w:lastRenderedPageBreak/>
        <w:t>Za spomenute</w:t>
      </w:r>
      <w:r w:rsidR="007B0169" w:rsidRPr="000063FC">
        <w:rPr>
          <w:rFonts w:cs="Arial"/>
          <w:szCs w:val="22"/>
        </w:rPr>
        <w:t xml:space="preserve"> </w:t>
      </w:r>
      <w:r w:rsidRPr="000063FC">
        <w:rPr>
          <w:rFonts w:cs="Arial"/>
          <w:szCs w:val="22"/>
        </w:rPr>
        <w:t xml:space="preserve">je </w:t>
      </w:r>
      <w:r w:rsidR="007B0169" w:rsidRPr="000063FC">
        <w:rPr>
          <w:rFonts w:cs="Arial"/>
          <w:szCs w:val="22"/>
        </w:rPr>
        <w:t xml:space="preserve">termoelektrane </w:t>
      </w:r>
      <w:r w:rsidRPr="000063FC">
        <w:rPr>
          <w:rFonts w:cs="Arial"/>
          <w:szCs w:val="22"/>
        </w:rPr>
        <w:t xml:space="preserve">Grada, na osnovu podataka </w:t>
      </w:r>
      <w:r w:rsidR="007B0169" w:rsidRPr="000063FC">
        <w:rPr>
          <w:rFonts w:cs="Arial"/>
          <w:szCs w:val="22"/>
        </w:rPr>
        <w:t>o godišnjim potrošnjama goriva, proizvodnjama električne i toplinske energije,</w:t>
      </w:r>
      <w:r w:rsidR="0095340E" w:rsidRPr="000063FC">
        <w:rPr>
          <w:rStyle w:val="FootnoteReference"/>
          <w:rFonts w:cs="Arial"/>
          <w:szCs w:val="22"/>
        </w:rPr>
        <w:footnoteReference w:id="2"/>
      </w:r>
      <w:r w:rsidR="007B0169" w:rsidRPr="000063FC">
        <w:rPr>
          <w:rFonts w:cs="Arial"/>
          <w:szCs w:val="22"/>
        </w:rPr>
        <w:t xml:space="preserve"> te emisijama CO</w:t>
      </w:r>
      <w:r w:rsidR="0095340E" w:rsidRPr="000063FC">
        <w:rPr>
          <w:rFonts w:cs="Arial"/>
          <w:szCs w:val="22"/>
          <w:vertAlign w:val="subscript"/>
        </w:rPr>
        <w:t>2</w:t>
      </w:r>
      <w:r w:rsidR="0095340E" w:rsidRPr="000063FC">
        <w:rPr>
          <w:rStyle w:val="FootnoteReference"/>
          <w:rFonts w:cs="Arial"/>
          <w:szCs w:val="22"/>
        </w:rPr>
        <w:footnoteReference w:id="3"/>
      </w:r>
      <w:r w:rsidRPr="000063FC">
        <w:rPr>
          <w:rFonts w:cs="Arial"/>
          <w:szCs w:val="22"/>
        </w:rPr>
        <w:t xml:space="preserve"> za niz od 2004.-2006. godine, određen </w:t>
      </w:r>
      <w:r w:rsidR="007B0169" w:rsidRPr="000063FC">
        <w:rPr>
          <w:rFonts w:cs="Arial"/>
          <w:szCs w:val="22"/>
        </w:rPr>
        <w:t>emisijski faktor t CO</w:t>
      </w:r>
      <w:r w:rsidR="0095340E" w:rsidRPr="000063FC">
        <w:rPr>
          <w:rFonts w:cs="Arial"/>
          <w:szCs w:val="22"/>
          <w:vertAlign w:val="subscript"/>
        </w:rPr>
        <w:t>2</w:t>
      </w:r>
      <w:r w:rsidR="007B0169" w:rsidRPr="000063FC">
        <w:rPr>
          <w:rFonts w:cs="Arial"/>
          <w:szCs w:val="22"/>
        </w:rPr>
        <w:t>/MWh</w:t>
      </w:r>
      <w:r w:rsidR="0095340E" w:rsidRPr="000063FC">
        <w:rPr>
          <w:rFonts w:cs="Arial"/>
          <w:szCs w:val="22"/>
          <w:vertAlign w:val="subscript"/>
        </w:rPr>
        <w:t>t</w:t>
      </w:r>
      <w:r w:rsidR="007B0169" w:rsidRPr="000063FC">
        <w:rPr>
          <w:rFonts w:cs="Arial"/>
          <w:szCs w:val="22"/>
        </w:rPr>
        <w:t xml:space="preserve"> </w:t>
      </w:r>
      <w:r w:rsidRPr="000063FC">
        <w:rPr>
          <w:rFonts w:cs="Arial"/>
          <w:szCs w:val="22"/>
        </w:rPr>
        <w:t>prema emisiji</w:t>
      </w:r>
      <w:r w:rsidR="007B0169" w:rsidRPr="000063FC">
        <w:rPr>
          <w:rFonts w:cs="Arial"/>
          <w:szCs w:val="22"/>
        </w:rPr>
        <w:t xml:space="preserve"> CO</w:t>
      </w:r>
      <w:r w:rsidR="0095340E" w:rsidRPr="000063FC">
        <w:rPr>
          <w:rFonts w:cs="Arial"/>
          <w:szCs w:val="22"/>
          <w:vertAlign w:val="subscript"/>
        </w:rPr>
        <w:t>2</w:t>
      </w:r>
      <w:r w:rsidRPr="000063FC">
        <w:rPr>
          <w:rFonts w:cs="Arial"/>
          <w:szCs w:val="22"/>
        </w:rPr>
        <w:t xml:space="preserve"> iz procesa proizvodnje toplinske energije,</w:t>
      </w:r>
      <w:r w:rsidR="007B0169" w:rsidRPr="000063FC">
        <w:rPr>
          <w:rFonts w:cs="Arial"/>
          <w:szCs w:val="22"/>
        </w:rPr>
        <w:t xml:space="preserve"> </w:t>
      </w:r>
      <w:r w:rsidRPr="000063FC">
        <w:rPr>
          <w:rFonts w:cs="Arial"/>
          <w:szCs w:val="22"/>
        </w:rPr>
        <w:t>pomoću formule</w:t>
      </w:r>
      <w:r w:rsidR="007B0169" w:rsidRPr="000063FC">
        <w:rPr>
          <w:rFonts w:cs="Arial"/>
          <w:szCs w:val="22"/>
        </w:rPr>
        <w:t xml:space="preserve">: </w:t>
      </w:r>
    </w:p>
    <w:p w:rsidR="00BC341E" w:rsidRPr="000063FC" w:rsidRDefault="00BC341E">
      <w:pPr>
        <w:spacing w:line="276" w:lineRule="auto"/>
        <w:rPr>
          <w:rFonts w:cs="Arial"/>
          <w:szCs w:val="22"/>
        </w:rPr>
      </w:pPr>
    </w:p>
    <w:p w:rsidR="00BC341E" w:rsidRPr="000063FC" w:rsidRDefault="007B0169">
      <w:pPr>
        <w:spacing w:line="276" w:lineRule="auto"/>
        <w:jc w:val="center"/>
        <w:rPr>
          <w:rFonts w:cs="Arial"/>
          <w:szCs w:val="22"/>
        </w:rPr>
      </w:pPr>
      <m:oMathPara>
        <m:oMath>
          <m:r>
            <w:rPr>
              <w:rFonts w:ascii="Cambria Math" w:hAnsi="Cambria Math" w:cs="Arial"/>
              <w:szCs w:val="22"/>
            </w:rPr>
            <m:t xml:space="preserve">Emisija </m:t>
          </m:r>
          <m:sSub>
            <m:sSubPr>
              <m:ctrlPr>
                <w:rPr>
                  <w:rFonts w:ascii="Cambria Math" w:hAnsi="Cambria Math" w:cs="Arial"/>
                  <w:i/>
                  <w:szCs w:val="22"/>
                </w:rPr>
              </m:ctrlPr>
            </m:sSubPr>
            <m:e>
              <m:r>
                <w:rPr>
                  <w:rFonts w:ascii="Cambria Math" w:hAnsi="Cambria Math" w:cs="Arial"/>
                  <w:szCs w:val="22"/>
                </w:rPr>
                <m:t>CO</m:t>
              </m:r>
            </m:e>
            <m:sub>
              <m:r>
                <w:rPr>
                  <w:rFonts w:ascii="Cambria Math" w:hAnsi="Cambria Math" w:cs="Arial"/>
                  <w:szCs w:val="22"/>
                </w:rPr>
                <m:t>2, topline</m:t>
              </m:r>
            </m:sub>
          </m:sSub>
          <m:r>
            <w:rPr>
              <w:rFonts w:ascii="Cambria Math" w:hAnsi="Cambria Math" w:cs="Arial"/>
              <w:szCs w:val="22"/>
            </w:rPr>
            <m:t xml:space="preserve">=Emisija </m:t>
          </m:r>
          <m:sSub>
            <m:sSubPr>
              <m:ctrlPr>
                <w:rPr>
                  <w:rFonts w:ascii="Cambria Math" w:hAnsi="Cambria Math" w:cs="Arial"/>
                  <w:i/>
                  <w:szCs w:val="22"/>
                </w:rPr>
              </m:ctrlPr>
            </m:sSubPr>
            <m:e>
              <m:r>
                <w:rPr>
                  <w:rFonts w:ascii="Cambria Math" w:hAnsi="Cambria Math" w:cs="Arial"/>
                  <w:szCs w:val="22"/>
                </w:rPr>
                <m:t>CO</m:t>
              </m:r>
            </m:e>
            <m:sub>
              <m:r>
                <w:rPr>
                  <w:rFonts w:ascii="Cambria Math" w:hAnsi="Cambria Math" w:cs="Arial"/>
                  <w:szCs w:val="22"/>
                </w:rPr>
                <m:t>2, ukupno</m:t>
              </m:r>
            </m:sub>
          </m:sSub>
          <m:r>
            <w:rPr>
              <w:rFonts w:ascii="Cambria Math" w:hAnsi="Cambria Math" w:cs="Arial"/>
              <w:szCs w:val="22"/>
            </w:rPr>
            <m:t>∙</m:t>
          </m:r>
          <m:f>
            <m:fPr>
              <m:ctrlPr>
                <w:rPr>
                  <w:rFonts w:ascii="Cambria Math" w:hAnsi="Cambria Math" w:cs="Arial"/>
                  <w:i/>
                  <w:szCs w:val="22"/>
                </w:rPr>
              </m:ctrlPr>
            </m:fPr>
            <m:num>
              <m:sSub>
                <m:sSubPr>
                  <m:ctrlPr>
                    <w:rPr>
                      <w:rFonts w:ascii="Cambria Math" w:hAnsi="Cambria Math" w:cs="Arial"/>
                      <w:i/>
                      <w:szCs w:val="22"/>
                    </w:rPr>
                  </m:ctrlPr>
                </m:sSubPr>
                <m:e>
                  <m:r>
                    <w:rPr>
                      <w:rFonts w:ascii="Cambria Math" w:hAnsi="Cambria Math" w:cs="Arial"/>
                      <w:szCs w:val="22"/>
                    </w:rPr>
                    <m:t>Q</m:t>
                  </m:r>
                </m:e>
                <m:sub>
                  <m:r>
                    <w:rPr>
                      <w:rFonts w:ascii="Cambria Math" w:hAnsi="Cambria Math" w:cs="Arial"/>
                      <w:szCs w:val="22"/>
                    </w:rPr>
                    <m:t xml:space="preserve"> topline goriva</m:t>
                  </m:r>
                </m:sub>
              </m:sSub>
            </m:num>
            <m:den>
              <m:sSub>
                <m:sSubPr>
                  <m:ctrlPr>
                    <w:rPr>
                      <w:rFonts w:ascii="Cambria Math" w:hAnsi="Cambria Math" w:cs="Arial"/>
                      <w:i/>
                      <w:szCs w:val="22"/>
                    </w:rPr>
                  </m:ctrlPr>
                </m:sSubPr>
                <m:e>
                  <m:r>
                    <w:rPr>
                      <w:rFonts w:ascii="Cambria Math" w:hAnsi="Cambria Math" w:cs="Arial"/>
                      <w:szCs w:val="22"/>
                    </w:rPr>
                    <m:t>Q</m:t>
                  </m:r>
                </m:e>
                <m:sub>
                  <m:r>
                    <w:rPr>
                      <w:rFonts w:ascii="Cambria Math" w:hAnsi="Cambria Math" w:cs="Arial"/>
                      <w:szCs w:val="22"/>
                    </w:rPr>
                    <m:t>ukupno goriva</m:t>
                  </m:r>
                </m:sub>
              </m:sSub>
            </m:den>
          </m:f>
        </m:oMath>
      </m:oMathPara>
    </w:p>
    <w:p w:rsidR="00BC341E" w:rsidRPr="000063FC" w:rsidRDefault="00BC341E">
      <w:pPr>
        <w:spacing w:line="276" w:lineRule="auto"/>
        <w:rPr>
          <w:rFonts w:cs="Arial"/>
          <w:szCs w:val="22"/>
        </w:rPr>
      </w:pPr>
    </w:p>
    <w:p w:rsidR="00BC341E" w:rsidRPr="000063FC" w:rsidRDefault="007B0169">
      <w:pPr>
        <w:spacing w:line="276" w:lineRule="auto"/>
        <w:rPr>
          <w:rFonts w:cs="Arial"/>
          <w:szCs w:val="22"/>
        </w:rPr>
      </w:pPr>
      <w:r w:rsidRPr="000063FC">
        <w:rPr>
          <w:rFonts w:cs="Arial"/>
          <w:szCs w:val="22"/>
        </w:rPr>
        <w:t xml:space="preserve">Toplina goriva </w:t>
      </w:r>
      <w:r w:rsidR="007A1991" w:rsidRPr="000063FC">
        <w:rPr>
          <w:rFonts w:cs="Arial"/>
          <w:szCs w:val="22"/>
        </w:rPr>
        <w:t xml:space="preserve">je određena </w:t>
      </w:r>
      <w:r w:rsidRPr="000063FC">
        <w:rPr>
          <w:rFonts w:cs="Arial"/>
          <w:szCs w:val="22"/>
        </w:rPr>
        <w:t xml:space="preserve">za stupanj </w:t>
      </w:r>
      <w:r w:rsidR="007A1991" w:rsidRPr="000063FC">
        <w:rPr>
          <w:rFonts w:cs="Arial"/>
          <w:szCs w:val="22"/>
        </w:rPr>
        <w:t xml:space="preserve">korisnog </w:t>
      </w:r>
      <w:r w:rsidRPr="000063FC">
        <w:rPr>
          <w:rFonts w:cs="Arial"/>
          <w:szCs w:val="22"/>
        </w:rPr>
        <w:t>djelovanja od 90% prema formuli:</w:t>
      </w:r>
    </w:p>
    <w:p w:rsidR="00BC341E" w:rsidRPr="000063FC" w:rsidRDefault="00BC341E">
      <w:pPr>
        <w:spacing w:line="276" w:lineRule="auto"/>
        <w:rPr>
          <w:rFonts w:cs="Arial"/>
          <w:szCs w:val="22"/>
        </w:rPr>
      </w:pPr>
    </w:p>
    <w:p w:rsidR="00BC341E" w:rsidRPr="000063FC" w:rsidRDefault="00263443">
      <w:pPr>
        <w:spacing w:line="276" w:lineRule="auto"/>
        <w:rPr>
          <w:rFonts w:cs="Arial"/>
          <w:szCs w:val="22"/>
        </w:rPr>
      </w:pPr>
      <m:oMathPara>
        <m:oMath>
          <m:sSub>
            <m:sSubPr>
              <m:ctrlPr>
                <w:rPr>
                  <w:rFonts w:ascii="Cambria Math" w:hAnsi="Cambria Math" w:cs="Arial"/>
                  <w:i/>
                  <w:szCs w:val="22"/>
                </w:rPr>
              </m:ctrlPr>
            </m:sSubPr>
            <m:e>
              <m:r>
                <w:rPr>
                  <w:rFonts w:ascii="Cambria Math" w:hAnsi="Cambria Math" w:cs="Arial"/>
                  <w:szCs w:val="22"/>
                </w:rPr>
                <m:t>Q</m:t>
              </m:r>
            </m:e>
            <m:sub>
              <m:r>
                <w:rPr>
                  <w:rFonts w:ascii="Cambria Math" w:hAnsi="Cambria Math" w:cs="Arial"/>
                  <w:szCs w:val="22"/>
                </w:rPr>
                <m:t xml:space="preserve"> topline goriva</m:t>
              </m:r>
            </m:sub>
          </m:sSub>
          <m:r>
            <w:rPr>
              <w:rFonts w:ascii="Cambria Math" w:hAnsi="Cambria Math" w:cs="Arial"/>
              <w:szCs w:val="22"/>
            </w:rPr>
            <m:t>=</m:t>
          </m:r>
          <m:f>
            <m:fPr>
              <m:ctrlPr>
                <w:rPr>
                  <w:rFonts w:ascii="Cambria Math" w:hAnsi="Cambria Math" w:cs="Arial"/>
                  <w:i/>
                  <w:szCs w:val="22"/>
                </w:rPr>
              </m:ctrlPr>
            </m:fPr>
            <m:num>
              <m:sSub>
                <m:sSubPr>
                  <m:ctrlPr>
                    <w:rPr>
                      <w:rFonts w:ascii="Cambria Math" w:hAnsi="Cambria Math" w:cs="Arial"/>
                      <w:i/>
                      <w:szCs w:val="22"/>
                    </w:rPr>
                  </m:ctrlPr>
                </m:sSubPr>
                <m:e>
                  <m:r>
                    <w:rPr>
                      <w:rFonts w:ascii="Cambria Math" w:hAnsi="Cambria Math" w:cs="Arial"/>
                      <w:szCs w:val="22"/>
                    </w:rPr>
                    <m:t>Q</m:t>
                  </m:r>
                </m:e>
                <m:sub>
                  <m:r>
                    <w:rPr>
                      <w:rFonts w:ascii="Cambria Math" w:hAnsi="Cambria Math" w:cs="Arial"/>
                      <w:szCs w:val="22"/>
                    </w:rPr>
                    <m:t>proizvedene topline</m:t>
                  </m:r>
                </m:sub>
              </m:sSub>
            </m:num>
            <m:den>
              <m:r>
                <w:rPr>
                  <w:rFonts w:ascii="Cambria Math" w:hAnsi="Cambria Math" w:cs="Arial"/>
                  <w:szCs w:val="22"/>
                </w:rPr>
                <m:t>0,9</m:t>
              </m:r>
            </m:den>
          </m:f>
        </m:oMath>
      </m:oMathPara>
    </w:p>
    <w:p w:rsidR="00BC341E" w:rsidRPr="000063FC" w:rsidRDefault="00BC341E">
      <w:pPr>
        <w:spacing w:line="276" w:lineRule="auto"/>
        <w:jc w:val="center"/>
        <w:rPr>
          <w:rFonts w:cs="Arial"/>
          <w:szCs w:val="22"/>
        </w:rPr>
      </w:pPr>
    </w:p>
    <w:p w:rsidR="00BC341E" w:rsidRPr="000063FC" w:rsidRDefault="007A1991">
      <w:pPr>
        <w:spacing w:line="276" w:lineRule="auto"/>
        <w:rPr>
          <w:rFonts w:cs="Arial"/>
          <w:szCs w:val="22"/>
        </w:rPr>
      </w:pPr>
      <w:r w:rsidRPr="000063FC">
        <w:rPr>
          <w:rFonts w:cs="Arial"/>
          <w:szCs w:val="22"/>
        </w:rPr>
        <w:t>Zatim je za svaku termoelektranu posebno, iz prethodno izračunate emisije CO</w:t>
      </w:r>
      <w:r w:rsidRPr="000063FC">
        <w:rPr>
          <w:rFonts w:cs="Arial"/>
          <w:szCs w:val="22"/>
          <w:vertAlign w:val="subscript"/>
        </w:rPr>
        <w:t>2</w:t>
      </w:r>
      <w:r w:rsidRPr="000063FC">
        <w:rPr>
          <w:rFonts w:cs="Arial"/>
          <w:szCs w:val="22"/>
        </w:rPr>
        <w:t xml:space="preserve"> određen e</w:t>
      </w:r>
      <w:r w:rsidR="007B0169" w:rsidRPr="000063FC">
        <w:rPr>
          <w:rFonts w:cs="Arial"/>
          <w:szCs w:val="22"/>
        </w:rPr>
        <w:t>misijski faktor</w:t>
      </w:r>
      <w:r w:rsidRPr="000063FC">
        <w:rPr>
          <w:rFonts w:cs="Arial"/>
          <w:szCs w:val="22"/>
        </w:rPr>
        <w:t xml:space="preserve"> pomoću formule:</w:t>
      </w:r>
    </w:p>
    <w:p w:rsidR="00BC341E" w:rsidRPr="000063FC" w:rsidRDefault="00BC341E">
      <w:pPr>
        <w:spacing w:line="276" w:lineRule="auto"/>
        <w:rPr>
          <w:rFonts w:cs="Arial"/>
          <w:szCs w:val="22"/>
        </w:rPr>
      </w:pPr>
    </w:p>
    <w:p w:rsidR="00BC341E" w:rsidRPr="000063FC" w:rsidRDefault="00263443">
      <w:pPr>
        <w:spacing w:line="276" w:lineRule="auto"/>
        <w:rPr>
          <w:rFonts w:cs="Arial"/>
          <w:szCs w:val="22"/>
        </w:rPr>
      </w:pPr>
      <m:oMathPara>
        <m:oMath>
          <m:sSub>
            <m:sSubPr>
              <m:ctrlPr>
                <w:rPr>
                  <w:rFonts w:ascii="Cambria Math" w:hAnsi="Cambria Math" w:cs="Arial"/>
                  <w:i/>
                  <w:szCs w:val="22"/>
                </w:rPr>
              </m:ctrlPr>
            </m:sSubPr>
            <m:e>
              <m:r>
                <w:rPr>
                  <w:rFonts w:ascii="Cambria Math" w:hAnsi="Cambria Math" w:cs="Arial"/>
                  <w:szCs w:val="22"/>
                </w:rPr>
                <m:t>EF</m:t>
              </m:r>
            </m:e>
            <m:sub>
              <m:r>
                <w:rPr>
                  <w:rFonts w:ascii="Cambria Math" w:hAnsi="Cambria Math" w:cs="Arial"/>
                  <w:szCs w:val="22"/>
                </w:rPr>
                <m:t>tp, termoelektrane</m:t>
              </m:r>
            </m:sub>
          </m:sSub>
          <m:r>
            <w:rPr>
              <w:rFonts w:ascii="Cambria Math" w:hAnsi="Cambria Math" w:cs="Arial"/>
              <w:szCs w:val="22"/>
            </w:rPr>
            <m:t xml:space="preserve">= </m:t>
          </m:r>
          <m:f>
            <m:fPr>
              <m:ctrlPr>
                <w:rPr>
                  <w:rFonts w:ascii="Cambria Math" w:hAnsi="Cambria Math" w:cs="Arial"/>
                  <w:i/>
                  <w:szCs w:val="22"/>
                </w:rPr>
              </m:ctrlPr>
            </m:fPr>
            <m:num>
              <m:r>
                <w:rPr>
                  <w:rFonts w:ascii="Cambria Math" w:hAnsi="Cambria Math" w:cs="Arial"/>
                  <w:szCs w:val="22"/>
                </w:rPr>
                <m:t xml:space="preserve">Emisija </m:t>
              </m:r>
              <m:sSub>
                <m:sSubPr>
                  <m:ctrlPr>
                    <w:rPr>
                      <w:rFonts w:ascii="Cambria Math" w:hAnsi="Cambria Math" w:cs="Arial"/>
                      <w:i/>
                      <w:szCs w:val="22"/>
                    </w:rPr>
                  </m:ctrlPr>
                </m:sSubPr>
                <m:e>
                  <m:r>
                    <w:rPr>
                      <w:rFonts w:ascii="Cambria Math" w:hAnsi="Cambria Math" w:cs="Arial"/>
                      <w:szCs w:val="22"/>
                    </w:rPr>
                    <m:t>CO</m:t>
                  </m:r>
                </m:e>
                <m:sub>
                  <m:r>
                    <w:rPr>
                      <w:rFonts w:ascii="Cambria Math" w:hAnsi="Cambria Math" w:cs="Arial"/>
                      <w:szCs w:val="22"/>
                    </w:rPr>
                    <m:t>2,topline</m:t>
                  </m:r>
                </m:sub>
              </m:sSub>
            </m:num>
            <m:den>
              <m:sSub>
                <m:sSubPr>
                  <m:ctrlPr>
                    <w:rPr>
                      <w:rFonts w:ascii="Cambria Math" w:hAnsi="Cambria Math" w:cs="Arial"/>
                      <w:i/>
                      <w:szCs w:val="22"/>
                    </w:rPr>
                  </m:ctrlPr>
                </m:sSubPr>
                <m:e>
                  <m:r>
                    <w:rPr>
                      <w:rFonts w:ascii="Cambria Math" w:hAnsi="Cambria Math" w:cs="Arial"/>
                      <w:szCs w:val="22"/>
                    </w:rPr>
                    <m:t>Q</m:t>
                  </m:r>
                </m:e>
                <m:sub>
                  <m:r>
                    <w:rPr>
                      <w:rFonts w:ascii="Cambria Math" w:hAnsi="Cambria Math" w:cs="Arial"/>
                      <w:szCs w:val="22"/>
                    </w:rPr>
                    <m:t>proizvedene topline</m:t>
                  </m:r>
                </m:sub>
              </m:sSub>
            </m:den>
          </m:f>
        </m:oMath>
      </m:oMathPara>
    </w:p>
    <w:p w:rsidR="00BC341E" w:rsidRPr="000063FC" w:rsidRDefault="00BC341E">
      <w:pPr>
        <w:spacing w:line="276" w:lineRule="auto"/>
        <w:rPr>
          <w:rFonts w:cs="Arial"/>
          <w:szCs w:val="22"/>
        </w:rPr>
      </w:pPr>
    </w:p>
    <w:p w:rsidR="00BC341E" w:rsidRPr="000063FC" w:rsidRDefault="007B0169">
      <w:pPr>
        <w:spacing w:line="276" w:lineRule="auto"/>
        <w:rPr>
          <w:rFonts w:cs="Arial"/>
          <w:szCs w:val="22"/>
        </w:rPr>
      </w:pPr>
      <w:r w:rsidRPr="000063FC">
        <w:rPr>
          <w:rFonts w:cs="Arial"/>
          <w:szCs w:val="22"/>
        </w:rPr>
        <w:t>Uz pretpostavku da ob</w:t>
      </w:r>
      <w:r w:rsidR="007A1991" w:rsidRPr="000063FC">
        <w:rPr>
          <w:rFonts w:cs="Arial"/>
          <w:szCs w:val="22"/>
        </w:rPr>
        <w:t>je termoelektrane pokrivaju jednak</w:t>
      </w:r>
      <w:r w:rsidRPr="000063FC">
        <w:rPr>
          <w:rFonts w:cs="Arial"/>
          <w:szCs w:val="22"/>
        </w:rPr>
        <w:t xml:space="preserve"> udio toplinskog konzuma </w:t>
      </w:r>
      <w:r w:rsidR="007A1991" w:rsidRPr="000063FC">
        <w:rPr>
          <w:rFonts w:cs="Arial"/>
          <w:szCs w:val="22"/>
        </w:rPr>
        <w:t xml:space="preserve">određen </w:t>
      </w:r>
      <w:r w:rsidRPr="000063FC">
        <w:rPr>
          <w:rFonts w:cs="Arial"/>
          <w:szCs w:val="22"/>
        </w:rPr>
        <w:t xml:space="preserve">je srednji emisijski  faktor </w:t>
      </w:r>
      <m:oMath>
        <m:sSub>
          <m:sSubPr>
            <m:ctrlPr>
              <w:rPr>
                <w:rFonts w:ascii="Cambria Math" w:hAnsi="Cambria Math" w:cs="Arial"/>
                <w:i/>
                <w:szCs w:val="22"/>
              </w:rPr>
            </m:ctrlPr>
          </m:sSubPr>
          <m:e>
            <m:r>
              <w:rPr>
                <w:rFonts w:ascii="Cambria Math" w:hAnsi="Cambria Math" w:cs="Arial"/>
                <w:szCs w:val="22"/>
              </w:rPr>
              <m:t>EF</m:t>
            </m:r>
          </m:e>
          <m:sub>
            <m:r>
              <w:rPr>
                <w:rFonts w:ascii="Cambria Math" w:hAnsi="Cambria Math" w:cs="Arial"/>
                <w:szCs w:val="22"/>
              </w:rPr>
              <m:t>ts</m:t>
            </m:r>
          </m:sub>
        </m:sSub>
      </m:oMath>
      <w:r w:rsidRPr="000063FC">
        <w:rPr>
          <w:rFonts w:cs="Arial"/>
          <w:szCs w:val="22"/>
        </w:rPr>
        <w:t>.</w:t>
      </w:r>
    </w:p>
    <w:p w:rsidR="00BC341E" w:rsidRPr="000063FC" w:rsidRDefault="00BC341E">
      <w:pPr>
        <w:spacing w:line="276" w:lineRule="auto"/>
        <w:rPr>
          <w:rFonts w:cs="Arial"/>
          <w:szCs w:val="22"/>
        </w:rPr>
      </w:pPr>
    </w:p>
    <w:p w:rsidR="00BC341E" w:rsidRPr="000063FC" w:rsidRDefault="007B0169">
      <w:pPr>
        <w:spacing w:after="240" w:line="276" w:lineRule="auto"/>
        <w:rPr>
          <w:rFonts w:cs="Arial"/>
          <w:szCs w:val="22"/>
        </w:rPr>
      </w:pPr>
      <w:r w:rsidRPr="000063FC">
        <w:rPr>
          <w:rFonts w:cs="Arial"/>
          <w:szCs w:val="22"/>
        </w:rPr>
        <w:t xml:space="preserve">Podaci o potrošnjama </w:t>
      </w:r>
      <w:r w:rsidR="007A1991" w:rsidRPr="000063FC">
        <w:rPr>
          <w:rFonts w:cs="Arial"/>
          <w:szCs w:val="22"/>
        </w:rPr>
        <w:t>goriva, te proizvodnji toplinske energije u javnim</w:t>
      </w:r>
      <w:r w:rsidRPr="000063FC">
        <w:rPr>
          <w:rFonts w:cs="Arial"/>
          <w:szCs w:val="22"/>
        </w:rPr>
        <w:t xml:space="preserve"> kotlovnica</w:t>
      </w:r>
      <w:r w:rsidR="007A1991" w:rsidRPr="000063FC">
        <w:rPr>
          <w:rFonts w:cs="Arial"/>
          <w:szCs w:val="22"/>
        </w:rPr>
        <w:t>ma</w:t>
      </w:r>
      <w:r w:rsidRPr="000063FC">
        <w:rPr>
          <w:rFonts w:cs="Arial"/>
          <w:szCs w:val="22"/>
        </w:rPr>
        <w:t xml:space="preserve"> Grada Zagreba nisu bili dostupni </w:t>
      </w:r>
      <w:r w:rsidR="007A1991" w:rsidRPr="000063FC">
        <w:rPr>
          <w:rFonts w:cs="Arial"/>
          <w:szCs w:val="22"/>
        </w:rPr>
        <w:t xml:space="preserve">prilikom izrade ovih Podloga </w:t>
      </w:r>
      <w:r w:rsidRPr="000063FC">
        <w:rPr>
          <w:rFonts w:cs="Arial"/>
          <w:szCs w:val="22"/>
        </w:rPr>
        <w:t xml:space="preserve">te je emisijski faktor </w:t>
      </w:r>
      <w:r w:rsidR="00C60E02" w:rsidRPr="000063FC">
        <w:rPr>
          <w:rFonts w:cs="Arial"/>
          <w:szCs w:val="22"/>
        </w:rPr>
        <w:t xml:space="preserve">određen </w:t>
      </w:r>
      <w:r w:rsidRPr="000063FC">
        <w:rPr>
          <w:rFonts w:cs="Arial"/>
          <w:szCs w:val="22"/>
        </w:rPr>
        <w:t xml:space="preserve">iz podataka na </w:t>
      </w:r>
      <w:r w:rsidR="00C60E02" w:rsidRPr="000063FC">
        <w:rPr>
          <w:rFonts w:cs="Arial"/>
          <w:szCs w:val="22"/>
        </w:rPr>
        <w:t xml:space="preserve">nacionalnoj </w:t>
      </w:r>
      <w:r w:rsidRPr="000063FC">
        <w:rPr>
          <w:rFonts w:cs="Arial"/>
          <w:szCs w:val="22"/>
        </w:rPr>
        <w:t xml:space="preserve">razini za niz od </w:t>
      </w:r>
      <w:r w:rsidR="00C60E02" w:rsidRPr="000063FC">
        <w:rPr>
          <w:rFonts w:cs="Arial"/>
          <w:szCs w:val="22"/>
        </w:rPr>
        <w:t xml:space="preserve">2004.-2006. godine, iz </w:t>
      </w:r>
      <w:r w:rsidRPr="000063FC">
        <w:rPr>
          <w:rFonts w:cs="Arial"/>
          <w:szCs w:val="22"/>
        </w:rPr>
        <w:t>emisije CO</w:t>
      </w:r>
      <w:r w:rsidR="0095340E" w:rsidRPr="000063FC">
        <w:rPr>
          <w:rFonts w:cs="Arial"/>
          <w:szCs w:val="22"/>
          <w:vertAlign w:val="subscript"/>
        </w:rPr>
        <w:t>2</w:t>
      </w:r>
      <w:r w:rsidR="00C60E02" w:rsidRPr="000063FC">
        <w:rPr>
          <w:rFonts w:cs="Arial"/>
          <w:szCs w:val="22"/>
        </w:rPr>
        <w:t xml:space="preserve"> j</w:t>
      </w:r>
      <w:r w:rsidRPr="000063FC">
        <w:rPr>
          <w:rFonts w:cs="Arial"/>
          <w:szCs w:val="22"/>
        </w:rPr>
        <w:t>avnih kotlovnica</w:t>
      </w:r>
      <w:r w:rsidR="0095340E" w:rsidRPr="000063FC">
        <w:rPr>
          <w:rStyle w:val="FootnoteReference"/>
          <w:szCs w:val="22"/>
        </w:rPr>
        <w:footnoteReference w:id="4"/>
      </w:r>
      <w:r w:rsidRPr="000063FC">
        <w:rPr>
          <w:rFonts w:cs="Arial"/>
          <w:szCs w:val="22"/>
        </w:rPr>
        <w:t xml:space="preserve"> i proizvodnje topline</w:t>
      </w:r>
      <w:r w:rsidR="0095340E" w:rsidRPr="000063FC">
        <w:rPr>
          <w:rStyle w:val="FootnoteReference"/>
          <w:szCs w:val="22"/>
        </w:rPr>
        <w:footnoteReference w:id="5"/>
      </w:r>
      <w:r w:rsidRPr="000063FC">
        <w:rPr>
          <w:rFonts w:cs="Arial"/>
          <w:szCs w:val="22"/>
        </w:rPr>
        <w:t xml:space="preserve"> pomoću formule:</w:t>
      </w:r>
    </w:p>
    <w:p w:rsidR="00BC341E" w:rsidRPr="000063FC" w:rsidRDefault="00263443">
      <w:pPr>
        <w:spacing w:line="276" w:lineRule="auto"/>
        <w:rPr>
          <w:rFonts w:cs="Arial"/>
          <w:szCs w:val="22"/>
        </w:rPr>
      </w:pPr>
      <m:oMathPara>
        <m:oMath>
          <m:sSub>
            <m:sSubPr>
              <m:ctrlPr>
                <w:rPr>
                  <w:rFonts w:ascii="Cambria Math" w:hAnsi="Cambria Math" w:cs="Arial"/>
                  <w:i/>
                  <w:szCs w:val="22"/>
                </w:rPr>
              </m:ctrlPr>
            </m:sSubPr>
            <m:e>
              <m:r>
                <w:rPr>
                  <w:rFonts w:ascii="Cambria Math" w:hAnsi="Cambria Math" w:cs="Arial"/>
                  <w:szCs w:val="22"/>
                </w:rPr>
                <m:t>EF</m:t>
              </m:r>
            </m:e>
            <m:sub>
              <m:r>
                <w:rPr>
                  <w:rFonts w:ascii="Cambria Math" w:hAnsi="Cambria Math" w:cs="Arial"/>
                  <w:szCs w:val="22"/>
                </w:rPr>
                <m:t>tp, javne toplane</m:t>
              </m:r>
            </m:sub>
          </m:sSub>
          <m:r>
            <w:rPr>
              <w:rFonts w:ascii="Cambria Math" w:hAnsi="Cambria Math" w:cs="Arial"/>
              <w:szCs w:val="22"/>
            </w:rPr>
            <m:t xml:space="preserve">= </m:t>
          </m:r>
          <m:f>
            <m:fPr>
              <m:ctrlPr>
                <w:rPr>
                  <w:rFonts w:ascii="Cambria Math" w:hAnsi="Cambria Math" w:cs="Arial"/>
                  <w:i/>
                  <w:szCs w:val="22"/>
                </w:rPr>
              </m:ctrlPr>
            </m:fPr>
            <m:num>
              <m:r>
                <w:rPr>
                  <w:rFonts w:ascii="Cambria Math" w:hAnsi="Cambria Math" w:cs="Arial"/>
                  <w:szCs w:val="22"/>
                </w:rPr>
                <m:t xml:space="preserve">Emisija </m:t>
              </m:r>
              <m:sSub>
                <m:sSubPr>
                  <m:ctrlPr>
                    <w:rPr>
                      <w:rFonts w:ascii="Cambria Math" w:hAnsi="Cambria Math" w:cs="Arial"/>
                      <w:i/>
                      <w:szCs w:val="22"/>
                    </w:rPr>
                  </m:ctrlPr>
                </m:sSubPr>
                <m:e>
                  <m:r>
                    <w:rPr>
                      <w:rFonts w:ascii="Cambria Math" w:hAnsi="Cambria Math" w:cs="Arial"/>
                      <w:szCs w:val="22"/>
                    </w:rPr>
                    <m:t>CO</m:t>
                  </m:r>
                </m:e>
                <m:sub>
                  <m:r>
                    <w:rPr>
                      <w:rFonts w:ascii="Cambria Math" w:hAnsi="Cambria Math" w:cs="Arial"/>
                      <w:szCs w:val="22"/>
                    </w:rPr>
                    <m:t>2,javne topline</m:t>
                  </m:r>
                </m:sub>
              </m:sSub>
            </m:num>
            <m:den>
              <m:sSub>
                <m:sSubPr>
                  <m:ctrlPr>
                    <w:rPr>
                      <w:rFonts w:ascii="Cambria Math" w:hAnsi="Cambria Math" w:cs="Arial"/>
                      <w:i/>
                      <w:szCs w:val="22"/>
                    </w:rPr>
                  </m:ctrlPr>
                </m:sSubPr>
                <m:e>
                  <m:r>
                    <w:rPr>
                      <w:rFonts w:ascii="Cambria Math" w:hAnsi="Cambria Math" w:cs="Arial"/>
                      <w:szCs w:val="22"/>
                    </w:rPr>
                    <m:t>Q</m:t>
                  </m:r>
                </m:e>
                <m:sub>
                  <m:r>
                    <w:rPr>
                      <w:rFonts w:ascii="Cambria Math" w:hAnsi="Cambria Math" w:cs="Arial"/>
                      <w:szCs w:val="22"/>
                    </w:rPr>
                    <m:t>proizvedene topline javnih toplana</m:t>
                  </m:r>
                </m:sub>
              </m:sSub>
            </m:den>
          </m:f>
        </m:oMath>
      </m:oMathPara>
    </w:p>
    <w:p w:rsidR="00BC341E" w:rsidRPr="000063FC" w:rsidRDefault="00BC341E">
      <w:pPr>
        <w:spacing w:line="276" w:lineRule="auto"/>
        <w:rPr>
          <w:rFonts w:cs="Arial"/>
          <w:szCs w:val="22"/>
        </w:rPr>
      </w:pPr>
    </w:p>
    <w:p w:rsidR="00BC341E" w:rsidRPr="000063FC" w:rsidRDefault="007B0169">
      <w:pPr>
        <w:spacing w:line="276" w:lineRule="auto"/>
        <w:rPr>
          <w:rFonts w:cs="Arial"/>
          <w:szCs w:val="22"/>
        </w:rPr>
      </w:pPr>
      <w:r w:rsidRPr="000063FC">
        <w:rPr>
          <w:rFonts w:cs="Arial"/>
          <w:szCs w:val="22"/>
        </w:rPr>
        <w:t>Kako je navedeno r</w:t>
      </w:r>
      <w:r w:rsidR="00C60E02" w:rsidRPr="000063FC">
        <w:rPr>
          <w:rFonts w:cs="Arial"/>
          <w:szCs w:val="22"/>
        </w:rPr>
        <w:t>anije, procijenjeno je da udio j</w:t>
      </w:r>
      <w:r w:rsidRPr="000063FC">
        <w:rPr>
          <w:rFonts w:cs="Arial"/>
          <w:szCs w:val="22"/>
        </w:rPr>
        <w:t xml:space="preserve">avnih kotlovnica u ukupnoj opskrbi Grada toplinom iznosi 10%. Iz tog razloga srednji emisijski faktor </w:t>
      </w:r>
      <m:oMath>
        <m:sSub>
          <m:sSubPr>
            <m:ctrlPr>
              <w:rPr>
                <w:rFonts w:ascii="Cambria Math" w:hAnsi="Cambria Math" w:cs="Arial"/>
                <w:i/>
                <w:szCs w:val="22"/>
              </w:rPr>
            </m:ctrlPr>
          </m:sSubPr>
          <m:e>
            <m:r>
              <w:rPr>
                <w:rFonts w:ascii="Cambria Math" w:hAnsi="Cambria Math" w:cs="Arial"/>
                <w:szCs w:val="22"/>
              </w:rPr>
              <m:t>EF</m:t>
            </m:r>
          </m:e>
          <m:sub>
            <m:r>
              <w:rPr>
                <w:rFonts w:ascii="Cambria Math" w:hAnsi="Cambria Math" w:cs="Arial"/>
                <w:szCs w:val="22"/>
              </w:rPr>
              <m:t>ts</m:t>
            </m:r>
          </m:sub>
        </m:sSub>
        <m:r>
          <w:rPr>
            <w:rFonts w:ascii="Cambria Math" w:hAnsi="Cambria Math" w:cs="Arial"/>
            <w:szCs w:val="22"/>
          </w:rPr>
          <m:t xml:space="preserve"> </m:t>
        </m:r>
      </m:oMath>
      <w:r w:rsidRPr="000063FC">
        <w:rPr>
          <w:rFonts w:cs="Arial"/>
          <w:szCs w:val="22"/>
        </w:rPr>
        <w:t xml:space="preserve">je korigiran te je određen konačni emisijski faktor </w:t>
      </w:r>
      <m:oMath>
        <m:sSub>
          <m:sSubPr>
            <m:ctrlPr>
              <w:rPr>
                <w:rFonts w:ascii="Cambria Math" w:hAnsi="Cambria Math" w:cs="Arial"/>
                <w:i/>
                <w:szCs w:val="22"/>
              </w:rPr>
            </m:ctrlPr>
          </m:sSubPr>
          <m:e>
            <m:r>
              <w:rPr>
                <w:rFonts w:ascii="Cambria Math" w:hAnsi="Cambria Math" w:cs="Arial"/>
                <w:szCs w:val="22"/>
              </w:rPr>
              <m:t>EF</m:t>
            </m:r>
          </m:e>
          <m:sub>
            <m:r>
              <w:rPr>
                <w:rFonts w:ascii="Cambria Math" w:hAnsi="Cambria Math" w:cs="Arial"/>
                <w:szCs w:val="22"/>
              </w:rPr>
              <m:t>t</m:t>
            </m:r>
          </m:sub>
        </m:sSub>
      </m:oMath>
      <w:r w:rsidRPr="000063FC">
        <w:rPr>
          <w:rFonts w:cs="Arial"/>
          <w:szCs w:val="22"/>
        </w:rPr>
        <w:t xml:space="preserve">. </w:t>
      </w:r>
    </w:p>
    <w:p w:rsidR="00BC341E" w:rsidRPr="000063FC" w:rsidRDefault="00BC341E">
      <w:pPr>
        <w:spacing w:line="276" w:lineRule="auto"/>
        <w:rPr>
          <w:rFonts w:cs="Arial"/>
          <w:szCs w:val="22"/>
        </w:rPr>
      </w:pPr>
    </w:p>
    <w:p w:rsidR="00BC341E" w:rsidRPr="000063FC" w:rsidRDefault="007B0169">
      <w:pPr>
        <w:spacing w:line="276" w:lineRule="auto"/>
        <w:rPr>
          <w:rFonts w:cs="Arial"/>
          <w:szCs w:val="22"/>
        </w:rPr>
      </w:pPr>
      <w:r w:rsidRPr="000063FC">
        <w:rPr>
          <w:rFonts w:cs="Arial"/>
          <w:szCs w:val="22"/>
        </w:rPr>
        <w:t xml:space="preserve">U tablici </w:t>
      </w:r>
      <w:r w:rsidR="008E1FA8" w:rsidRPr="000063FC">
        <w:rPr>
          <w:rFonts w:cs="Arial"/>
          <w:szCs w:val="22"/>
        </w:rPr>
        <w:t>2</w:t>
      </w:r>
      <w:r w:rsidRPr="000063FC">
        <w:rPr>
          <w:rFonts w:cs="Arial"/>
          <w:szCs w:val="22"/>
        </w:rPr>
        <w:t>.2 prikazani su pojedinačni emisijski faktori (</w:t>
      </w:r>
      <m:oMath>
        <m:sSub>
          <m:sSubPr>
            <m:ctrlPr>
              <w:rPr>
                <w:rFonts w:ascii="Cambria Math" w:hAnsi="Cambria Math" w:cs="Arial"/>
                <w:i/>
                <w:szCs w:val="22"/>
              </w:rPr>
            </m:ctrlPr>
          </m:sSubPr>
          <m:e>
            <m:r>
              <w:rPr>
                <w:rFonts w:ascii="Cambria Math" w:hAnsi="Cambria Math" w:cs="Arial"/>
                <w:szCs w:val="22"/>
              </w:rPr>
              <m:t>EF</m:t>
            </m:r>
          </m:e>
          <m:sub>
            <m:r>
              <w:rPr>
                <w:rFonts w:ascii="Cambria Math" w:hAnsi="Cambria Math" w:cs="Arial"/>
                <w:szCs w:val="22"/>
              </w:rPr>
              <m:t>tp</m:t>
            </m:r>
          </m:sub>
        </m:sSub>
        <m:r>
          <w:rPr>
            <w:rFonts w:ascii="Cambria Math" w:hAnsi="Cambria Math" w:cs="Arial"/>
            <w:szCs w:val="22"/>
          </w:rPr>
          <m:t xml:space="preserve">) </m:t>
        </m:r>
      </m:oMath>
      <w:r w:rsidRPr="000063FC">
        <w:rPr>
          <w:rFonts w:cs="Arial"/>
          <w:szCs w:val="22"/>
        </w:rPr>
        <w:t>proračunati na opisan način, srednji emisijski faktor termoelektrana (</w:t>
      </w:r>
      <m:oMath>
        <m:sSub>
          <m:sSubPr>
            <m:ctrlPr>
              <w:rPr>
                <w:rFonts w:ascii="Cambria Math" w:hAnsi="Cambria Math" w:cs="Arial"/>
                <w:i/>
                <w:szCs w:val="22"/>
              </w:rPr>
            </m:ctrlPr>
          </m:sSubPr>
          <m:e>
            <m:r>
              <w:rPr>
                <w:rFonts w:ascii="Cambria Math" w:hAnsi="Cambria Math" w:cs="Arial"/>
                <w:szCs w:val="22"/>
              </w:rPr>
              <m:t>EF</m:t>
            </m:r>
          </m:e>
          <m:sub>
            <m:r>
              <w:rPr>
                <w:rFonts w:ascii="Cambria Math" w:hAnsi="Cambria Math" w:cs="Arial"/>
                <w:szCs w:val="22"/>
              </w:rPr>
              <m:t>ts</m:t>
            </m:r>
          </m:sub>
        </m:sSub>
        <m:r>
          <w:rPr>
            <w:rFonts w:ascii="Cambria Math" w:hAnsi="Cambria Math" w:cs="Arial"/>
            <w:szCs w:val="22"/>
          </w:rPr>
          <m:t xml:space="preserve">) </m:t>
        </m:r>
      </m:oMath>
      <w:r w:rsidRPr="000063FC">
        <w:rPr>
          <w:rFonts w:cs="Arial"/>
          <w:szCs w:val="22"/>
        </w:rPr>
        <w:t>te konačni emisijski faktor (</w:t>
      </w:r>
      <m:oMath>
        <m:sSub>
          <m:sSubPr>
            <m:ctrlPr>
              <w:rPr>
                <w:rFonts w:ascii="Cambria Math" w:hAnsi="Cambria Math" w:cs="Arial"/>
                <w:i/>
                <w:szCs w:val="22"/>
              </w:rPr>
            </m:ctrlPr>
          </m:sSubPr>
          <m:e>
            <m:r>
              <w:rPr>
                <w:rFonts w:ascii="Cambria Math" w:hAnsi="Cambria Math" w:cs="Arial"/>
                <w:szCs w:val="22"/>
              </w:rPr>
              <m:t>EF</m:t>
            </m:r>
          </m:e>
          <m:sub>
            <m:r>
              <w:rPr>
                <w:rFonts w:ascii="Cambria Math" w:hAnsi="Cambria Math" w:cs="Arial"/>
                <w:szCs w:val="22"/>
              </w:rPr>
              <m:t>t</m:t>
            </m:r>
          </m:sub>
        </m:sSub>
        <m:r>
          <w:rPr>
            <w:rFonts w:ascii="Cambria Math" w:hAnsi="Cambria Math" w:cs="Arial"/>
            <w:szCs w:val="22"/>
          </w:rPr>
          <m:t xml:space="preserve">) </m:t>
        </m:r>
      </m:oMath>
      <w:r w:rsidR="00C60E02" w:rsidRPr="000063FC">
        <w:rPr>
          <w:rFonts w:cs="Arial"/>
          <w:szCs w:val="22"/>
        </w:rPr>
        <w:t>kao ulazni podatak za</w:t>
      </w:r>
      <w:r w:rsidRPr="000063FC">
        <w:rPr>
          <w:rFonts w:cs="Arial"/>
          <w:szCs w:val="22"/>
        </w:rPr>
        <w:t xml:space="preserve">  proračun emisije CO</w:t>
      </w:r>
      <w:r w:rsidR="0095340E" w:rsidRPr="000063FC">
        <w:rPr>
          <w:rFonts w:cs="Arial"/>
          <w:szCs w:val="22"/>
          <w:vertAlign w:val="subscript"/>
        </w:rPr>
        <w:t>2</w:t>
      </w:r>
      <w:r w:rsidR="00C60E02" w:rsidRPr="000063FC">
        <w:rPr>
          <w:rFonts w:cs="Arial"/>
          <w:szCs w:val="22"/>
        </w:rPr>
        <w:t xml:space="preserve"> sektora zgradarstva Grada Zagreba</w:t>
      </w:r>
      <w:r w:rsidRPr="000063FC">
        <w:rPr>
          <w:rFonts w:cs="Arial"/>
          <w:szCs w:val="22"/>
        </w:rPr>
        <w:t>.</w:t>
      </w:r>
    </w:p>
    <w:p w:rsidR="008C6BFA" w:rsidRPr="000063FC" w:rsidRDefault="008C6BFA" w:rsidP="008C6BFA"/>
    <w:p w:rsidR="00BC341E" w:rsidRPr="000063FC" w:rsidRDefault="00593E53" w:rsidP="00B33E2F">
      <w:pPr>
        <w:pStyle w:val="Heading6"/>
      </w:pPr>
      <w:bookmarkStart w:id="79" w:name="_Toc252448463"/>
      <w:bookmarkStart w:id="80" w:name="_Toc252448673"/>
      <w:bookmarkStart w:id="81" w:name="_Toc254010231"/>
      <w:r w:rsidRPr="000063FC">
        <w:lastRenderedPageBreak/>
        <w:t>Tablica 2.2</w:t>
      </w:r>
      <w:r w:rsidR="00910543" w:rsidRPr="000063FC">
        <w:t xml:space="preserve">: </w:t>
      </w:r>
      <w:r w:rsidR="008C6BFA" w:rsidRPr="000063FC">
        <w:t>Pojedinačni emisijski faktor te konačan emisijski faktor za proračun emisije iz potrošnje topline</w:t>
      </w:r>
      <w:bookmarkEnd w:id="79"/>
      <w:bookmarkEnd w:id="80"/>
      <w:bookmarkEnd w:id="81"/>
    </w:p>
    <w:tbl>
      <w:tblPr>
        <w:tblW w:w="9087" w:type="dxa"/>
        <w:tblInd w:w="93"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0A0" w:firstRow="1" w:lastRow="0" w:firstColumn="1" w:lastColumn="0" w:noHBand="0" w:noVBand="0"/>
      </w:tblPr>
      <w:tblGrid>
        <w:gridCol w:w="1575"/>
        <w:gridCol w:w="1275"/>
        <w:gridCol w:w="1418"/>
        <w:gridCol w:w="1559"/>
        <w:gridCol w:w="1701"/>
        <w:gridCol w:w="1559"/>
      </w:tblGrid>
      <w:tr w:rsidR="00CB5246" w:rsidRPr="000063FC" w:rsidTr="00B23695">
        <w:trPr>
          <w:trHeight w:val="797"/>
        </w:trPr>
        <w:tc>
          <w:tcPr>
            <w:tcW w:w="1575" w:type="dxa"/>
            <w:tcBorders>
              <w:right w:val="single" w:sz="4" w:space="0" w:color="FFFFFF"/>
            </w:tcBorders>
            <w:shd w:val="clear" w:color="auto" w:fill="4BACC6"/>
            <w:noWrap/>
            <w:vAlign w:val="center"/>
          </w:tcPr>
          <w:p w:rsidR="00BC341E" w:rsidRPr="000063FC" w:rsidRDefault="00CB5246">
            <w:pPr>
              <w:spacing w:line="276" w:lineRule="auto"/>
              <w:rPr>
                <w:rFonts w:cs="Arial"/>
                <w:b/>
                <w:color w:val="FFFFFF"/>
                <w:sz w:val="18"/>
                <w:szCs w:val="18"/>
                <w:lang w:eastAsia="hr-HR"/>
              </w:rPr>
            </w:pPr>
            <w:r w:rsidRPr="000063FC">
              <w:rPr>
                <w:rFonts w:cs="Arial"/>
                <w:b/>
                <w:color w:val="FFFFFF"/>
                <w:sz w:val="18"/>
                <w:szCs w:val="18"/>
                <w:lang w:eastAsia="hr-HR"/>
              </w:rPr>
              <w:t>IZVOR</w:t>
            </w:r>
          </w:p>
        </w:tc>
        <w:tc>
          <w:tcPr>
            <w:tcW w:w="1275" w:type="dxa"/>
            <w:tcBorders>
              <w:left w:val="single" w:sz="4" w:space="0" w:color="FFFFFF"/>
              <w:right w:val="single" w:sz="4" w:space="0" w:color="FFFFFF"/>
            </w:tcBorders>
            <w:shd w:val="clear" w:color="auto" w:fill="4BACC6"/>
            <w:vAlign w:val="center"/>
          </w:tcPr>
          <w:p w:rsidR="00BC341E" w:rsidRPr="000063FC" w:rsidRDefault="00C60E02">
            <w:pPr>
              <w:spacing w:line="276" w:lineRule="auto"/>
              <w:jc w:val="center"/>
              <w:rPr>
                <w:rFonts w:cs="Arial"/>
                <w:b/>
                <w:color w:val="FFFFFF"/>
                <w:sz w:val="18"/>
                <w:szCs w:val="18"/>
                <w:lang w:eastAsia="hr-HR"/>
              </w:rPr>
            </w:pPr>
            <w:r w:rsidRPr="000063FC">
              <w:rPr>
                <w:rFonts w:cs="Arial"/>
                <w:b/>
                <w:color w:val="FFFFFF"/>
                <w:sz w:val="18"/>
                <w:szCs w:val="18"/>
                <w:lang w:eastAsia="hr-HR"/>
              </w:rPr>
              <w:t>Pojedinačni faktor izvora</w:t>
            </w:r>
            <w:r w:rsidR="00CB5246" w:rsidRPr="000063FC">
              <w:rPr>
                <w:rFonts w:cs="Arial"/>
                <w:b/>
                <w:color w:val="FFFFFF"/>
                <w:sz w:val="18"/>
                <w:szCs w:val="18"/>
                <w:lang w:eastAsia="hr-HR"/>
              </w:rPr>
              <w:t xml:space="preserve"> EF</w:t>
            </w:r>
            <w:r w:rsidR="00CB5246" w:rsidRPr="000063FC">
              <w:rPr>
                <w:rFonts w:cs="Arial"/>
                <w:b/>
                <w:color w:val="FFFFFF"/>
                <w:sz w:val="18"/>
                <w:szCs w:val="18"/>
                <w:vertAlign w:val="subscript"/>
                <w:lang w:eastAsia="hr-HR"/>
              </w:rPr>
              <w:t>tp</w:t>
            </w:r>
            <w:r w:rsidR="00CB5246" w:rsidRPr="000063FC">
              <w:rPr>
                <w:rFonts w:cs="Arial"/>
                <w:b/>
                <w:color w:val="FFFFFF"/>
                <w:sz w:val="18"/>
                <w:szCs w:val="18"/>
                <w:lang w:eastAsia="hr-HR"/>
              </w:rPr>
              <w:t xml:space="preserve"> (t/MWh</w:t>
            </w:r>
            <w:r w:rsidR="00CB5246" w:rsidRPr="000063FC">
              <w:rPr>
                <w:rFonts w:cs="Arial"/>
                <w:b/>
                <w:color w:val="FFFFFF"/>
                <w:sz w:val="18"/>
                <w:szCs w:val="18"/>
                <w:vertAlign w:val="subscript"/>
                <w:lang w:eastAsia="hr-HR"/>
              </w:rPr>
              <w:t>t</w:t>
            </w:r>
            <w:r w:rsidR="00CB5246" w:rsidRPr="000063FC">
              <w:rPr>
                <w:rFonts w:cs="Arial"/>
                <w:b/>
                <w:color w:val="FFFFFF"/>
                <w:sz w:val="18"/>
                <w:szCs w:val="18"/>
                <w:lang w:eastAsia="hr-HR"/>
              </w:rPr>
              <w:t>)</w:t>
            </w:r>
          </w:p>
        </w:tc>
        <w:tc>
          <w:tcPr>
            <w:tcW w:w="1418" w:type="dxa"/>
            <w:tcBorders>
              <w:left w:val="single" w:sz="4" w:space="0" w:color="FFFFFF"/>
              <w:right w:val="single" w:sz="4" w:space="0" w:color="FFFFFF"/>
            </w:tcBorders>
            <w:shd w:val="clear" w:color="auto" w:fill="4BACC6"/>
            <w:vAlign w:val="center"/>
          </w:tcPr>
          <w:p w:rsidR="00BC341E" w:rsidRPr="000063FC" w:rsidRDefault="00CB5246">
            <w:pPr>
              <w:spacing w:line="276" w:lineRule="auto"/>
              <w:jc w:val="center"/>
              <w:rPr>
                <w:rFonts w:cs="Arial"/>
                <w:b/>
                <w:color w:val="FFFFFF"/>
                <w:sz w:val="18"/>
                <w:szCs w:val="18"/>
                <w:lang w:eastAsia="hr-HR"/>
              </w:rPr>
            </w:pPr>
            <w:r w:rsidRPr="000063FC">
              <w:rPr>
                <w:rFonts w:cs="Arial"/>
                <w:b/>
                <w:color w:val="FFFFFF"/>
                <w:sz w:val="18"/>
                <w:szCs w:val="18"/>
                <w:lang w:eastAsia="hr-HR"/>
              </w:rPr>
              <w:t>Udio pojedinih termoelektrana u sustavu, %</w:t>
            </w:r>
          </w:p>
        </w:tc>
        <w:tc>
          <w:tcPr>
            <w:tcW w:w="1559" w:type="dxa"/>
            <w:tcBorders>
              <w:left w:val="single" w:sz="4" w:space="0" w:color="FFFFFF"/>
              <w:right w:val="single" w:sz="4" w:space="0" w:color="FFFFFF"/>
            </w:tcBorders>
            <w:shd w:val="clear" w:color="auto" w:fill="4BACC6"/>
            <w:vAlign w:val="center"/>
          </w:tcPr>
          <w:p w:rsidR="00BC341E" w:rsidRPr="000063FC" w:rsidRDefault="00C60E02">
            <w:pPr>
              <w:spacing w:line="276" w:lineRule="auto"/>
              <w:jc w:val="center"/>
              <w:rPr>
                <w:rFonts w:cs="Arial"/>
                <w:b/>
                <w:color w:val="FFFFFF"/>
                <w:sz w:val="18"/>
                <w:szCs w:val="18"/>
                <w:lang w:eastAsia="hr-HR"/>
              </w:rPr>
            </w:pPr>
            <w:r w:rsidRPr="000063FC">
              <w:rPr>
                <w:rFonts w:cs="Arial"/>
                <w:b/>
                <w:color w:val="FFFFFF"/>
                <w:sz w:val="18"/>
                <w:szCs w:val="18"/>
                <w:lang w:eastAsia="hr-HR"/>
              </w:rPr>
              <w:t>Srednji faktor termoelektrana</w:t>
            </w:r>
            <w:r w:rsidR="00CB5246" w:rsidRPr="000063FC">
              <w:rPr>
                <w:rFonts w:cs="Arial"/>
                <w:b/>
                <w:color w:val="FFFFFF"/>
                <w:sz w:val="18"/>
                <w:szCs w:val="18"/>
                <w:lang w:eastAsia="hr-HR"/>
              </w:rPr>
              <w:t xml:space="preserve"> EF</w:t>
            </w:r>
            <w:r w:rsidR="00CB5246" w:rsidRPr="000063FC">
              <w:rPr>
                <w:rFonts w:cs="Arial"/>
                <w:b/>
                <w:color w:val="FFFFFF"/>
                <w:sz w:val="18"/>
                <w:szCs w:val="18"/>
                <w:vertAlign w:val="subscript"/>
                <w:lang w:eastAsia="hr-HR"/>
              </w:rPr>
              <w:t>ts</w:t>
            </w:r>
            <w:r w:rsidR="00BE4472" w:rsidRPr="000063FC">
              <w:rPr>
                <w:rFonts w:cs="Arial"/>
                <w:b/>
                <w:color w:val="FFFFFF"/>
                <w:szCs w:val="22"/>
                <w:vertAlign w:val="subscript"/>
                <w:lang w:eastAsia="hr-HR"/>
              </w:rPr>
              <w:t xml:space="preserve"> </w:t>
            </w:r>
            <w:r w:rsidR="00CB5246" w:rsidRPr="000063FC">
              <w:rPr>
                <w:rFonts w:cs="Arial"/>
                <w:b/>
                <w:color w:val="FFFFFF"/>
                <w:sz w:val="18"/>
                <w:szCs w:val="18"/>
                <w:lang w:eastAsia="hr-HR"/>
              </w:rPr>
              <w:t>(t/MWh</w:t>
            </w:r>
            <w:r w:rsidR="00CB5246" w:rsidRPr="000063FC">
              <w:rPr>
                <w:rFonts w:cs="Arial"/>
                <w:b/>
                <w:color w:val="FFFFFF"/>
                <w:sz w:val="18"/>
                <w:szCs w:val="18"/>
                <w:vertAlign w:val="subscript"/>
                <w:lang w:eastAsia="hr-HR"/>
              </w:rPr>
              <w:t>t</w:t>
            </w:r>
            <w:r w:rsidR="00CB5246" w:rsidRPr="000063FC">
              <w:rPr>
                <w:rFonts w:cs="Arial"/>
                <w:b/>
                <w:color w:val="FFFFFF"/>
                <w:sz w:val="18"/>
                <w:szCs w:val="18"/>
                <w:lang w:eastAsia="hr-HR"/>
              </w:rPr>
              <w:t>)</w:t>
            </w:r>
          </w:p>
        </w:tc>
        <w:tc>
          <w:tcPr>
            <w:tcW w:w="1701" w:type="dxa"/>
            <w:tcBorders>
              <w:left w:val="single" w:sz="4" w:space="0" w:color="FFFFFF"/>
              <w:right w:val="single" w:sz="4" w:space="0" w:color="FFFFFF"/>
            </w:tcBorders>
            <w:shd w:val="clear" w:color="auto" w:fill="4BACC6"/>
            <w:vAlign w:val="center"/>
          </w:tcPr>
          <w:p w:rsidR="00BC341E" w:rsidRPr="000063FC" w:rsidRDefault="00CB5246">
            <w:pPr>
              <w:spacing w:line="276" w:lineRule="auto"/>
              <w:jc w:val="center"/>
              <w:rPr>
                <w:rFonts w:cs="Arial"/>
                <w:b/>
                <w:color w:val="FFFFFF"/>
                <w:sz w:val="18"/>
                <w:szCs w:val="18"/>
                <w:lang w:eastAsia="hr-HR"/>
              </w:rPr>
            </w:pPr>
            <w:r w:rsidRPr="000063FC">
              <w:rPr>
                <w:rFonts w:cs="Arial"/>
                <w:b/>
                <w:color w:val="FFFFFF"/>
                <w:sz w:val="18"/>
                <w:szCs w:val="18"/>
                <w:lang w:eastAsia="hr-HR"/>
              </w:rPr>
              <w:t>Udio termoelektrana i javnih kotlovnica u sustavu, %</w:t>
            </w:r>
          </w:p>
        </w:tc>
        <w:tc>
          <w:tcPr>
            <w:tcW w:w="1559" w:type="dxa"/>
            <w:tcBorders>
              <w:left w:val="single" w:sz="4" w:space="0" w:color="FFFFFF"/>
            </w:tcBorders>
            <w:shd w:val="clear" w:color="auto" w:fill="4BACC6"/>
            <w:vAlign w:val="center"/>
          </w:tcPr>
          <w:p w:rsidR="00BC341E" w:rsidRPr="000063FC" w:rsidRDefault="00CB5246">
            <w:pPr>
              <w:spacing w:line="276" w:lineRule="auto"/>
              <w:jc w:val="center"/>
              <w:rPr>
                <w:rFonts w:cs="Arial"/>
                <w:b/>
                <w:color w:val="FFFFFF"/>
                <w:sz w:val="18"/>
                <w:szCs w:val="18"/>
                <w:lang w:eastAsia="hr-HR"/>
              </w:rPr>
            </w:pPr>
            <w:r w:rsidRPr="000063FC">
              <w:rPr>
                <w:rFonts w:cs="Arial"/>
                <w:b/>
                <w:color w:val="FFFFFF"/>
                <w:sz w:val="18"/>
                <w:szCs w:val="18"/>
                <w:lang w:eastAsia="hr-HR"/>
              </w:rPr>
              <w:t>Konačni faktor za proračun EF</w:t>
            </w:r>
            <w:r w:rsidRPr="000063FC">
              <w:rPr>
                <w:rFonts w:cs="Arial"/>
                <w:b/>
                <w:color w:val="FFFFFF"/>
                <w:sz w:val="18"/>
                <w:szCs w:val="18"/>
                <w:vertAlign w:val="subscript"/>
                <w:lang w:eastAsia="hr-HR"/>
              </w:rPr>
              <w:t>t</w:t>
            </w:r>
            <w:r w:rsidRPr="000063FC">
              <w:rPr>
                <w:rFonts w:cs="Arial"/>
                <w:b/>
                <w:color w:val="FFFFFF"/>
                <w:sz w:val="18"/>
                <w:szCs w:val="18"/>
                <w:lang w:eastAsia="hr-HR"/>
              </w:rPr>
              <w:t xml:space="preserve"> (t/MWh</w:t>
            </w:r>
            <w:r w:rsidRPr="000063FC">
              <w:rPr>
                <w:rFonts w:cs="Arial"/>
                <w:b/>
                <w:color w:val="FFFFFF"/>
                <w:sz w:val="18"/>
                <w:szCs w:val="18"/>
                <w:vertAlign w:val="subscript"/>
                <w:lang w:eastAsia="hr-HR"/>
              </w:rPr>
              <w:t>t</w:t>
            </w:r>
            <w:r w:rsidRPr="000063FC">
              <w:rPr>
                <w:rFonts w:cs="Arial"/>
                <w:b/>
                <w:color w:val="FFFFFF"/>
                <w:sz w:val="18"/>
                <w:szCs w:val="18"/>
                <w:lang w:eastAsia="hr-HR"/>
              </w:rPr>
              <w:t>)</w:t>
            </w:r>
          </w:p>
        </w:tc>
      </w:tr>
      <w:tr w:rsidR="00CB5246" w:rsidRPr="000063FC" w:rsidTr="00B23695">
        <w:trPr>
          <w:trHeight w:val="290"/>
        </w:trPr>
        <w:tc>
          <w:tcPr>
            <w:tcW w:w="1575" w:type="dxa"/>
            <w:noWrap/>
            <w:vAlign w:val="center"/>
          </w:tcPr>
          <w:p w:rsidR="00BC341E" w:rsidRPr="000063FC" w:rsidRDefault="00CB5246">
            <w:pPr>
              <w:spacing w:line="276" w:lineRule="auto"/>
              <w:rPr>
                <w:rFonts w:cs="Arial"/>
                <w:color w:val="000000"/>
                <w:sz w:val="18"/>
                <w:szCs w:val="18"/>
                <w:lang w:eastAsia="hr-HR"/>
              </w:rPr>
            </w:pPr>
            <w:r w:rsidRPr="000063FC">
              <w:rPr>
                <w:rFonts w:cs="Arial"/>
                <w:color w:val="000000"/>
                <w:sz w:val="18"/>
                <w:szCs w:val="18"/>
                <w:lang w:eastAsia="hr-HR"/>
              </w:rPr>
              <w:t>TE-TO Zagreb</w:t>
            </w:r>
          </w:p>
        </w:tc>
        <w:tc>
          <w:tcPr>
            <w:tcW w:w="1275" w:type="dxa"/>
            <w:noWrap/>
            <w:vAlign w:val="center"/>
          </w:tcPr>
          <w:p w:rsidR="00BC341E" w:rsidRPr="000063FC" w:rsidRDefault="00CB5246">
            <w:pPr>
              <w:spacing w:line="276" w:lineRule="auto"/>
              <w:jc w:val="center"/>
              <w:rPr>
                <w:rFonts w:cs="Arial"/>
                <w:color w:val="000000"/>
                <w:sz w:val="18"/>
                <w:szCs w:val="18"/>
                <w:lang w:eastAsia="hr-HR"/>
              </w:rPr>
            </w:pPr>
            <w:r w:rsidRPr="000063FC">
              <w:rPr>
                <w:rFonts w:cs="Arial"/>
                <w:color w:val="000000"/>
                <w:sz w:val="18"/>
                <w:szCs w:val="18"/>
                <w:lang w:eastAsia="hr-HR"/>
              </w:rPr>
              <w:t>0,239</w:t>
            </w:r>
          </w:p>
        </w:tc>
        <w:tc>
          <w:tcPr>
            <w:tcW w:w="1418" w:type="dxa"/>
            <w:noWrap/>
            <w:vAlign w:val="center"/>
          </w:tcPr>
          <w:p w:rsidR="00BC341E" w:rsidRPr="000063FC" w:rsidRDefault="00CB5246">
            <w:pPr>
              <w:spacing w:line="276" w:lineRule="auto"/>
              <w:jc w:val="center"/>
              <w:rPr>
                <w:rFonts w:cs="Arial"/>
                <w:color w:val="000000"/>
                <w:sz w:val="18"/>
                <w:szCs w:val="18"/>
                <w:lang w:eastAsia="hr-HR"/>
              </w:rPr>
            </w:pPr>
            <w:r w:rsidRPr="000063FC">
              <w:rPr>
                <w:rFonts w:cs="Arial"/>
                <w:color w:val="000000"/>
                <w:sz w:val="18"/>
                <w:szCs w:val="18"/>
                <w:lang w:eastAsia="hr-HR"/>
              </w:rPr>
              <w:t>50</w:t>
            </w:r>
          </w:p>
        </w:tc>
        <w:tc>
          <w:tcPr>
            <w:tcW w:w="1559" w:type="dxa"/>
            <w:vMerge w:val="restart"/>
            <w:noWrap/>
            <w:vAlign w:val="center"/>
          </w:tcPr>
          <w:p w:rsidR="00BC341E" w:rsidRPr="000063FC" w:rsidRDefault="00CB5246">
            <w:pPr>
              <w:spacing w:line="276" w:lineRule="auto"/>
              <w:jc w:val="center"/>
              <w:rPr>
                <w:rFonts w:cs="Arial"/>
                <w:color w:val="000000"/>
                <w:sz w:val="18"/>
                <w:szCs w:val="18"/>
                <w:lang w:eastAsia="hr-HR"/>
              </w:rPr>
            </w:pPr>
            <w:r w:rsidRPr="000063FC">
              <w:rPr>
                <w:rFonts w:cs="Arial"/>
                <w:color w:val="000000"/>
                <w:sz w:val="18"/>
                <w:szCs w:val="18"/>
                <w:lang w:eastAsia="hr-HR"/>
              </w:rPr>
              <w:t>0,240</w:t>
            </w:r>
          </w:p>
        </w:tc>
        <w:tc>
          <w:tcPr>
            <w:tcW w:w="1701" w:type="dxa"/>
            <w:vMerge w:val="restart"/>
            <w:noWrap/>
            <w:vAlign w:val="center"/>
          </w:tcPr>
          <w:p w:rsidR="00BC341E" w:rsidRPr="000063FC" w:rsidRDefault="00CB5246">
            <w:pPr>
              <w:spacing w:line="276" w:lineRule="auto"/>
              <w:jc w:val="center"/>
              <w:rPr>
                <w:rFonts w:cs="Arial"/>
                <w:color w:val="000000"/>
                <w:sz w:val="18"/>
                <w:szCs w:val="18"/>
                <w:lang w:eastAsia="hr-HR"/>
              </w:rPr>
            </w:pPr>
            <w:r w:rsidRPr="000063FC">
              <w:rPr>
                <w:rFonts w:cs="Arial"/>
                <w:color w:val="000000"/>
                <w:sz w:val="18"/>
                <w:szCs w:val="18"/>
                <w:lang w:eastAsia="hr-HR"/>
              </w:rPr>
              <w:t>90</w:t>
            </w:r>
          </w:p>
        </w:tc>
        <w:tc>
          <w:tcPr>
            <w:tcW w:w="1559" w:type="dxa"/>
            <w:vMerge w:val="restart"/>
            <w:shd w:val="clear" w:color="auto" w:fill="DAEEF3"/>
            <w:noWrap/>
            <w:vAlign w:val="center"/>
          </w:tcPr>
          <w:p w:rsidR="00BC341E" w:rsidRPr="000063FC" w:rsidRDefault="00CB5246">
            <w:pPr>
              <w:spacing w:line="276" w:lineRule="auto"/>
              <w:jc w:val="center"/>
              <w:rPr>
                <w:rFonts w:cs="Arial"/>
                <w:b/>
                <w:color w:val="000000"/>
                <w:sz w:val="18"/>
                <w:szCs w:val="18"/>
                <w:lang w:eastAsia="hr-HR"/>
              </w:rPr>
            </w:pPr>
            <w:r w:rsidRPr="000063FC">
              <w:rPr>
                <w:rFonts w:cs="Arial"/>
                <w:b/>
                <w:color w:val="000000"/>
                <w:sz w:val="18"/>
                <w:szCs w:val="18"/>
                <w:lang w:eastAsia="hr-HR"/>
              </w:rPr>
              <w:t>0,244</w:t>
            </w:r>
          </w:p>
        </w:tc>
      </w:tr>
      <w:tr w:rsidR="00CB5246" w:rsidRPr="000063FC" w:rsidTr="00B23695">
        <w:trPr>
          <w:trHeight w:val="265"/>
        </w:trPr>
        <w:tc>
          <w:tcPr>
            <w:tcW w:w="1575" w:type="dxa"/>
            <w:noWrap/>
            <w:vAlign w:val="center"/>
          </w:tcPr>
          <w:p w:rsidR="00BC341E" w:rsidRPr="000063FC" w:rsidRDefault="00CB5246">
            <w:pPr>
              <w:spacing w:line="276" w:lineRule="auto"/>
              <w:rPr>
                <w:rFonts w:cs="Arial"/>
                <w:color w:val="000000"/>
                <w:sz w:val="18"/>
                <w:szCs w:val="18"/>
                <w:lang w:eastAsia="hr-HR"/>
              </w:rPr>
            </w:pPr>
            <w:r w:rsidRPr="000063FC">
              <w:rPr>
                <w:rFonts w:cs="Arial"/>
                <w:color w:val="000000"/>
                <w:sz w:val="18"/>
                <w:szCs w:val="18"/>
                <w:lang w:eastAsia="hr-HR"/>
              </w:rPr>
              <w:t>EL-TO Zagreb</w:t>
            </w:r>
          </w:p>
        </w:tc>
        <w:tc>
          <w:tcPr>
            <w:tcW w:w="1275" w:type="dxa"/>
            <w:noWrap/>
            <w:vAlign w:val="center"/>
          </w:tcPr>
          <w:p w:rsidR="00BC341E" w:rsidRPr="000063FC" w:rsidRDefault="00CB5246">
            <w:pPr>
              <w:spacing w:line="276" w:lineRule="auto"/>
              <w:jc w:val="center"/>
              <w:rPr>
                <w:rFonts w:cs="Arial"/>
                <w:color w:val="000000"/>
                <w:sz w:val="18"/>
                <w:szCs w:val="18"/>
                <w:lang w:eastAsia="hr-HR"/>
              </w:rPr>
            </w:pPr>
            <w:r w:rsidRPr="000063FC">
              <w:rPr>
                <w:rFonts w:cs="Arial"/>
                <w:color w:val="000000"/>
                <w:sz w:val="18"/>
                <w:szCs w:val="18"/>
                <w:lang w:eastAsia="hr-HR"/>
              </w:rPr>
              <w:t>0,242</w:t>
            </w:r>
          </w:p>
        </w:tc>
        <w:tc>
          <w:tcPr>
            <w:tcW w:w="1418" w:type="dxa"/>
            <w:noWrap/>
            <w:vAlign w:val="center"/>
          </w:tcPr>
          <w:p w:rsidR="00BC341E" w:rsidRPr="000063FC" w:rsidRDefault="00CB5246">
            <w:pPr>
              <w:spacing w:line="276" w:lineRule="auto"/>
              <w:jc w:val="center"/>
              <w:rPr>
                <w:rFonts w:cs="Arial"/>
                <w:color w:val="000000"/>
                <w:sz w:val="18"/>
                <w:szCs w:val="18"/>
                <w:lang w:eastAsia="hr-HR"/>
              </w:rPr>
            </w:pPr>
            <w:r w:rsidRPr="000063FC">
              <w:rPr>
                <w:rFonts w:cs="Arial"/>
                <w:color w:val="000000"/>
                <w:sz w:val="18"/>
                <w:szCs w:val="18"/>
                <w:lang w:eastAsia="hr-HR"/>
              </w:rPr>
              <w:t>50</w:t>
            </w:r>
          </w:p>
        </w:tc>
        <w:tc>
          <w:tcPr>
            <w:tcW w:w="1559" w:type="dxa"/>
            <w:vMerge/>
            <w:vAlign w:val="center"/>
          </w:tcPr>
          <w:p w:rsidR="00BC341E" w:rsidRPr="000063FC" w:rsidRDefault="00BC341E">
            <w:pPr>
              <w:spacing w:line="276" w:lineRule="auto"/>
              <w:jc w:val="center"/>
              <w:rPr>
                <w:rFonts w:cs="Arial"/>
                <w:color w:val="000000"/>
                <w:sz w:val="18"/>
                <w:szCs w:val="18"/>
                <w:lang w:eastAsia="hr-HR"/>
              </w:rPr>
            </w:pPr>
          </w:p>
        </w:tc>
        <w:tc>
          <w:tcPr>
            <w:tcW w:w="1701" w:type="dxa"/>
            <w:vMerge/>
            <w:vAlign w:val="center"/>
          </w:tcPr>
          <w:p w:rsidR="00BC341E" w:rsidRPr="000063FC" w:rsidRDefault="00BC341E">
            <w:pPr>
              <w:spacing w:line="276" w:lineRule="auto"/>
              <w:jc w:val="center"/>
              <w:rPr>
                <w:rFonts w:cs="Arial"/>
                <w:color w:val="000000"/>
                <w:sz w:val="18"/>
                <w:szCs w:val="18"/>
                <w:lang w:eastAsia="hr-HR"/>
              </w:rPr>
            </w:pPr>
          </w:p>
        </w:tc>
        <w:tc>
          <w:tcPr>
            <w:tcW w:w="1559" w:type="dxa"/>
            <w:vMerge/>
            <w:shd w:val="clear" w:color="auto" w:fill="DAEEF3"/>
            <w:vAlign w:val="center"/>
          </w:tcPr>
          <w:p w:rsidR="00BC341E" w:rsidRPr="000063FC" w:rsidRDefault="00BC341E">
            <w:pPr>
              <w:spacing w:line="276" w:lineRule="auto"/>
              <w:jc w:val="center"/>
              <w:rPr>
                <w:rFonts w:cs="Arial"/>
                <w:color w:val="000000"/>
                <w:sz w:val="18"/>
                <w:szCs w:val="18"/>
                <w:lang w:eastAsia="hr-HR"/>
              </w:rPr>
            </w:pPr>
          </w:p>
        </w:tc>
      </w:tr>
      <w:tr w:rsidR="00CB5246" w:rsidRPr="000063FC" w:rsidTr="00B23695">
        <w:trPr>
          <w:trHeight w:val="284"/>
        </w:trPr>
        <w:tc>
          <w:tcPr>
            <w:tcW w:w="1575" w:type="dxa"/>
            <w:noWrap/>
            <w:vAlign w:val="center"/>
          </w:tcPr>
          <w:p w:rsidR="00BC341E" w:rsidRPr="000063FC" w:rsidRDefault="00CB5246">
            <w:pPr>
              <w:spacing w:line="276" w:lineRule="auto"/>
              <w:rPr>
                <w:rFonts w:cs="Arial"/>
                <w:color w:val="000000"/>
                <w:sz w:val="18"/>
                <w:szCs w:val="18"/>
                <w:lang w:eastAsia="hr-HR"/>
              </w:rPr>
            </w:pPr>
            <w:r w:rsidRPr="000063FC">
              <w:rPr>
                <w:rFonts w:cs="Arial"/>
                <w:color w:val="000000"/>
                <w:sz w:val="18"/>
                <w:szCs w:val="18"/>
                <w:lang w:eastAsia="hr-HR"/>
              </w:rPr>
              <w:t>Javne kotlovnice</w:t>
            </w:r>
          </w:p>
        </w:tc>
        <w:tc>
          <w:tcPr>
            <w:tcW w:w="1275" w:type="dxa"/>
            <w:noWrap/>
            <w:vAlign w:val="center"/>
          </w:tcPr>
          <w:p w:rsidR="00BC341E" w:rsidRPr="000063FC" w:rsidRDefault="00CB5246">
            <w:pPr>
              <w:spacing w:line="276" w:lineRule="auto"/>
              <w:jc w:val="center"/>
              <w:rPr>
                <w:rFonts w:cs="Arial"/>
                <w:color w:val="000000"/>
                <w:sz w:val="18"/>
                <w:szCs w:val="18"/>
                <w:lang w:eastAsia="hr-HR"/>
              </w:rPr>
            </w:pPr>
            <w:r w:rsidRPr="000063FC">
              <w:rPr>
                <w:rFonts w:cs="Arial"/>
                <w:color w:val="000000"/>
                <w:sz w:val="18"/>
                <w:szCs w:val="18"/>
                <w:lang w:eastAsia="hr-HR"/>
              </w:rPr>
              <w:t>0,275</w:t>
            </w:r>
          </w:p>
        </w:tc>
        <w:tc>
          <w:tcPr>
            <w:tcW w:w="1418" w:type="dxa"/>
            <w:noWrap/>
            <w:vAlign w:val="center"/>
          </w:tcPr>
          <w:p w:rsidR="00BC341E" w:rsidRPr="000063FC" w:rsidRDefault="00CB5246">
            <w:pPr>
              <w:spacing w:line="276" w:lineRule="auto"/>
              <w:jc w:val="center"/>
              <w:rPr>
                <w:rFonts w:cs="Arial"/>
                <w:color w:val="000000"/>
                <w:sz w:val="18"/>
                <w:szCs w:val="18"/>
                <w:lang w:eastAsia="hr-HR"/>
              </w:rPr>
            </w:pPr>
            <w:r w:rsidRPr="000063FC">
              <w:rPr>
                <w:rFonts w:cs="Arial"/>
                <w:color w:val="000000"/>
                <w:sz w:val="18"/>
                <w:szCs w:val="18"/>
                <w:lang w:eastAsia="hr-HR"/>
              </w:rPr>
              <w:t>-</w:t>
            </w:r>
          </w:p>
        </w:tc>
        <w:tc>
          <w:tcPr>
            <w:tcW w:w="1559" w:type="dxa"/>
            <w:noWrap/>
            <w:vAlign w:val="center"/>
          </w:tcPr>
          <w:p w:rsidR="00BC341E" w:rsidRPr="000063FC" w:rsidRDefault="00CB5246">
            <w:pPr>
              <w:spacing w:line="276" w:lineRule="auto"/>
              <w:jc w:val="center"/>
              <w:rPr>
                <w:rFonts w:cs="Arial"/>
                <w:color w:val="000000"/>
                <w:sz w:val="18"/>
                <w:szCs w:val="18"/>
                <w:lang w:eastAsia="hr-HR"/>
              </w:rPr>
            </w:pPr>
            <w:r w:rsidRPr="000063FC">
              <w:rPr>
                <w:rFonts w:cs="Arial"/>
                <w:color w:val="000000"/>
                <w:sz w:val="18"/>
                <w:szCs w:val="18"/>
                <w:lang w:eastAsia="hr-HR"/>
              </w:rPr>
              <w:t>-</w:t>
            </w:r>
          </w:p>
        </w:tc>
        <w:tc>
          <w:tcPr>
            <w:tcW w:w="1701" w:type="dxa"/>
            <w:noWrap/>
            <w:vAlign w:val="center"/>
          </w:tcPr>
          <w:p w:rsidR="00BC341E" w:rsidRPr="000063FC" w:rsidRDefault="00CB5246">
            <w:pPr>
              <w:spacing w:line="276" w:lineRule="auto"/>
              <w:jc w:val="center"/>
              <w:rPr>
                <w:rFonts w:cs="Arial"/>
                <w:color w:val="000000"/>
                <w:sz w:val="18"/>
                <w:szCs w:val="18"/>
                <w:lang w:eastAsia="hr-HR"/>
              </w:rPr>
            </w:pPr>
            <w:r w:rsidRPr="000063FC">
              <w:rPr>
                <w:rFonts w:cs="Arial"/>
                <w:color w:val="000000"/>
                <w:sz w:val="18"/>
                <w:szCs w:val="18"/>
                <w:lang w:eastAsia="hr-HR"/>
              </w:rPr>
              <w:t>10</w:t>
            </w:r>
          </w:p>
        </w:tc>
        <w:tc>
          <w:tcPr>
            <w:tcW w:w="1559" w:type="dxa"/>
            <w:vMerge/>
            <w:shd w:val="clear" w:color="auto" w:fill="DAEEF3"/>
            <w:vAlign w:val="center"/>
          </w:tcPr>
          <w:p w:rsidR="00BC341E" w:rsidRPr="000063FC" w:rsidRDefault="00BC341E">
            <w:pPr>
              <w:spacing w:line="276" w:lineRule="auto"/>
              <w:jc w:val="center"/>
              <w:rPr>
                <w:rFonts w:cs="Arial"/>
                <w:color w:val="000000"/>
                <w:sz w:val="18"/>
                <w:szCs w:val="18"/>
                <w:lang w:eastAsia="hr-HR"/>
              </w:rPr>
            </w:pPr>
          </w:p>
        </w:tc>
      </w:tr>
    </w:tbl>
    <w:p w:rsidR="00BC341E" w:rsidRPr="000063FC" w:rsidRDefault="00BC341E">
      <w:pPr>
        <w:spacing w:line="276" w:lineRule="auto"/>
        <w:rPr>
          <w:rFonts w:cs="Arial"/>
          <w:szCs w:val="22"/>
        </w:rPr>
      </w:pPr>
    </w:p>
    <w:p w:rsidR="00BC341E" w:rsidRPr="000063FC" w:rsidRDefault="007B0169">
      <w:pPr>
        <w:spacing w:line="276" w:lineRule="auto"/>
        <w:rPr>
          <w:szCs w:val="22"/>
        </w:rPr>
      </w:pPr>
      <w:r w:rsidRPr="000063FC">
        <w:rPr>
          <w:szCs w:val="22"/>
        </w:rPr>
        <w:t>Za proračun emisije CO</w:t>
      </w:r>
      <w:r w:rsidR="0095340E" w:rsidRPr="000063FC">
        <w:rPr>
          <w:szCs w:val="22"/>
          <w:vertAlign w:val="subscript"/>
        </w:rPr>
        <w:t>2</w:t>
      </w:r>
      <w:r w:rsidRPr="000063FC">
        <w:rPr>
          <w:szCs w:val="22"/>
        </w:rPr>
        <w:t xml:space="preserve"> iz izgaranja prirodnog plina i loživog ulja korišteni su podaci o standardnim emisijskim faktorima, gustoćama te ogrjevnim vrijednostima. Treba napomen</w:t>
      </w:r>
      <w:r w:rsidR="00C60E02" w:rsidRPr="000063FC">
        <w:rPr>
          <w:szCs w:val="22"/>
        </w:rPr>
        <w:t xml:space="preserve">uti da su u proračunu korištene </w:t>
      </w:r>
      <w:r w:rsidRPr="000063FC">
        <w:rPr>
          <w:szCs w:val="22"/>
        </w:rPr>
        <w:t>specifične ogrjevne vrijednosti iz Nacionalne energetske bilance</w:t>
      </w:r>
      <w:r w:rsidR="0095340E" w:rsidRPr="000063FC">
        <w:rPr>
          <w:rStyle w:val="FootnoteReference"/>
          <w:szCs w:val="22"/>
        </w:rPr>
        <w:footnoteReference w:id="6"/>
      </w:r>
      <w:r w:rsidRPr="000063FC">
        <w:rPr>
          <w:szCs w:val="22"/>
        </w:rPr>
        <w:t xml:space="preserve"> Republike Hrvatske za 2008. godinu. Emisija CO</w:t>
      </w:r>
      <w:r w:rsidR="0095340E" w:rsidRPr="000063FC">
        <w:rPr>
          <w:szCs w:val="22"/>
          <w:vertAlign w:val="subscript"/>
        </w:rPr>
        <w:t>2</w:t>
      </w:r>
      <w:r w:rsidRPr="000063FC">
        <w:rPr>
          <w:szCs w:val="22"/>
        </w:rPr>
        <w:t xml:space="preserve"> iz potrošnje ogrje</w:t>
      </w:r>
      <w:r w:rsidR="00C60E02" w:rsidRPr="000063FC">
        <w:rPr>
          <w:szCs w:val="22"/>
        </w:rPr>
        <w:t>vnog drva se ne bilancira jer se</w:t>
      </w:r>
      <w:r w:rsidRPr="000063FC">
        <w:rPr>
          <w:szCs w:val="22"/>
        </w:rPr>
        <w:t xml:space="preserve"> to gorivo </w:t>
      </w:r>
      <w:r w:rsidR="00C60E02" w:rsidRPr="000063FC">
        <w:rPr>
          <w:szCs w:val="22"/>
        </w:rPr>
        <w:t xml:space="preserve">smatra </w:t>
      </w:r>
      <w:r w:rsidRPr="000063FC">
        <w:rPr>
          <w:szCs w:val="22"/>
        </w:rPr>
        <w:t>CO</w:t>
      </w:r>
      <w:r w:rsidR="0095340E" w:rsidRPr="000063FC">
        <w:rPr>
          <w:szCs w:val="22"/>
          <w:vertAlign w:val="subscript"/>
        </w:rPr>
        <w:t>2</w:t>
      </w:r>
      <w:r w:rsidR="00C60E02" w:rsidRPr="000063FC">
        <w:rPr>
          <w:szCs w:val="22"/>
        </w:rPr>
        <w:t xml:space="preserve"> neutralnim</w:t>
      </w:r>
      <w:r w:rsidRPr="000063FC">
        <w:rPr>
          <w:szCs w:val="22"/>
        </w:rPr>
        <w:t xml:space="preserve">. U tablici </w:t>
      </w:r>
      <w:r w:rsidR="002443DB" w:rsidRPr="000063FC">
        <w:rPr>
          <w:szCs w:val="22"/>
        </w:rPr>
        <w:t>2</w:t>
      </w:r>
      <w:r w:rsidR="00C60E02" w:rsidRPr="000063FC">
        <w:rPr>
          <w:szCs w:val="22"/>
        </w:rPr>
        <w:t>.3 dane su karakteristike korištenih</w:t>
      </w:r>
      <w:r w:rsidRPr="000063FC">
        <w:rPr>
          <w:szCs w:val="22"/>
        </w:rPr>
        <w:t xml:space="preserve"> goriva, </w:t>
      </w:r>
      <w:r w:rsidR="00C60E02" w:rsidRPr="000063FC">
        <w:rPr>
          <w:szCs w:val="22"/>
        </w:rPr>
        <w:t xml:space="preserve">a u </w:t>
      </w:r>
      <w:r w:rsidRPr="000063FC">
        <w:rPr>
          <w:szCs w:val="22"/>
        </w:rPr>
        <w:t xml:space="preserve">tablici </w:t>
      </w:r>
      <w:r w:rsidR="002443DB" w:rsidRPr="000063FC">
        <w:rPr>
          <w:szCs w:val="22"/>
        </w:rPr>
        <w:t>2</w:t>
      </w:r>
      <w:r w:rsidRPr="000063FC">
        <w:rPr>
          <w:szCs w:val="22"/>
        </w:rPr>
        <w:t>.4 emisijski faktori.</w:t>
      </w:r>
    </w:p>
    <w:p w:rsidR="00BC341E" w:rsidRPr="000063FC" w:rsidRDefault="00BC341E">
      <w:pPr>
        <w:pStyle w:val="Caption"/>
        <w:rPr>
          <w:i w:val="0"/>
        </w:rPr>
      </w:pPr>
    </w:p>
    <w:p w:rsidR="00BC341E" w:rsidRPr="000063FC" w:rsidRDefault="00910543" w:rsidP="00B33E2F">
      <w:pPr>
        <w:pStyle w:val="Heading6"/>
      </w:pPr>
      <w:bookmarkStart w:id="82" w:name="_Toc252448674"/>
      <w:bookmarkStart w:id="83" w:name="_Toc254010232"/>
      <w:r w:rsidRPr="000063FC">
        <w:t xml:space="preserve">Tablica 2.3: </w:t>
      </w:r>
      <w:bookmarkEnd w:id="82"/>
      <w:r w:rsidR="00C60E02" w:rsidRPr="000063FC">
        <w:t>Karakteristike goriva</w:t>
      </w:r>
      <w:bookmarkEnd w:id="83"/>
    </w:p>
    <w:tbl>
      <w:tblPr>
        <w:tblW w:w="9084" w:type="dxa"/>
        <w:tblInd w:w="96" w:type="dxa"/>
        <w:tblBorders>
          <w:top w:val="single" w:sz="6" w:space="0" w:color="4BACC6"/>
          <w:left w:val="single" w:sz="6" w:space="0" w:color="4BACC6"/>
          <w:bottom w:val="single" w:sz="6" w:space="0" w:color="4BACC6"/>
          <w:right w:val="single" w:sz="6" w:space="0" w:color="4BACC6"/>
          <w:insideH w:val="single" w:sz="6" w:space="0" w:color="4BACC6"/>
          <w:insideV w:val="single" w:sz="6" w:space="0" w:color="4BACC6"/>
        </w:tblBorders>
        <w:tblLook w:val="00A0" w:firstRow="1" w:lastRow="0" w:firstColumn="1" w:lastColumn="0" w:noHBand="0" w:noVBand="0"/>
      </w:tblPr>
      <w:tblGrid>
        <w:gridCol w:w="2706"/>
        <w:gridCol w:w="2976"/>
        <w:gridCol w:w="3402"/>
      </w:tblGrid>
      <w:tr w:rsidR="00CB5246" w:rsidRPr="000063FC" w:rsidTr="00B23695">
        <w:trPr>
          <w:trHeight w:hRule="exact" w:val="255"/>
        </w:trPr>
        <w:tc>
          <w:tcPr>
            <w:tcW w:w="2706" w:type="dxa"/>
            <w:vMerge w:val="restart"/>
            <w:tcBorders>
              <w:bottom w:val="single" w:sz="6" w:space="0" w:color="FFFFFF"/>
              <w:right w:val="single" w:sz="6" w:space="0" w:color="FFFFFF"/>
            </w:tcBorders>
            <w:shd w:val="clear" w:color="auto" w:fill="4BACC6"/>
            <w:noWrap/>
            <w:vAlign w:val="center"/>
          </w:tcPr>
          <w:p w:rsidR="00BC341E" w:rsidRPr="000063FC" w:rsidRDefault="00CB5246">
            <w:pPr>
              <w:spacing w:line="276" w:lineRule="auto"/>
              <w:jc w:val="center"/>
              <w:rPr>
                <w:rFonts w:cs="Arial"/>
                <w:b/>
                <w:caps/>
                <w:color w:val="FFFFFF"/>
                <w:sz w:val="20"/>
                <w:szCs w:val="22"/>
                <w:lang w:eastAsia="hr-HR"/>
              </w:rPr>
            </w:pPr>
            <w:r w:rsidRPr="000063FC">
              <w:rPr>
                <w:rFonts w:cs="Arial"/>
                <w:b/>
                <w:color w:val="FFFFFF"/>
                <w:sz w:val="20"/>
                <w:lang w:eastAsia="hr-HR"/>
              </w:rPr>
              <w:t>Vrsta goriva</w:t>
            </w:r>
          </w:p>
        </w:tc>
        <w:tc>
          <w:tcPr>
            <w:tcW w:w="2976" w:type="dxa"/>
            <w:vMerge w:val="restart"/>
            <w:tcBorders>
              <w:left w:val="single" w:sz="6" w:space="0" w:color="FFFFFF"/>
              <w:bottom w:val="single" w:sz="6" w:space="0" w:color="FFFFFF"/>
              <w:right w:val="single" w:sz="6" w:space="0" w:color="FFFFFF"/>
            </w:tcBorders>
            <w:shd w:val="clear" w:color="auto" w:fill="4BACC6"/>
            <w:noWrap/>
            <w:vAlign w:val="center"/>
          </w:tcPr>
          <w:p w:rsidR="00BC341E" w:rsidRPr="000063FC" w:rsidRDefault="00CB5246">
            <w:pPr>
              <w:spacing w:line="276" w:lineRule="auto"/>
              <w:jc w:val="center"/>
              <w:rPr>
                <w:rFonts w:cs="Arial"/>
                <w:b/>
                <w:caps/>
                <w:color w:val="FFFFFF"/>
                <w:sz w:val="20"/>
                <w:szCs w:val="22"/>
                <w:lang w:eastAsia="hr-HR"/>
              </w:rPr>
            </w:pPr>
            <w:r w:rsidRPr="000063FC">
              <w:rPr>
                <w:rFonts w:cs="Arial"/>
                <w:b/>
                <w:color w:val="FFFFFF"/>
                <w:sz w:val="20"/>
                <w:lang w:eastAsia="hr-HR"/>
              </w:rPr>
              <w:t>Gustoća</w:t>
            </w:r>
            <w:r w:rsidRPr="000063FC">
              <w:rPr>
                <w:rStyle w:val="FootnoteReference"/>
                <w:rFonts w:cs="Arial"/>
                <w:b/>
                <w:color w:val="FFFFFF"/>
                <w:sz w:val="20"/>
                <w:lang w:eastAsia="hr-HR"/>
              </w:rPr>
              <w:footnoteReference w:id="7"/>
            </w:r>
            <w:r w:rsidRPr="000063FC">
              <w:rPr>
                <w:rFonts w:cs="Arial"/>
                <w:b/>
                <w:color w:val="FFFFFF"/>
                <w:sz w:val="20"/>
                <w:lang w:eastAsia="hr-HR"/>
              </w:rPr>
              <w:t>, kg/m</w:t>
            </w:r>
            <w:r w:rsidRPr="000063FC">
              <w:rPr>
                <w:rFonts w:cs="Arial"/>
                <w:b/>
                <w:color w:val="FFFFFF"/>
                <w:sz w:val="20"/>
                <w:vertAlign w:val="superscript"/>
                <w:lang w:eastAsia="hr-HR"/>
              </w:rPr>
              <w:t>3</w:t>
            </w:r>
          </w:p>
        </w:tc>
        <w:tc>
          <w:tcPr>
            <w:tcW w:w="3402" w:type="dxa"/>
            <w:vMerge w:val="restart"/>
            <w:tcBorders>
              <w:left w:val="single" w:sz="6" w:space="0" w:color="FFFFFF"/>
              <w:bottom w:val="single" w:sz="6" w:space="0" w:color="FFFFFF"/>
              <w:right w:val="single" w:sz="4" w:space="0" w:color="4BACC6"/>
            </w:tcBorders>
            <w:shd w:val="clear" w:color="auto" w:fill="4BACC6"/>
            <w:vAlign w:val="center"/>
          </w:tcPr>
          <w:p w:rsidR="00BC341E" w:rsidRPr="000063FC" w:rsidRDefault="00CB5246">
            <w:pPr>
              <w:spacing w:line="276" w:lineRule="auto"/>
              <w:jc w:val="center"/>
              <w:rPr>
                <w:rFonts w:cs="Arial"/>
                <w:b/>
                <w:caps/>
                <w:color w:val="FFFFFF"/>
                <w:sz w:val="20"/>
                <w:szCs w:val="22"/>
                <w:lang w:eastAsia="hr-HR"/>
              </w:rPr>
            </w:pPr>
            <w:r w:rsidRPr="000063FC">
              <w:rPr>
                <w:rFonts w:cs="Arial"/>
                <w:b/>
                <w:color w:val="FFFFFF"/>
                <w:sz w:val="20"/>
                <w:lang w:eastAsia="hr-HR"/>
              </w:rPr>
              <w:t>Ogrjevna vrijednost, MJ/m</w:t>
            </w:r>
            <w:r w:rsidRPr="000063FC">
              <w:rPr>
                <w:rFonts w:cs="Arial"/>
                <w:b/>
                <w:color w:val="FFFFFF"/>
                <w:sz w:val="20"/>
                <w:vertAlign w:val="superscript"/>
                <w:lang w:eastAsia="hr-HR"/>
              </w:rPr>
              <w:t xml:space="preserve">3 </w:t>
            </w:r>
            <w:r w:rsidRPr="000063FC">
              <w:rPr>
                <w:rFonts w:cs="Arial"/>
                <w:b/>
                <w:color w:val="FFFFFF"/>
                <w:sz w:val="20"/>
                <w:lang w:eastAsia="hr-HR"/>
              </w:rPr>
              <w:t>(kg)</w:t>
            </w:r>
          </w:p>
        </w:tc>
      </w:tr>
      <w:tr w:rsidR="00CB5246" w:rsidRPr="000063FC" w:rsidTr="00B23695">
        <w:trPr>
          <w:trHeight w:hRule="exact" w:val="255"/>
        </w:trPr>
        <w:tc>
          <w:tcPr>
            <w:tcW w:w="2706" w:type="dxa"/>
            <w:vMerge/>
            <w:tcBorders>
              <w:top w:val="single" w:sz="6" w:space="0" w:color="FFFFFF"/>
              <w:right w:val="single" w:sz="6" w:space="0" w:color="FFFFFF"/>
            </w:tcBorders>
            <w:shd w:val="clear" w:color="auto" w:fill="4BACC6"/>
            <w:vAlign w:val="center"/>
          </w:tcPr>
          <w:p w:rsidR="00BC341E" w:rsidRPr="000063FC" w:rsidRDefault="00BC341E">
            <w:pPr>
              <w:spacing w:line="276" w:lineRule="auto"/>
              <w:jc w:val="center"/>
              <w:rPr>
                <w:rFonts w:cs="Arial"/>
                <w:b/>
                <w:color w:val="FFFFFF"/>
                <w:sz w:val="20"/>
                <w:lang w:eastAsia="hr-HR"/>
              </w:rPr>
            </w:pPr>
          </w:p>
        </w:tc>
        <w:tc>
          <w:tcPr>
            <w:tcW w:w="2976" w:type="dxa"/>
            <w:vMerge/>
            <w:tcBorders>
              <w:top w:val="single" w:sz="6" w:space="0" w:color="FFFFFF"/>
              <w:left w:val="single" w:sz="6" w:space="0" w:color="FFFFFF"/>
              <w:right w:val="single" w:sz="6" w:space="0" w:color="FFFFFF"/>
            </w:tcBorders>
            <w:shd w:val="clear" w:color="auto" w:fill="4BACC6"/>
            <w:vAlign w:val="center"/>
          </w:tcPr>
          <w:p w:rsidR="00BC341E" w:rsidRPr="000063FC" w:rsidRDefault="00BC341E">
            <w:pPr>
              <w:spacing w:line="276" w:lineRule="auto"/>
              <w:jc w:val="center"/>
              <w:rPr>
                <w:rFonts w:cs="Arial"/>
                <w:b/>
                <w:color w:val="FFFFFF"/>
                <w:sz w:val="20"/>
                <w:lang w:eastAsia="hr-HR"/>
              </w:rPr>
            </w:pPr>
          </w:p>
        </w:tc>
        <w:tc>
          <w:tcPr>
            <w:tcW w:w="3402" w:type="dxa"/>
            <w:vMerge/>
            <w:tcBorders>
              <w:top w:val="single" w:sz="6" w:space="0" w:color="FFFFFF"/>
              <w:left w:val="single" w:sz="6" w:space="0" w:color="FFFFFF"/>
              <w:right w:val="single" w:sz="4" w:space="0" w:color="4BACC6"/>
            </w:tcBorders>
            <w:shd w:val="clear" w:color="auto" w:fill="4BACC6"/>
            <w:vAlign w:val="center"/>
          </w:tcPr>
          <w:p w:rsidR="00BC341E" w:rsidRPr="000063FC" w:rsidRDefault="00BC341E">
            <w:pPr>
              <w:spacing w:line="276" w:lineRule="auto"/>
              <w:jc w:val="center"/>
              <w:rPr>
                <w:rFonts w:cs="Arial"/>
                <w:b/>
                <w:color w:val="FFFFFF"/>
                <w:sz w:val="20"/>
                <w:lang w:eastAsia="hr-HR"/>
              </w:rPr>
            </w:pPr>
          </w:p>
        </w:tc>
      </w:tr>
      <w:tr w:rsidR="00CB5246" w:rsidRPr="000063FC" w:rsidTr="00B23695">
        <w:trPr>
          <w:trHeight w:hRule="exact" w:val="255"/>
        </w:trPr>
        <w:tc>
          <w:tcPr>
            <w:tcW w:w="2706" w:type="dxa"/>
            <w:noWrap/>
            <w:vAlign w:val="bottom"/>
          </w:tcPr>
          <w:p w:rsidR="00BC341E" w:rsidRPr="000063FC" w:rsidRDefault="00CB5246">
            <w:pPr>
              <w:spacing w:line="276" w:lineRule="auto"/>
              <w:rPr>
                <w:rFonts w:cs="Arial"/>
                <w:sz w:val="20"/>
                <w:lang w:eastAsia="hr-HR"/>
              </w:rPr>
            </w:pPr>
            <w:r w:rsidRPr="000063FC">
              <w:rPr>
                <w:rFonts w:cs="Arial"/>
                <w:sz w:val="20"/>
                <w:lang w:eastAsia="hr-HR"/>
              </w:rPr>
              <w:t>Prirodni plin</w:t>
            </w:r>
          </w:p>
        </w:tc>
        <w:tc>
          <w:tcPr>
            <w:tcW w:w="2976"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 xml:space="preserve">0,700 </w:t>
            </w:r>
          </w:p>
        </w:tc>
        <w:tc>
          <w:tcPr>
            <w:tcW w:w="3402"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33,338</w:t>
            </w:r>
          </w:p>
        </w:tc>
      </w:tr>
      <w:tr w:rsidR="00CB5246" w:rsidRPr="000063FC" w:rsidTr="00B23695">
        <w:trPr>
          <w:trHeight w:hRule="exact" w:val="255"/>
        </w:trPr>
        <w:tc>
          <w:tcPr>
            <w:tcW w:w="2706" w:type="dxa"/>
            <w:noWrap/>
            <w:vAlign w:val="center"/>
          </w:tcPr>
          <w:p w:rsidR="00BC341E" w:rsidRPr="000063FC" w:rsidRDefault="00CB5246">
            <w:pPr>
              <w:spacing w:line="276" w:lineRule="auto"/>
              <w:rPr>
                <w:rFonts w:cs="Arial"/>
                <w:sz w:val="20"/>
                <w:lang w:eastAsia="hr-HR"/>
              </w:rPr>
            </w:pPr>
            <w:r w:rsidRPr="000063FC">
              <w:rPr>
                <w:rFonts w:cs="Arial"/>
                <w:sz w:val="20"/>
                <w:lang w:eastAsia="hr-HR"/>
              </w:rPr>
              <w:t>Loživo ulje</w:t>
            </w:r>
          </w:p>
        </w:tc>
        <w:tc>
          <w:tcPr>
            <w:tcW w:w="2976"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860</w:t>
            </w:r>
          </w:p>
        </w:tc>
        <w:tc>
          <w:tcPr>
            <w:tcW w:w="3402"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42,71</w:t>
            </w:r>
          </w:p>
        </w:tc>
      </w:tr>
      <w:tr w:rsidR="00CB5246" w:rsidRPr="000063FC" w:rsidTr="00B23695">
        <w:trPr>
          <w:trHeight w:hRule="exact" w:val="255"/>
        </w:trPr>
        <w:tc>
          <w:tcPr>
            <w:tcW w:w="2706" w:type="dxa"/>
            <w:noWrap/>
            <w:vAlign w:val="bottom"/>
          </w:tcPr>
          <w:p w:rsidR="00BC341E" w:rsidRPr="000063FC" w:rsidRDefault="00CB5246">
            <w:pPr>
              <w:spacing w:line="276" w:lineRule="auto"/>
              <w:rPr>
                <w:rFonts w:cs="Arial"/>
                <w:sz w:val="20"/>
                <w:lang w:eastAsia="hr-HR"/>
              </w:rPr>
            </w:pPr>
            <w:r w:rsidRPr="000063FC">
              <w:rPr>
                <w:rFonts w:cs="Arial"/>
                <w:sz w:val="20"/>
                <w:lang w:eastAsia="hr-HR"/>
              </w:rPr>
              <w:t>Ukapljeni naftni plin</w:t>
            </w:r>
          </w:p>
        </w:tc>
        <w:tc>
          <w:tcPr>
            <w:tcW w:w="2976"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540</w:t>
            </w:r>
          </w:p>
        </w:tc>
        <w:tc>
          <w:tcPr>
            <w:tcW w:w="3402"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46,89</w:t>
            </w:r>
          </w:p>
        </w:tc>
      </w:tr>
    </w:tbl>
    <w:p w:rsidR="0047546D" w:rsidRPr="000063FC" w:rsidRDefault="0047546D">
      <w:pPr>
        <w:spacing w:line="276" w:lineRule="auto"/>
      </w:pPr>
    </w:p>
    <w:p w:rsidR="00BC341E" w:rsidRPr="000063FC" w:rsidRDefault="008C6BFA" w:rsidP="00B33E2F">
      <w:pPr>
        <w:pStyle w:val="Heading6"/>
      </w:pPr>
      <w:bookmarkStart w:id="84" w:name="_Toc252448464"/>
      <w:bookmarkStart w:id="85" w:name="_Toc252448675"/>
      <w:bookmarkStart w:id="86" w:name="_Toc254010233"/>
      <w:r w:rsidRPr="000063FC">
        <w:t xml:space="preserve">Tablica </w:t>
      </w:r>
      <w:r w:rsidR="00910543" w:rsidRPr="000063FC">
        <w:t>2.4</w:t>
      </w:r>
      <w:r w:rsidRPr="000063FC">
        <w:t xml:space="preserve">: </w:t>
      </w:r>
      <w:r w:rsidR="00C60E02" w:rsidRPr="000063FC">
        <w:t>Emisijski faktori korišteni</w:t>
      </w:r>
      <w:r w:rsidR="007B0169" w:rsidRPr="000063FC">
        <w:t xml:space="preserve"> u proračunu</w:t>
      </w:r>
      <w:bookmarkEnd w:id="84"/>
      <w:bookmarkEnd w:id="85"/>
      <w:bookmarkEnd w:id="86"/>
    </w:p>
    <w:tbl>
      <w:tblPr>
        <w:tblW w:w="9084" w:type="dxa"/>
        <w:tblInd w:w="96" w:type="dxa"/>
        <w:tblBorders>
          <w:top w:val="single" w:sz="6" w:space="0" w:color="4BACC6"/>
          <w:left w:val="single" w:sz="6" w:space="0" w:color="4BACC6"/>
          <w:bottom w:val="single" w:sz="6" w:space="0" w:color="4BACC6"/>
          <w:right w:val="single" w:sz="6" w:space="0" w:color="4BACC6"/>
          <w:insideH w:val="single" w:sz="6" w:space="0" w:color="4BACC6"/>
          <w:insideV w:val="single" w:sz="6" w:space="0" w:color="4BACC6"/>
        </w:tblBorders>
        <w:tblLook w:val="00A0" w:firstRow="1" w:lastRow="0" w:firstColumn="1" w:lastColumn="0" w:noHBand="0" w:noVBand="0"/>
      </w:tblPr>
      <w:tblGrid>
        <w:gridCol w:w="2706"/>
        <w:gridCol w:w="1701"/>
        <w:gridCol w:w="1559"/>
        <w:gridCol w:w="1559"/>
        <w:gridCol w:w="1559"/>
      </w:tblGrid>
      <w:tr w:rsidR="00CB5246" w:rsidRPr="000063FC" w:rsidTr="00B23695">
        <w:trPr>
          <w:trHeight w:val="433"/>
        </w:trPr>
        <w:tc>
          <w:tcPr>
            <w:tcW w:w="2706" w:type="dxa"/>
            <w:vMerge w:val="restart"/>
            <w:tcBorders>
              <w:bottom w:val="single" w:sz="6" w:space="0" w:color="FFFFFF"/>
              <w:right w:val="single" w:sz="6" w:space="0" w:color="FFFFFF"/>
            </w:tcBorders>
            <w:shd w:val="clear" w:color="auto" w:fill="4BACC6"/>
            <w:noWrap/>
            <w:vAlign w:val="center"/>
          </w:tcPr>
          <w:p w:rsidR="00BC341E" w:rsidRPr="000063FC" w:rsidRDefault="00CB5246">
            <w:pPr>
              <w:spacing w:line="276" w:lineRule="auto"/>
              <w:jc w:val="center"/>
              <w:rPr>
                <w:rFonts w:cs="Arial"/>
                <w:b/>
                <w:caps/>
                <w:color w:val="FFFFFF"/>
                <w:sz w:val="20"/>
                <w:szCs w:val="22"/>
                <w:lang w:eastAsia="hr-HR"/>
              </w:rPr>
            </w:pPr>
            <w:r w:rsidRPr="000063FC">
              <w:rPr>
                <w:rFonts w:cs="Arial"/>
                <w:b/>
                <w:color w:val="FFFFFF"/>
                <w:sz w:val="20"/>
                <w:lang w:eastAsia="hr-HR"/>
              </w:rPr>
              <w:t>Izvor</w:t>
            </w:r>
          </w:p>
        </w:tc>
        <w:tc>
          <w:tcPr>
            <w:tcW w:w="6378" w:type="dxa"/>
            <w:gridSpan w:val="4"/>
            <w:tcBorders>
              <w:left w:val="single" w:sz="6" w:space="0" w:color="FFFFFF"/>
              <w:bottom w:val="single" w:sz="4" w:space="0" w:color="FFFFFF"/>
            </w:tcBorders>
            <w:shd w:val="clear" w:color="auto" w:fill="4BACC6"/>
            <w:vAlign w:val="center"/>
          </w:tcPr>
          <w:p w:rsidR="00BC341E" w:rsidRPr="000063FC" w:rsidRDefault="00CB5246">
            <w:pPr>
              <w:spacing w:line="276" w:lineRule="auto"/>
              <w:jc w:val="center"/>
              <w:rPr>
                <w:rFonts w:cs="Arial"/>
                <w:b/>
                <w:caps/>
                <w:color w:val="FFFFFF"/>
                <w:sz w:val="20"/>
                <w:szCs w:val="22"/>
                <w:lang w:eastAsia="hr-HR"/>
              </w:rPr>
            </w:pPr>
            <w:r w:rsidRPr="000063FC">
              <w:rPr>
                <w:rFonts w:cs="Arial"/>
                <w:b/>
                <w:color w:val="FFFFFF"/>
                <w:sz w:val="20"/>
                <w:lang w:eastAsia="hr-HR"/>
              </w:rPr>
              <w:t>Emisijski faktori</w:t>
            </w:r>
            <w:r w:rsidRPr="000063FC">
              <w:rPr>
                <w:rStyle w:val="FootnoteReference"/>
                <w:b/>
                <w:color w:val="FFFFFF"/>
                <w:sz w:val="20"/>
                <w:lang w:eastAsia="hr-HR"/>
              </w:rPr>
              <w:footnoteReference w:id="8"/>
            </w:r>
            <w:r w:rsidRPr="000063FC">
              <w:rPr>
                <w:rFonts w:cs="Arial"/>
                <w:b/>
                <w:color w:val="FFFFFF"/>
                <w:sz w:val="20"/>
                <w:lang w:eastAsia="hr-HR"/>
              </w:rPr>
              <w:t>, t/TJ</w:t>
            </w:r>
          </w:p>
        </w:tc>
      </w:tr>
      <w:tr w:rsidR="00CB5246" w:rsidRPr="000063FC" w:rsidTr="00B23695">
        <w:trPr>
          <w:trHeight w:val="412"/>
        </w:trPr>
        <w:tc>
          <w:tcPr>
            <w:tcW w:w="2706" w:type="dxa"/>
            <w:vMerge/>
            <w:tcBorders>
              <w:top w:val="single" w:sz="6" w:space="0" w:color="FFFFFF"/>
              <w:right w:val="single" w:sz="6" w:space="0" w:color="FFFFFF"/>
            </w:tcBorders>
            <w:shd w:val="clear" w:color="auto" w:fill="4BACC6"/>
            <w:vAlign w:val="center"/>
          </w:tcPr>
          <w:p w:rsidR="00BC341E" w:rsidRPr="000063FC" w:rsidRDefault="00BC341E">
            <w:pPr>
              <w:spacing w:line="276" w:lineRule="auto"/>
              <w:jc w:val="center"/>
              <w:rPr>
                <w:rFonts w:cs="Arial"/>
                <w:b/>
                <w:color w:val="FFFFFF"/>
                <w:sz w:val="20"/>
                <w:lang w:eastAsia="hr-HR"/>
              </w:rPr>
            </w:pPr>
          </w:p>
        </w:tc>
        <w:tc>
          <w:tcPr>
            <w:tcW w:w="1701" w:type="dxa"/>
            <w:tcBorders>
              <w:top w:val="single" w:sz="4" w:space="0" w:color="FFFFFF"/>
              <w:left w:val="single" w:sz="6" w:space="0" w:color="FFFFFF"/>
              <w:right w:val="single" w:sz="6" w:space="0" w:color="FFFFFF"/>
            </w:tcBorders>
            <w:shd w:val="clear" w:color="auto" w:fill="4BACC6"/>
            <w:vAlign w:val="center"/>
          </w:tcPr>
          <w:p w:rsidR="00BC341E" w:rsidRPr="000063FC" w:rsidRDefault="00CB5246">
            <w:pPr>
              <w:spacing w:line="276" w:lineRule="auto"/>
              <w:jc w:val="center"/>
              <w:rPr>
                <w:rFonts w:cs="Arial"/>
                <w:b/>
                <w:color w:val="FFFFFF"/>
                <w:sz w:val="20"/>
                <w:lang w:eastAsia="hr-HR"/>
              </w:rPr>
            </w:pPr>
            <w:r w:rsidRPr="000063FC">
              <w:rPr>
                <w:rFonts w:cs="Arial"/>
                <w:b/>
                <w:color w:val="FFFFFF"/>
                <w:sz w:val="20"/>
                <w:lang w:eastAsia="hr-HR"/>
              </w:rPr>
              <w:t>Jedinica</w:t>
            </w:r>
          </w:p>
        </w:tc>
        <w:tc>
          <w:tcPr>
            <w:tcW w:w="1559" w:type="dxa"/>
            <w:tcBorders>
              <w:top w:val="single" w:sz="6" w:space="0" w:color="FFFFFF"/>
              <w:left w:val="single" w:sz="6" w:space="0" w:color="FFFFFF"/>
              <w:right w:val="single" w:sz="6" w:space="0" w:color="FFFFFF"/>
            </w:tcBorders>
            <w:shd w:val="clear" w:color="auto" w:fill="4BACC6"/>
            <w:noWrap/>
            <w:vAlign w:val="center"/>
          </w:tcPr>
          <w:p w:rsidR="00BC341E" w:rsidRPr="000063FC" w:rsidRDefault="00CB5246">
            <w:pPr>
              <w:spacing w:line="276" w:lineRule="auto"/>
              <w:jc w:val="center"/>
              <w:rPr>
                <w:rFonts w:cs="Arial"/>
                <w:b/>
                <w:color w:val="FFFFFF"/>
                <w:sz w:val="20"/>
                <w:lang w:eastAsia="hr-HR"/>
              </w:rPr>
            </w:pPr>
            <w:r w:rsidRPr="000063FC">
              <w:rPr>
                <w:rFonts w:cs="Arial"/>
                <w:b/>
                <w:color w:val="FFFFFF"/>
                <w:sz w:val="20"/>
                <w:lang w:eastAsia="hr-HR"/>
              </w:rPr>
              <w:t>CO</w:t>
            </w:r>
            <w:r w:rsidRPr="000063FC">
              <w:rPr>
                <w:rFonts w:cs="Arial"/>
                <w:b/>
                <w:color w:val="FFFFFF"/>
                <w:sz w:val="20"/>
                <w:vertAlign w:val="subscript"/>
                <w:lang w:eastAsia="hr-HR"/>
              </w:rPr>
              <w:t>2</w:t>
            </w:r>
          </w:p>
        </w:tc>
        <w:tc>
          <w:tcPr>
            <w:tcW w:w="1559" w:type="dxa"/>
            <w:tcBorders>
              <w:top w:val="single" w:sz="6" w:space="0" w:color="FFFFFF"/>
              <w:left w:val="single" w:sz="6" w:space="0" w:color="FFFFFF"/>
              <w:right w:val="single" w:sz="6" w:space="0" w:color="FFFFFF"/>
            </w:tcBorders>
            <w:shd w:val="clear" w:color="auto" w:fill="4BACC6"/>
            <w:noWrap/>
            <w:vAlign w:val="center"/>
          </w:tcPr>
          <w:p w:rsidR="00BC341E" w:rsidRPr="000063FC" w:rsidRDefault="00CB5246">
            <w:pPr>
              <w:spacing w:line="276" w:lineRule="auto"/>
              <w:jc w:val="center"/>
              <w:rPr>
                <w:rFonts w:cs="Arial"/>
                <w:b/>
                <w:color w:val="FFFFFF"/>
                <w:sz w:val="20"/>
                <w:lang w:eastAsia="hr-HR"/>
              </w:rPr>
            </w:pPr>
            <w:r w:rsidRPr="000063FC">
              <w:rPr>
                <w:rFonts w:cs="Arial"/>
                <w:b/>
                <w:color w:val="FFFFFF"/>
                <w:sz w:val="20"/>
                <w:lang w:eastAsia="hr-HR"/>
              </w:rPr>
              <w:t>CH</w:t>
            </w:r>
            <w:r w:rsidRPr="000063FC">
              <w:rPr>
                <w:rFonts w:cs="Arial"/>
                <w:b/>
                <w:color w:val="FFFFFF"/>
                <w:sz w:val="20"/>
                <w:vertAlign w:val="subscript"/>
                <w:lang w:eastAsia="hr-HR"/>
              </w:rPr>
              <w:t>4</w:t>
            </w:r>
          </w:p>
        </w:tc>
        <w:tc>
          <w:tcPr>
            <w:tcW w:w="1559" w:type="dxa"/>
            <w:tcBorders>
              <w:top w:val="single" w:sz="6" w:space="0" w:color="FFFFFF"/>
              <w:left w:val="single" w:sz="6" w:space="0" w:color="FFFFFF"/>
            </w:tcBorders>
            <w:shd w:val="clear" w:color="auto" w:fill="4BACC6"/>
            <w:noWrap/>
            <w:vAlign w:val="center"/>
          </w:tcPr>
          <w:p w:rsidR="00BC341E" w:rsidRPr="000063FC" w:rsidRDefault="00CB5246">
            <w:pPr>
              <w:spacing w:line="276" w:lineRule="auto"/>
              <w:jc w:val="center"/>
              <w:rPr>
                <w:rFonts w:cs="Arial"/>
                <w:b/>
                <w:color w:val="FFFFFF"/>
                <w:sz w:val="20"/>
                <w:lang w:eastAsia="hr-HR"/>
              </w:rPr>
            </w:pPr>
            <w:r w:rsidRPr="000063FC">
              <w:rPr>
                <w:rFonts w:cs="Arial"/>
                <w:b/>
                <w:color w:val="FFFFFF"/>
                <w:sz w:val="20"/>
                <w:lang w:eastAsia="hr-HR"/>
              </w:rPr>
              <w:t>N</w:t>
            </w:r>
            <w:r w:rsidRPr="000063FC">
              <w:rPr>
                <w:rFonts w:cs="Arial"/>
                <w:b/>
                <w:color w:val="FFFFFF"/>
                <w:sz w:val="20"/>
                <w:vertAlign w:val="subscript"/>
                <w:lang w:eastAsia="hr-HR"/>
              </w:rPr>
              <w:t>2</w:t>
            </w:r>
            <w:r w:rsidRPr="000063FC">
              <w:rPr>
                <w:rFonts w:cs="Arial"/>
                <w:b/>
                <w:color w:val="FFFFFF"/>
                <w:sz w:val="20"/>
                <w:lang w:eastAsia="hr-HR"/>
              </w:rPr>
              <w:t>O</w:t>
            </w:r>
          </w:p>
        </w:tc>
      </w:tr>
      <w:tr w:rsidR="00CB5246" w:rsidRPr="000063FC" w:rsidTr="00B23695">
        <w:trPr>
          <w:trHeight w:val="284"/>
        </w:trPr>
        <w:tc>
          <w:tcPr>
            <w:tcW w:w="2706" w:type="dxa"/>
            <w:noWrap/>
            <w:vAlign w:val="center"/>
          </w:tcPr>
          <w:p w:rsidR="00BC341E" w:rsidRPr="000063FC" w:rsidRDefault="00CB5246">
            <w:pPr>
              <w:spacing w:line="276" w:lineRule="auto"/>
              <w:rPr>
                <w:rFonts w:cs="Arial"/>
                <w:sz w:val="20"/>
                <w:lang w:eastAsia="hr-HR"/>
              </w:rPr>
            </w:pPr>
            <w:r w:rsidRPr="000063FC">
              <w:rPr>
                <w:rFonts w:cs="Arial"/>
                <w:sz w:val="20"/>
                <w:lang w:eastAsia="hr-HR"/>
              </w:rPr>
              <w:t>Električna energija</w:t>
            </w:r>
          </w:p>
        </w:tc>
        <w:tc>
          <w:tcPr>
            <w:tcW w:w="1701"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g CO</w:t>
            </w:r>
            <w:r w:rsidRPr="000063FC">
              <w:rPr>
                <w:rFonts w:cs="Arial"/>
                <w:sz w:val="20"/>
                <w:vertAlign w:val="subscript"/>
                <w:lang w:eastAsia="hr-HR"/>
              </w:rPr>
              <w:t>2</w:t>
            </w:r>
            <w:r w:rsidRPr="000063FC">
              <w:rPr>
                <w:rFonts w:cs="Arial"/>
                <w:sz w:val="20"/>
                <w:lang w:eastAsia="hr-HR"/>
              </w:rPr>
              <w:t>/kWh</w:t>
            </w:r>
            <w:r w:rsidRPr="000063FC">
              <w:rPr>
                <w:rFonts w:cs="Arial"/>
                <w:sz w:val="20"/>
                <w:vertAlign w:val="subscript"/>
                <w:lang w:eastAsia="hr-HR"/>
              </w:rPr>
              <w:t>el</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323</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w:t>
            </w:r>
          </w:p>
        </w:tc>
      </w:tr>
      <w:tr w:rsidR="00CB5246" w:rsidRPr="000063FC" w:rsidTr="00B23695">
        <w:trPr>
          <w:trHeight w:val="284"/>
        </w:trPr>
        <w:tc>
          <w:tcPr>
            <w:tcW w:w="2706" w:type="dxa"/>
            <w:noWrap/>
            <w:vAlign w:val="center"/>
          </w:tcPr>
          <w:p w:rsidR="00BC341E" w:rsidRPr="000063FC" w:rsidRDefault="00CB5246">
            <w:pPr>
              <w:spacing w:line="276" w:lineRule="auto"/>
              <w:rPr>
                <w:rFonts w:cs="Arial"/>
                <w:sz w:val="20"/>
                <w:lang w:eastAsia="hr-HR"/>
              </w:rPr>
            </w:pPr>
            <w:r w:rsidRPr="000063FC">
              <w:rPr>
                <w:rFonts w:cs="Arial"/>
                <w:sz w:val="20"/>
                <w:lang w:eastAsia="hr-HR"/>
              </w:rPr>
              <w:t>Toplina</w:t>
            </w:r>
          </w:p>
        </w:tc>
        <w:tc>
          <w:tcPr>
            <w:tcW w:w="1701"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g CO</w:t>
            </w:r>
            <w:r w:rsidRPr="000063FC">
              <w:rPr>
                <w:rFonts w:cs="Arial"/>
                <w:sz w:val="20"/>
                <w:vertAlign w:val="subscript"/>
                <w:lang w:eastAsia="hr-HR"/>
              </w:rPr>
              <w:t>2</w:t>
            </w:r>
            <w:r w:rsidRPr="000063FC">
              <w:rPr>
                <w:rFonts w:cs="Arial"/>
                <w:sz w:val="20"/>
                <w:lang w:eastAsia="hr-HR"/>
              </w:rPr>
              <w:t>/kWh</w:t>
            </w:r>
            <w:r w:rsidRPr="000063FC">
              <w:rPr>
                <w:rFonts w:cs="Arial"/>
                <w:sz w:val="20"/>
                <w:vertAlign w:val="subscript"/>
                <w:lang w:eastAsia="hr-HR"/>
              </w:rPr>
              <w:t>t</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244</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w:t>
            </w:r>
          </w:p>
        </w:tc>
      </w:tr>
      <w:tr w:rsidR="00CB5246" w:rsidRPr="000063FC" w:rsidTr="00B23695">
        <w:trPr>
          <w:trHeight w:val="284"/>
        </w:trPr>
        <w:tc>
          <w:tcPr>
            <w:tcW w:w="2706" w:type="dxa"/>
            <w:noWrap/>
            <w:vAlign w:val="center"/>
          </w:tcPr>
          <w:p w:rsidR="00BC341E" w:rsidRPr="000063FC" w:rsidRDefault="00CB5246">
            <w:pPr>
              <w:spacing w:line="276" w:lineRule="auto"/>
              <w:rPr>
                <w:rFonts w:cs="Arial"/>
                <w:sz w:val="20"/>
                <w:lang w:eastAsia="hr-HR"/>
              </w:rPr>
            </w:pPr>
            <w:r w:rsidRPr="000063FC">
              <w:rPr>
                <w:rFonts w:cs="Arial"/>
                <w:sz w:val="20"/>
                <w:lang w:eastAsia="hr-HR"/>
              </w:rPr>
              <w:t>Prirodni plin</w:t>
            </w:r>
          </w:p>
        </w:tc>
        <w:tc>
          <w:tcPr>
            <w:tcW w:w="1701"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t/TJ</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55,8</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0,005</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0,0001</w:t>
            </w:r>
          </w:p>
        </w:tc>
      </w:tr>
      <w:tr w:rsidR="00CB5246" w:rsidRPr="000063FC" w:rsidTr="00B23695">
        <w:trPr>
          <w:trHeight w:val="284"/>
        </w:trPr>
        <w:tc>
          <w:tcPr>
            <w:tcW w:w="2706" w:type="dxa"/>
            <w:noWrap/>
            <w:vAlign w:val="center"/>
          </w:tcPr>
          <w:p w:rsidR="00BC341E" w:rsidRPr="000063FC" w:rsidRDefault="00CB5246">
            <w:pPr>
              <w:spacing w:line="276" w:lineRule="auto"/>
              <w:rPr>
                <w:rFonts w:cs="Arial"/>
                <w:sz w:val="20"/>
                <w:lang w:eastAsia="hr-HR"/>
              </w:rPr>
            </w:pPr>
            <w:r w:rsidRPr="000063FC">
              <w:rPr>
                <w:rFonts w:cs="Arial"/>
                <w:sz w:val="20"/>
                <w:lang w:eastAsia="hr-HR"/>
              </w:rPr>
              <w:t>Loživo ulje</w:t>
            </w:r>
          </w:p>
        </w:tc>
        <w:tc>
          <w:tcPr>
            <w:tcW w:w="1701"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t/TJ</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76,6</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0,010</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0,0006</w:t>
            </w:r>
          </w:p>
        </w:tc>
      </w:tr>
      <w:tr w:rsidR="00CB5246" w:rsidRPr="000063FC" w:rsidTr="00B23695">
        <w:trPr>
          <w:trHeight w:val="284"/>
        </w:trPr>
        <w:tc>
          <w:tcPr>
            <w:tcW w:w="2706" w:type="dxa"/>
            <w:noWrap/>
            <w:vAlign w:val="center"/>
          </w:tcPr>
          <w:p w:rsidR="00BC341E" w:rsidRPr="000063FC" w:rsidRDefault="00CB5246">
            <w:pPr>
              <w:spacing w:line="276" w:lineRule="auto"/>
              <w:rPr>
                <w:rFonts w:cs="Arial"/>
                <w:sz w:val="20"/>
                <w:lang w:eastAsia="hr-HR"/>
              </w:rPr>
            </w:pPr>
            <w:r w:rsidRPr="000063FC">
              <w:rPr>
                <w:rFonts w:cs="Arial"/>
                <w:sz w:val="20"/>
                <w:lang w:eastAsia="hr-HR"/>
              </w:rPr>
              <w:t>Ukapljeni naftni plin</w:t>
            </w:r>
          </w:p>
        </w:tc>
        <w:tc>
          <w:tcPr>
            <w:tcW w:w="1701"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t/TJ</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62,4</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0,010</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0,0006</w:t>
            </w:r>
          </w:p>
        </w:tc>
      </w:tr>
      <w:tr w:rsidR="00CB5246" w:rsidRPr="000063FC" w:rsidTr="00B23695">
        <w:trPr>
          <w:trHeight w:val="284"/>
        </w:trPr>
        <w:tc>
          <w:tcPr>
            <w:tcW w:w="2706" w:type="dxa"/>
            <w:noWrap/>
            <w:vAlign w:val="center"/>
          </w:tcPr>
          <w:p w:rsidR="00BC341E" w:rsidRPr="000063FC" w:rsidRDefault="00CB5246">
            <w:pPr>
              <w:spacing w:line="276" w:lineRule="auto"/>
              <w:rPr>
                <w:rFonts w:cs="Arial"/>
                <w:sz w:val="20"/>
                <w:lang w:eastAsia="hr-HR"/>
              </w:rPr>
            </w:pPr>
            <w:r w:rsidRPr="000063FC">
              <w:rPr>
                <w:rFonts w:cs="Arial"/>
                <w:sz w:val="20"/>
                <w:lang w:eastAsia="hr-HR"/>
              </w:rPr>
              <w:t>Ogrjevno drvo</w:t>
            </w:r>
          </w:p>
        </w:tc>
        <w:tc>
          <w:tcPr>
            <w:tcW w:w="1701"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t/TJ</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0,0</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0,300</w:t>
            </w:r>
          </w:p>
        </w:tc>
        <w:tc>
          <w:tcPr>
            <w:tcW w:w="1559" w:type="dxa"/>
            <w:noWrap/>
            <w:vAlign w:val="center"/>
          </w:tcPr>
          <w:p w:rsidR="00BC341E" w:rsidRPr="000063FC" w:rsidRDefault="00CB5246">
            <w:pPr>
              <w:spacing w:line="276" w:lineRule="auto"/>
              <w:jc w:val="center"/>
              <w:rPr>
                <w:rFonts w:cs="Arial"/>
                <w:sz w:val="20"/>
                <w:lang w:eastAsia="hr-HR"/>
              </w:rPr>
            </w:pPr>
            <w:r w:rsidRPr="000063FC">
              <w:rPr>
                <w:rFonts w:cs="Arial"/>
                <w:sz w:val="20"/>
                <w:lang w:eastAsia="hr-HR"/>
              </w:rPr>
              <w:t>0,004</w:t>
            </w:r>
          </w:p>
        </w:tc>
      </w:tr>
    </w:tbl>
    <w:p w:rsidR="00BC341E" w:rsidRPr="000063FC" w:rsidRDefault="00BC341E">
      <w:pPr>
        <w:spacing w:line="276" w:lineRule="auto"/>
      </w:pPr>
    </w:p>
    <w:p w:rsidR="00BC341E" w:rsidRPr="000063FC" w:rsidRDefault="00C60E02">
      <w:pPr>
        <w:spacing w:line="276" w:lineRule="auto"/>
        <w:rPr>
          <w:szCs w:val="22"/>
        </w:rPr>
      </w:pPr>
      <w:r w:rsidRPr="000063FC">
        <w:rPr>
          <w:szCs w:val="22"/>
        </w:rPr>
        <w:t>Za određivanje</w:t>
      </w:r>
      <w:r w:rsidR="007B0169" w:rsidRPr="000063FC">
        <w:rPr>
          <w:szCs w:val="22"/>
        </w:rPr>
        <w:t xml:space="preserve"> </w:t>
      </w:r>
      <w:r w:rsidR="008A5F5A" w:rsidRPr="000063FC">
        <w:rPr>
          <w:szCs w:val="22"/>
        </w:rPr>
        <w:t>ekvivalenta CO</w:t>
      </w:r>
      <w:r w:rsidR="008A5F5A" w:rsidRPr="000063FC">
        <w:rPr>
          <w:szCs w:val="22"/>
          <w:vertAlign w:val="subscript"/>
        </w:rPr>
        <w:t>2</w:t>
      </w:r>
      <w:r w:rsidR="007B0169" w:rsidRPr="000063FC">
        <w:rPr>
          <w:szCs w:val="22"/>
        </w:rPr>
        <w:t xml:space="preserve"> emisije</w:t>
      </w:r>
      <w:r w:rsidR="008A5F5A" w:rsidRPr="000063FC">
        <w:rPr>
          <w:szCs w:val="22"/>
        </w:rPr>
        <w:t xml:space="preserve"> (CO</w:t>
      </w:r>
      <w:r w:rsidR="008A5F5A" w:rsidRPr="000063FC">
        <w:rPr>
          <w:szCs w:val="22"/>
          <w:vertAlign w:val="subscript"/>
        </w:rPr>
        <w:t>2</w:t>
      </w:r>
      <w:r w:rsidR="008A5F5A" w:rsidRPr="000063FC">
        <w:rPr>
          <w:szCs w:val="22"/>
        </w:rPr>
        <w:t>-ekv)</w:t>
      </w:r>
      <w:r w:rsidR="007B0169" w:rsidRPr="000063FC">
        <w:rPr>
          <w:szCs w:val="22"/>
        </w:rPr>
        <w:t>, emisije CH</w:t>
      </w:r>
      <w:r w:rsidR="0095340E" w:rsidRPr="000063FC">
        <w:rPr>
          <w:szCs w:val="22"/>
          <w:vertAlign w:val="subscript"/>
        </w:rPr>
        <w:t>4</w:t>
      </w:r>
      <w:r w:rsidR="007B0169" w:rsidRPr="000063FC">
        <w:rPr>
          <w:szCs w:val="22"/>
        </w:rPr>
        <w:t xml:space="preserve"> i N</w:t>
      </w:r>
      <w:r w:rsidR="0095340E" w:rsidRPr="000063FC">
        <w:rPr>
          <w:szCs w:val="22"/>
          <w:vertAlign w:val="subscript"/>
        </w:rPr>
        <w:t>2</w:t>
      </w:r>
      <w:r w:rsidR="007B0169" w:rsidRPr="000063FC">
        <w:rPr>
          <w:szCs w:val="22"/>
        </w:rPr>
        <w:t xml:space="preserve">O </w:t>
      </w:r>
      <w:r w:rsidRPr="000063FC">
        <w:rPr>
          <w:szCs w:val="22"/>
        </w:rPr>
        <w:t xml:space="preserve">su pomnožene </w:t>
      </w:r>
      <w:r w:rsidR="007B0169" w:rsidRPr="000063FC">
        <w:rPr>
          <w:szCs w:val="22"/>
        </w:rPr>
        <w:t>definiran</w:t>
      </w:r>
      <w:r w:rsidRPr="000063FC">
        <w:rPr>
          <w:szCs w:val="22"/>
        </w:rPr>
        <w:t xml:space="preserve">im stakleničkim potencijalima, koji </w:t>
      </w:r>
      <w:r w:rsidR="007B0169" w:rsidRPr="000063FC">
        <w:rPr>
          <w:szCs w:val="22"/>
        </w:rPr>
        <w:t>za CO</w:t>
      </w:r>
      <w:r w:rsidR="0095340E" w:rsidRPr="000063FC">
        <w:rPr>
          <w:szCs w:val="22"/>
          <w:vertAlign w:val="subscript"/>
        </w:rPr>
        <w:t>2</w:t>
      </w:r>
      <w:r w:rsidR="007B0169" w:rsidRPr="000063FC">
        <w:rPr>
          <w:szCs w:val="22"/>
        </w:rPr>
        <w:t xml:space="preserve"> iznosi 1, za CH</w:t>
      </w:r>
      <w:r w:rsidR="0095340E" w:rsidRPr="000063FC">
        <w:rPr>
          <w:szCs w:val="22"/>
          <w:vertAlign w:val="subscript"/>
        </w:rPr>
        <w:t>4</w:t>
      </w:r>
      <w:r w:rsidR="007B0169" w:rsidRPr="000063FC">
        <w:rPr>
          <w:szCs w:val="22"/>
        </w:rPr>
        <w:t xml:space="preserve"> 21, a za N</w:t>
      </w:r>
      <w:r w:rsidR="0095340E" w:rsidRPr="000063FC">
        <w:rPr>
          <w:szCs w:val="22"/>
          <w:vertAlign w:val="subscript"/>
        </w:rPr>
        <w:t>2</w:t>
      </w:r>
      <w:r w:rsidR="007B0169" w:rsidRPr="000063FC">
        <w:rPr>
          <w:szCs w:val="22"/>
        </w:rPr>
        <w:t>O 310.</w:t>
      </w:r>
    </w:p>
    <w:p w:rsidR="006970AF" w:rsidRPr="000063FC" w:rsidRDefault="007A13B2">
      <w:pPr>
        <w:pStyle w:val="Heading3"/>
      </w:pPr>
      <w:bookmarkStart w:id="87" w:name="_Toc254010182"/>
      <w:r w:rsidRPr="000063FC">
        <w:lastRenderedPageBreak/>
        <w:t xml:space="preserve">COPERT </w:t>
      </w:r>
      <w:r w:rsidR="007B0169" w:rsidRPr="000063FC">
        <w:t>METODOLOGIJA</w:t>
      </w:r>
      <w:bookmarkEnd w:id="87"/>
    </w:p>
    <w:p w:rsidR="008A5F5A" w:rsidRPr="000063FC" w:rsidRDefault="008A5F5A">
      <w:pPr>
        <w:spacing w:line="276" w:lineRule="auto"/>
        <w:rPr>
          <w:szCs w:val="22"/>
        </w:rPr>
      </w:pPr>
      <w:r w:rsidRPr="000063FC">
        <w:rPr>
          <w:szCs w:val="22"/>
        </w:rPr>
        <w:t>Za proračun emisija</w:t>
      </w:r>
      <w:r w:rsidR="00EE1D7D" w:rsidRPr="000063FC">
        <w:rPr>
          <w:szCs w:val="22"/>
        </w:rPr>
        <w:t xml:space="preserve"> </w:t>
      </w:r>
      <w:r w:rsidRPr="000063FC">
        <w:rPr>
          <w:szCs w:val="22"/>
        </w:rPr>
        <w:t>CO</w:t>
      </w:r>
      <w:r w:rsidRPr="000063FC">
        <w:rPr>
          <w:szCs w:val="22"/>
          <w:vertAlign w:val="subscript"/>
        </w:rPr>
        <w:t>2</w:t>
      </w:r>
      <w:r w:rsidRPr="000063FC">
        <w:rPr>
          <w:szCs w:val="22"/>
        </w:rPr>
        <w:t xml:space="preserve"> </w:t>
      </w:r>
      <w:r w:rsidR="00EE1D7D" w:rsidRPr="000063FC">
        <w:rPr>
          <w:szCs w:val="22"/>
        </w:rPr>
        <w:t>uslijed izgaranja i ishlapljivanja gor</w:t>
      </w:r>
      <w:r w:rsidRPr="000063FC">
        <w:rPr>
          <w:szCs w:val="22"/>
        </w:rPr>
        <w:t>iva iz cestovnog prometa korišten j</w:t>
      </w:r>
      <w:r w:rsidR="00EE1D7D" w:rsidRPr="000063FC">
        <w:rPr>
          <w:szCs w:val="22"/>
        </w:rPr>
        <w:t xml:space="preserve">e programski paket COPERT III, razvijen od strane </w:t>
      </w:r>
      <w:r w:rsidRPr="000063FC">
        <w:rPr>
          <w:szCs w:val="22"/>
        </w:rPr>
        <w:t>Europske agencije za zaštitu okoliša (</w:t>
      </w:r>
      <w:r w:rsidR="00EE1D7D" w:rsidRPr="000063FC">
        <w:rPr>
          <w:szCs w:val="22"/>
        </w:rPr>
        <w:t>EEA</w:t>
      </w:r>
      <w:r w:rsidRPr="000063FC">
        <w:rPr>
          <w:szCs w:val="22"/>
        </w:rPr>
        <w:t xml:space="preserve"> - </w:t>
      </w:r>
      <w:r w:rsidR="00EE1D7D" w:rsidRPr="000063FC">
        <w:rPr>
          <w:szCs w:val="22"/>
        </w:rPr>
        <w:t xml:space="preserve">European Environmental Agency) u sklopu EMEP/CORINAIR metodologije. </w:t>
      </w:r>
    </w:p>
    <w:p w:rsidR="008A5F5A" w:rsidRPr="000063FC" w:rsidRDefault="008A5F5A">
      <w:pPr>
        <w:spacing w:line="276" w:lineRule="auto"/>
        <w:rPr>
          <w:szCs w:val="22"/>
        </w:rPr>
      </w:pPr>
    </w:p>
    <w:p w:rsidR="00BC341E" w:rsidRPr="000063FC" w:rsidRDefault="00EE1D7D">
      <w:pPr>
        <w:spacing w:line="276" w:lineRule="auto"/>
        <w:rPr>
          <w:szCs w:val="22"/>
        </w:rPr>
      </w:pPr>
      <w:r w:rsidRPr="000063FC">
        <w:rPr>
          <w:szCs w:val="22"/>
        </w:rPr>
        <w:t>Ukupna emisija (E</w:t>
      </w:r>
      <w:r w:rsidRPr="000063FC">
        <w:rPr>
          <w:szCs w:val="22"/>
          <w:vertAlign w:val="subscript"/>
        </w:rPr>
        <w:t>TOTAL</w:t>
      </w:r>
      <w:r w:rsidRPr="000063FC">
        <w:rPr>
          <w:szCs w:val="22"/>
        </w:rPr>
        <w:t>) izračunava se sumiranjem emisija iz tri različita izvora:</w:t>
      </w:r>
    </w:p>
    <w:p w:rsidR="008A5F5A" w:rsidRPr="000063FC" w:rsidRDefault="008A5F5A">
      <w:pPr>
        <w:spacing w:line="276" w:lineRule="auto"/>
        <w:ind w:left="1797" w:firstLine="363"/>
        <w:rPr>
          <w:i/>
          <w:szCs w:val="22"/>
        </w:rPr>
      </w:pPr>
    </w:p>
    <w:p w:rsidR="00BC341E" w:rsidRPr="000063FC" w:rsidRDefault="00EE1D7D">
      <w:pPr>
        <w:spacing w:line="276" w:lineRule="auto"/>
        <w:ind w:left="1797" w:firstLine="363"/>
        <w:rPr>
          <w:i/>
          <w:szCs w:val="22"/>
        </w:rPr>
      </w:pPr>
      <w:r w:rsidRPr="000063FC">
        <w:rPr>
          <w:i/>
          <w:szCs w:val="22"/>
        </w:rPr>
        <w:t>E</w:t>
      </w:r>
      <w:r w:rsidRPr="000063FC">
        <w:rPr>
          <w:i/>
          <w:szCs w:val="22"/>
          <w:vertAlign w:val="subscript"/>
        </w:rPr>
        <w:t>TOTAL</w:t>
      </w:r>
      <w:r w:rsidRPr="000063FC">
        <w:rPr>
          <w:i/>
          <w:szCs w:val="22"/>
        </w:rPr>
        <w:t>=E</w:t>
      </w:r>
      <w:r w:rsidRPr="000063FC">
        <w:rPr>
          <w:i/>
          <w:szCs w:val="22"/>
          <w:vertAlign w:val="subscript"/>
        </w:rPr>
        <w:t>HOT</w:t>
      </w:r>
      <w:r w:rsidRPr="000063FC">
        <w:rPr>
          <w:i/>
          <w:szCs w:val="22"/>
        </w:rPr>
        <w:t>+E</w:t>
      </w:r>
      <w:r w:rsidRPr="000063FC">
        <w:rPr>
          <w:i/>
          <w:szCs w:val="22"/>
          <w:vertAlign w:val="subscript"/>
        </w:rPr>
        <w:t>COLD</w:t>
      </w:r>
      <w:r w:rsidRPr="000063FC">
        <w:rPr>
          <w:i/>
          <w:szCs w:val="22"/>
        </w:rPr>
        <w:t>+E</w:t>
      </w:r>
      <w:r w:rsidRPr="000063FC">
        <w:rPr>
          <w:i/>
          <w:szCs w:val="22"/>
          <w:vertAlign w:val="subscript"/>
        </w:rPr>
        <w:t>EVAP</w:t>
      </w:r>
    </w:p>
    <w:p w:rsidR="00BC341E" w:rsidRPr="000063FC" w:rsidRDefault="00EE1D7D">
      <w:pPr>
        <w:spacing w:line="276" w:lineRule="auto"/>
        <w:rPr>
          <w:szCs w:val="22"/>
        </w:rPr>
      </w:pPr>
      <w:r w:rsidRPr="000063FC">
        <w:rPr>
          <w:szCs w:val="22"/>
        </w:rPr>
        <w:t xml:space="preserve">gdje je: </w:t>
      </w:r>
    </w:p>
    <w:p w:rsidR="00BC341E" w:rsidRPr="000063FC" w:rsidRDefault="00EE1D7D" w:rsidP="00C20113">
      <w:pPr>
        <w:numPr>
          <w:ilvl w:val="0"/>
          <w:numId w:val="10"/>
        </w:numPr>
        <w:tabs>
          <w:tab w:val="clear" w:pos="644"/>
          <w:tab w:val="clear" w:pos="720"/>
          <w:tab w:val="clear" w:pos="6912"/>
        </w:tabs>
        <w:spacing w:line="276" w:lineRule="auto"/>
        <w:ind w:left="714" w:hanging="357"/>
        <w:rPr>
          <w:szCs w:val="22"/>
        </w:rPr>
      </w:pPr>
      <w:r w:rsidRPr="000063FC">
        <w:rPr>
          <w:i/>
          <w:szCs w:val="22"/>
        </w:rPr>
        <w:t>E</w:t>
      </w:r>
      <w:r w:rsidRPr="000063FC">
        <w:rPr>
          <w:i/>
          <w:szCs w:val="22"/>
          <w:vertAlign w:val="subscript"/>
        </w:rPr>
        <w:t>TOTAL</w:t>
      </w:r>
      <w:r w:rsidRPr="000063FC">
        <w:rPr>
          <w:szCs w:val="22"/>
        </w:rPr>
        <w:tab/>
        <w:t>– ukupna emisija</w:t>
      </w:r>
    </w:p>
    <w:p w:rsidR="00BC341E" w:rsidRPr="000063FC" w:rsidRDefault="00EE1D7D" w:rsidP="00C20113">
      <w:pPr>
        <w:numPr>
          <w:ilvl w:val="0"/>
          <w:numId w:val="10"/>
        </w:numPr>
        <w:tabs>
          <w:tab w:val="clear" w:pos="644"/>
          <w:tab w:val="clear" w:pos="720"/>
          <w:tab w:val="clear" w:pos="6912"/>
        </w:tabs>
        <w:spacing w:line="276" w:lineRule="auto"/>
        <w:ind w:left="714" w:hanging="357"/>
        <w:rPr>
          <w:szCs w:val="22"/>
        </w:rPr>
      </w:pPr>
      <w:r w:rsidRPr="000063FC">
        <w:rPr>
          <w:i/>
          <w:szCs w:val="22"/>
        </w:rPr>
        <w:t>E</w:t>
      </w:r>
      <w:r w:rsidRPr="000063FC">
        <w:rPr>
          <w:i/>
          <w:szCs w:val="22"/>
          <w:vertAlign w:val="subscript"/>
        </w:rPr>
        <w:t>HOT</w:t>
      </w:r>
      <w:r w:rsidRPr="000063FC">
        <w:rPr>
          <w:szCs w:val="22"/>
        </w:rPr>
        <w:tab/>
        <w:t xml:space="preserve">– emisija tijekom stabilnog rada motora, tzv. emisija toplog motora </w:t>
      </w:r>
    </w:p>
    <w:p w:rsidR="00BC341E" w:rsidRPr="000063FC" w:rsidRDefault="00EE1D7D" w:rsidP="00C20113">
      <w:pPr>
        <w:numPr>
          <w:ilvl w:val="0"/>
          <w:numId w:val="10"/>
        </w:numPr>
        <w:tabs>
          <w:tab w:val="clear" w:pos="644"/>
          <w:tab w:val="clear" w:pos="720"/>
          <w:tab w:val="clear" w:pos="6912"/>
        </w:tabs>
        <w:spacing w:line="276" w:lineRule="auto"/>
        <w:ind w:left="714" w:hanging="357"/>
        <w:rPr>
          <w:szCs w:val="22"/>
        </w:rPr>
      </w:pPr>
      <w:r w:rsidRPr="000063FC">
        <w:rPr>
          <w:i/>
          <w:szCs w:val="22"/>
        </w:rPr>
        <w:t>E</w:t>
      </w:r>
      <w:r w:rsidRPr="000063FC">
        <w:rPr>
          <w:i/>
          <w:szCs w:val="22"/>
          <w:vertAlign w:val="subscript"/>
        </w:rPr>
        <w:t>COLD</w:t>
      </w:r>
      <w:r w:rsidRPr="000063FC">
        <w:rPr>
          <w:szCs w:val="22"/>
        </w:rPr>
        <w:tab/>
        <w:t xml:space="preserve">– emisija tijekom prijelazne faze zagrijavanja motora, tzv. emisija hladnog starta </w:t>
      </w:r>
    </w:p>
    <w:p w:rsidR="00BC341E" w:rsidRPr="000063FC" w:rsidRDefault="00EE1D7D" w:rsidP="00C20113">
      <w:pPr>
        <w:numPr>
          <w:ilvl w:val="0"/>
          <w:numId w:val="10"/>
        </w:numPr>
        <w:tabs>
          <w:tab w:val="clear" w:pos="644"/>
          <w:tab w:val="clear" w:pos="720"/>
          <w:tab w:val="clear" w:pos="6912"/>
        </w:tabs>
        <w:spacing w:line="276" w:lineRule="auto"/>
        <w:ind w:left="714" w:hanging="357"/>
        <w:rPr>
          <w:szCs w:val="22"/>
        </w:rPr>
      </w:pPr>
      <w:r w:rsidRPr="000063FC">
        <w:rPr>
          <w:i/>
          <w:szCs w:val="22"/>
        </w:rPr>
        <w:t>E</w:t>
      </w:r>
      <w:r w:rsidRPr="000063FC">
        <w:rPr>
          <w:i/>
          <w:szCs w:val="22"/>
          <w:vertAlign w:val="subscript"/>
        </w:rPr>
        <w:t>EVAP</w:t>
      </w:r>
      <w:r w:rsidRPr="000063FC">
        <w:rPr>
          <w:szCs w:val="22"/>
        </w:rPr>
        <w:tab/>
        <w:t xml:space="preserve">– emisija zbog ishlapljivanja goriva. </w:t>
      </w:r>
    </w:p>
    <w:p w:rsidR="00BC341E" w:rsidRPr="000063FC" w:rsidRDefault="00BC341E">
      <w:pPr>
        <w:spacing w:line="276" w:lineRule="auto"/>
        <w:rPr>
          <w:rFonts w:cs="Arial"/>
          <w:szCs w:val="22"/>
        </w:rPr>
      </w:pPr>
    </w:p>
    <w:p w:rsidR="00BC341E" w:rsidRPr="000063FC" w:rsidRDefault="00EE1D7D">
      <w:pPr>
        <w:spacing w:line="276" w:lineRule="auto"/>
        <w:rPr>
          <w:rFonts w:cs="Arial"/>
          <w:szCs w:val="22"/>
        </w:rPr>
      </w:pPr>
      <w:r w:rsidRPr="000063FC">
        <w:rPr>
          <w:rFonts w:cs="Arial"/>
          <w:szCs w:val="22"/>
        </w:rPr>
        <w:t>Uz to, ukupna emisija ovisi i o režimu vožnje (gradska (urbana) područja, izvangradska (ruralna) područja i autoput):</w:t>
      </w:r>
    </w:p>
    <w:p w:rsidR="00BC341E" w:rsidRPr="000063FC" w:rsidRDefault="00EE1D7D">
      <w:pPr>
        <w:spacing w:line="276" w:lineRule="auto"/>
        <w:ind w:left="1797" w:firstLine="363"/>
        <w:rPr>
          <w:i/>
          <w:szCs w:val="22"/>
        </w:rPr>
      </w:pPr>
      <w:r w:rsidRPr="000063FC">
        <w:rPr>
          <w:i/>
          <w:szCs w:val="22"/>
        </w:rPr>
        <w:t>E</w:t>
      </w:r>
      <w:r w:rsidRPr="000063FC">
        <w:rPr>
          <w:i/>
          <w:szCs w:val="22"/>
          <w:vertAlign w:val="subscript"/>
        </w:rPr>
        <w:t>TOTAL</w:t>
      </w:r>
      <w:r w:rsidRPr="000063FC">
        <w:rPr>
          <w:i/>
          <w:szCs w:val="22"/>
        </w:rPr>
        <w:t>=E</w:t>
      </w:r>
      <w:r w:rsidRPr="000063FC">
        <w:rPr>
          <w:i/>
          <w:szCs w:val="22"/>
          <w:vertAlign w:val="subscript"/>
        </w:rPr>
        <w:t>URBAN</w:t>
      </w:r>
      <w:r w:rsidRPr="000063FC">
        <w:rPr>
          <w:i/>
          <w:szCs w:val="22"/>
        </w:rPr>
        <w:t>+E</w:t>
      </w:r>
      <w:r w:rsidRPr="000063FC">
        <w:rPr>
          <w:i/>
          <w:szCs w:val="22"/>
          <w:vertAlign w:val="subscript"/>
        </w:rPr>
        <w:t>RURAL</w:t>
      </w:r>
      <w:r w:rsidRPr="000063FC">
        <w:rPr>
          <w:i/>
          <w:szCs w:val="22"/>
        </w:rPr>
        <w:t>+E</w:t>
      </w:r>
      <w:r w:rsidRPr="000063FC">
        <w:rPr>
          <w:i/>
          <w:szCs w:val="22"/>
          <w:vertAlign w:val="subscript"/>
        </w:rPr>
        <w:t>HIGHWAY</w:t>
      </w:r>
    </w:p>
    <w:p w:rsidR="00BC341E" w:rsidRPr="000063FC" w:rsidRDefault="00EE1D7D">
      <w:pPr>
        <w:spacing w:line="276" w:lineRule="auto"/>
        <w:rPr>
          <w:szCs w:val="22"/>
        </w:rPr>
      </w:pPr>
      <w:r w:rsidRPr="000063FC">
        <w:rPr>
          <w:szCs w:val="22"/>
        </w:rPr>
        <w:t xml:space="preserve">gdje su: </w:t>
      </w:r>
    </w:p>
    <w:p w:rsidR="00BC341E" w:rsidRPr="000063FC" w:rsidRDefault="00EE1D7D" w:rsidP="00C20113">
      <w:pPr>
        <w:numPr>
          <w:ilvl w:val="0"/>
          <w:numId w:val="10"/>
        </w:numPr>
        <w:tabs>
          <w:tab w:val="clear" w:pos="644"/>
          <w:tab w:val="clear" w:pos="720"/>
          <w:tab w:val="clear" w:pos="6912"/>
        </w:tabs>
        <w:spacing w:line="276" w:lineRule="auto"/>
        <w:ind w:left="714" w:hanging="357"/>
        <w:rPr>
          <w:szCs w:val="22"/>
        </w:rPr>
      </w:pPr>
      <w:r w:rsidRPr="000063FC">
        <w:rPr>
          <w:szCs w:val="22"/>
        </w:rPr>
        <w:t>E</w:t>
      </w:r>
      <w:r w:rsidRPr="000063FC">
        <w:rPr>
          <w:szCs w:val="22"/>
          <w:vertAlign w:val="subscript"/>
        </w:rPr>
        <w:t>URBAN</w:t>
      </w:r>
      <w:r w:rsidRPr="000063FC">
        <w:rPr>
          <w:szCs w:val="22"/>
        </w:rPr>
        <w:t>,E</w:t>
      </w:r>
      <w:r w:rsidRPr="000063FC">
        <w:rPr>
          <w:szCs w:val="22"/>
          <w:vertAlign w:val="subscript"/>
        </w:rPr>
        <w:t>RURAL</w:t>
      </w:r>
      <w:r w:rsidRPr="000063FC">
        <w:rPr>
          <w:szCs w:val="22"/>
        </w:rPr>
        <w:t>,E</w:t>
      </w:r>
      <w:r w:rsidRPr="000063FC">
        <w:rPr>
          <w:szCs w:val="22"/>
          <w:vertAlign w:val="subscript"/>
        </w:rPr>
        <w:t>HIGHWAY</w:t>
      </w:r>
      <w:r w:rsidRPr="000063FC">
        <w:rPr>
          <w:szCs w:val="22"/>
        </w:rPr>
        <w:t xml:space="preserve"> – emisije za različite režime vožnje.</w:t>
      </w:r>
    </w:p>
    <w:p w:rsidR="00BC341E" w:rsidRPr="000063FC" w:rsidRDefault="00BC341E">
      <w:pPr>
        <w:spacing w:line="276" w:lineRule="auto"/>
        <w:rPr>
          <w:rFonts w:cs="Arial"/>
          <w:szCs w:val="22"/>
        </w:rPr>
      </w:pPr>
    </w:p>
    <w:p w:rsidR="00BC341E" w:rsidRPr="000063FC" w:rsidRDefault="008A5F5A">
      <w:pPr>
        <w:spacing w:line="276" w:lineRule="auto"/>
        <w:rPr>
          <w:rFonts w:cs="Arial"/>
          <w:szCs w:val="22"/>
        </w:rPr>
      </w:pPr>
      <w:r w:rsidRPr="000063FC">
        <w:rPr>
          <w:rFonts w:cs="Arial"/>
          <w:szCs w:val="22"/>
        </w:rPr>
        <w:t>Proračun emisija CO</w:t>
      </w:r>
      <w:r w:rsidRPr="000063FC">
        <w:rPr>
          <w:rFonts w:cs="Arial"/>
          <w:szCs w:val="22"/>
          <w:vertAlign w:val="subscript"/>
        </w:rPr>
        <w:t>2</w:t>
      </w:r>
      <w:r w:rsidR="00EE1D7D" w:rsidRPr="000063FC">
        <w:rPr>
          <w:rFonts w:cs="Arial"/>
          <w:szCs w:val="22"/>
        </w:rPr>
        <w:t xml:space="preserve"> u osnovi se temelji </w:t>
      </w:r>
      <w:r w:rsidR="00BE4472" w:rsidRPr="000063FC">
        <w:rPr>
          <w:rFonts w:cs="Arial"/>
          <w:szCs w:val="22"/>
        </w:rPr>
        <w:t>na slijedećim ulaznim podacima (slika 2.1):</w:t>
      </w:r>
    </w:p>
    <w:p w:rsidR="00BC341E" w:rsidRPr="000063FC" w:rsidRDefault="00EE1D7D" w:rsidP="00C20113">
      <w:pPr>
        <w:numPr>
          <w:ilvl w:val="0"/>
          <w:numId w:val="3"/>
        </w:numPr>
        <w:tabs>
          <w:tab w:val="clear" w:pos="644"/>
          <w:tab w:val="clear" w:pos="720"/>
          <w:tab w:val="clear" w:pos="6912"/>
        </w:tabs>
        <w:spacing w:line="276" w:lineRule="auto"/>
        <w:ind w:left="714" w:hanging="357"/>
        <w:jc w:val="left"/>
        <w:rPr>
          <w:snapToGrid w:val="0"/>
          <w:color w:val="000000"/>
          <w:szCs w:val="22"/>
        </w:rPr>
      </w:pPr>
      <w:r w:rsidRPr="000063FC">
        <w:rPr>
          <w:b/>
          <w:snapToGrid w:val="0"/>
          <w:color w:val="000000"/>
          <w:szCs w:val="22"/>
        </w:rPr>
        <w:t>podaci o vozilima</w:t>
      </w:r>
      <w:r w:rsidR="008A5F5A" w:rsidRPr="000063FC">
        <w:rPr>
          <w:b/>
          <w:snapToGrid w:val="0"/>
          <w:color w:val="000000"/>
          <w:szCs w:val="22"/>
        </w:rPr>
        <w:t>:</w:t>
      </w:r>
    </w:p>
    <w:p w:rsidR="00BC341E" w:rsidRPr="000063FC" w:rsidRDefault="00EE1D7D" w:rsidP="00C20113">
      <w:pPr>
        <w:numPr>
          <w:ilvl w:val="0"/>
          <w:numId w:val="4"/>
        </w:numPr>
        <w:tabs>
          <w:tab w:val="clear" w:pos="720"/>
          <w:tab w:val="clear" w:pos="6912"/>
        </w:tabs>
        <w:spacing w:line="276" w:lineRule="auto"/>
        <w:ind w:left="1134" w:hanging="425"/>
        <w:jc w:val="left"/>
        <w:rPr>
          <w:snapToGrid w:val="0"/>
          <w:color w:val="000000"/>
          <w:szCs w:val="22"/>
        </w:rPr>
      </w:pPr>
      <w:r w:rsidRPr="000063FC">
        <w:rPr>
          <w:snapToGrid w:val="0"/>
          <w:color w:val="000000"/>
          <w:szCs w:val="22"/>
        </w:rPr>
        <w:t>broj vozila  - raspodjela po kategorijama i klasama vozila</w:t>
      </w:r>
      <w:r w:rsidR="008A5F5A" w:rsidRPr="000063FC">
        <w:rPr>
          <w:snapToGrid w:val="0"/>
          <w:color w:val="000000"/>
          <w:szCs w:val="22"/>
        </w:rPr>
        <w:t>;</w:t>
      </w:r>
      <w:r w:rsidRPr="000063FC">
        <w:rPr>
          <w:snapToGrid w:val="0"/>
          <w:color w:val="000000"/>
          <w:szCs w:val="22"/>
        </w:rPr>
        <w:t xml:space="preserve"> </w:t>
      </w:r>
    </w:p>
    <w:p w:rsidR="00BC341E" w:rsidRPr="000063FC" w:rsidRDefault="00FA4B2E" w:rsidP="00C20113">
      <w:pPr>
        <w:numPr>
          <w:ilvl w:val="0"/>
          <w:numId w:val="4"/>
        </w:numPr>
        <w:tabs>
          <w:tab w:val="clear" w:pos="720"/>
          <w:tab w:val="clear" w:pos="6912"/>
        </w:tabs>
        <w:spacing w:line="276" w:lineRule="auto"/>
        <w:ind w:left="1071" w:hanging="357"/>
        <w:jc w:val="left"/>
        <w:rPr>
          <w:snapToGrid w:val="0"/>
          <w:color w:val="000000"/>
          <w:szCs w:val="22"/>
        </w:rPr>
      </w:pPr>
      <w:r>
        <w:rPr>
          <w:snapToGrid w:val="0"/>
          <w:color w:val="000000"/>
          <w:szCs w:val="22"/>
        </w:rPr>
        <w:t xml:space="preserve">  </w:t>
      </w:r>
      <w:r w:rsidR="008A5F5A" w:rsidRPr="000063FC">
        <w:rPr>
          <w:snapToGrid w:val="0"/>
          <w:color w:val="000000"/>
          <w:szCs w:val="22"/>
        </w:rPr>
        <w:t>prijeđeni put (</w:t>
      </w:r>
      <w:r w:rsidR="00EE1D7D" w:rsidRPr="000063FC">
        <w:rPr>
          <w:snapToGrid w:val="0"/>
          <w:color w:val="000000"/>
          <w:szCs w:val="22"/>
        </w:rPr>
        <w:t>godišnje</w:t>
      </w:r>
      <w:r w:rsidR="008A5F5A" w:rsidRPr="000063FC">
        <w:rPr>
          <w:snapToGrid w:val="0"/>
          <w:color w:val="000000"/>
          <w:szCs w:val="22"/>
        </w:rPr>
        <w:t>)</w:t>
      </w:r>
      <w:r w:rsidR="00EE1D7D" w:rsidRPr="000063FC">
        <w:rPr>
          <w:snapToGrid w:val="0"/>
          <w:color w:val="000000"/>
          <w:szCs w:val="22"/>
        </w:rPr>
        <w:t xml:space="preserve"> - po kategorijama vozila</w:t>
      </w:r>
      <w:r w:rsidR="008A5F5A" w:rsidRPr="000063FC">
        <w:rPr>
          <w:snapToGrid w:val="0"/>
          <w:color w:val="000000"/>
          <w:szCs w:val="22"/>
        </w:rPr>
        <w:t>;</w:t>
      </w:r>
    </w:p>
    <w:p w:rsidR="00BC341E" w:rsidRPr="000063FC" w:rsidRDefault="00EE1D7D" w:rsidP="00C20113">
      <w:pPr>
        <w:numPr>
          <w:ilvl w:val="0"/>
          <w:numId w:val="4"/>
        </w:numPr>
        <w:tabs>
          <w:tab w:val="clear" w:pos="720"/>
          <w:tab w:val="clear" w:pos="6912"/>
        </w:tabs>
        <w:spacing w:line="276" w:lineRule="auto"/>
        <w:ind w:left="1134" w:hanging="425"/>
        <w:jc w:val="left"/>
        <w:rPr>
          <w:snapToGrid w:val="0"/>
          <w:color w:val="000000"/>
          <w:szCs w:val="22"/>
        </w:rPr>
      </w:pPr>
      <w:r w:rsidRPr="000063FC">
        <w:rPr>
          <w:snapToGrid w:val="0"/>
          <w:color w:val="000000"/>
          <w:szCs w:val="22"/>
        </w:rPr>
        <w:t>raspodjela prijeđenog puta - po kategorijama vozila - urbana područja, ruralna područja, autoput</w:t>
      </w:r>
      <w:r w:rsidR="008A5F5A" w:rsidRPr="000063FC">
        <w:rPr>
          <w:snapToGrid w:val="0"/>
          <w:color w:val="000000"/>
          <w:szCs w:val="22"/>
        </w:rPr>
        <w:t>;</w:t>
      </w:r>
    </w:p>
    <w:p w:rsidR="00BC341E" w:rsidRPr="000063FC" w:rsidRDefault="00EE1D7D" w:rsidP="00C20113">
      <w:pPr>
        <w:numPr>
          <w:ilvl w:val="0"/>
          <w:numId w:val="7"/>
        </w:numPr>
        <w:tabs>
          <w:tab w:val="clear" w:pos="720"/>
          <w:tab w:val="clear" w:pos="6912"/>
        </w:tabs>
        <w:spacing w:line="276" w:lineRule="auto"/>
        <w:jc w:val="left"/>
        <w:rPr>
          <w:b/>
          <w:snapToGrid w:val="0"/>
          <w:color w:val="000000"/>
          <w:szCs w:val="22"/>
        </w:rPr>
      </w:pPr>
      <w:r w:rsidRPr="000063FC">
        <w:rPr>
          <w:b/>
          <w:snapToGrid w:val="0"/>
          <w:color w:val="000000"/>
          <w:szCs w:val="22"/>
        </w:rPr>
        <w:t>uvjeti vožnje</w:t>
      </w:r>
      <w:r w:rsidR="008A5F5A" w:rsidRPr="000063FC">
        <w:rPr>
          <w:b/>
          <w:snapToGrid w:val="0"/>
          <w:color w:val="000000"/>
          <w:szCs w:val="22"/>
        </w:rPr>
        <w:t>:</w:t>
      </w:r>
    </w:p>
    <w:p w:rsidR="00BC341E" w:rsidRPr="000063FC" w:rsidRDefault="00EE1D7D" w:rsidP="00C20113">
      <w:pPr>
        <w:numPr>
          <w:ilvl w:val="0"/>
          <w:numId w:val="4"/>
        </w:numPr>
        <w:tabs>
          <w:tab w:val="clear" w:pos="720"/>
          <w:tab w:val="clear" w:pos="6912"/>
        </w:tabs>
        <w:spacing w:line="276" w:lineRule="auto"/>
        <w:ind w:left="1071" w:hanging="357"/>
        <w:jc w:val="left"/>
        <w:rPr>
          <w:snapToGrid w:val="0"/>
          <w:color w:val="000000"/>
          <w:szCs w:val="22"/>
        </w:rPr>
      </w:pPr>
      <w:r w:rsidRPr="000063FC">
        <w:rPr>
          <w:snapToGrid w:val="0"/>
          <w:color w:val="000000"/>
          <w:szCs w:val="22"/>
        </w:rPr>
        <w:t>prosječna brzina - po kategorijama vozila- urbana područja, ruralna područja, autoput</w:t>
      </w:r>
    </w:p>
    <w:p w:rsidR="00BC341E" w:rsidRPr="000063FC" w:rsidRDefault="00EE1D7D" w:rsidP="00C20113">
      <w:pPr>
        <w:numPr>
          <w:ilvl w:val="0"/>
          <w:numId w:val="5"/>
        </w:numPr>
        <w:tabs>
          <w:tab w:val="clear" w:pos="644"/>
          <w:tab w:val="clear" w:pos="720"/>
          <w:tab w:val="clear" w:pos="6912"/>
        </w:tabs>
        <w:spacing w:line="276" w:lineRule="auto"/>
        <w:ind w:left="714" w:hanging="357"/>
        <w:jc w:val="left"/>
        <w:rPr>
          <w:b/>
          <w:snapToGrid w:val="0"/>
          <w:color w:val="000000"/>
          <w:szCs w:val="22"/>
        </w:rPr>
      </w:pPr>
      <w:r w:rsidRPr="000063FC">
        <w:rPr>
          <w:b/>
          <w:snapToGrid w:val="0"/>
          <w:color w:val="000000"/>
          <w:szCs w:val="22"/>
        </w:rPr>
        <w:t>podaci o gorivu</w:t>
      </w:r>
      <w:r w:rsidR="008A5F5A" w:rsidRPr="000063FC">
        <w:rPr>
          <w:b/>
          <w:snapToGrid w:val="0"/>
          <w:color w:val="000000"/>
          <w:szCs w:val="22"/>
        </w:rPr>
        <w:t>:</w:t>
      </w:r>
    </w:p>
    <w:p w:rsidR="00BC341E" w:rsidRPr="000063FC" w:rsidRDefault="00EE1D7D" w:rsidP="00C20113">
      <w:pPr>
        <w:numPr>
          <w:ilvl w:val="0"/>
          <w:numId w:val="6"/>
        </w:numPr>
        <w:tabs>
          <w:tab w:val="clear" w:pos="720"/>
          <w:tab w:val="clear" w:pos="6912"/>
        </w:tabs>
        <w:spacing w:line="276" w:lineRule="auto"/>
        <w:ind w:left="1071" w:hanging="357"/>
        <w:jc w:val="left"/>
        <w:rPr>
          <w:snapToGrid w:val="0"/>
          <w:color w:val="000000"/>
          <w:szCs w:val="22"/>
        </w:rPr>
      </w:pPr>
      <w:r w:rsidRPr="000063FC">
        <w:rPr>
          <w:snapToGrid w:val="0"/>
          <w:color w:val="000000"/>
          <w:szCs w:val="22"/>
        </w:rPr>
        <w:t>potrošnja goriva</w:t>
      </w:r>
      <w:r w:rsidR="008A5F5A" w:rsidRPr="000063FC">
        <w:rPr>
          <w:snapToGrid w:val="0"/>
          <w:color w:val="000000"/>
          <w:szCs w:val="22"/>
        </w:rPr>
        <w:t>;</w:t>
      </w:r>
      <w:r w:rsidRPr="000063FC">
        <w:rPr>
          <w:snapToGrid w:val="0"/>
          <w:color w:val="000000"/>
          <w:szCs w:val="22"/>
        </w:rPr>
        <w:t xml:space="preserve"> </w:t>
      </w:r>
    </w:p>
    <w:p w:rsidR="00BC341E" w:rsidRPr="000063FC" w:rsidRDefault="00EE1D7D" w:rsidP="00C20113">
      <w:pPr>
        <w:numPr>
          <w:ilvl w:val="0"/>
          <w:numId w:val="6"/>
        </w:numPr>
        <w:tabs>
          <w:tab w:val="clear" w:pos="720"/>
          <w:tab w:val="clear" w:pos="6912"/>
        </w:tabs>
        <w:spacing w:line="276" w:lineRule="auto"/>
        <w:ind w:left="1071" w:hanging="357"/>
        <w:jc w:val="left"/>
        <w:rPr>
          <w:snapToGrid w:val="0"/>
          <w:color w:val="000000"/>
          <w:szCs w:val="22"/>
        </w:rPr>
      </w:pPr>
      <w:r w:rsidRPr="000063FC">
        <w:rPr>
          <w:snapToGrid w:val="0"/>
          <w:color w:val="000000"/>
          <w:szCs w:val="22"/>
        </w:rPr>
        <w:t>sadržaj sumpora u gorivu</w:t>
      </w:r>
      <w:r w:rsidR="008A5F5A" w:rsidRPr="000063FC">
        <w:rPr>
          <w:snapToGrid w:val="0"/>
          <w:color w:val="000000"/>
          <w:szCs w:val="22"/>
        </w:rPr>
        <w:t>;</w:t>
      </w:r>
    </w:p>
    <w:p w:rsidR="00BC341E" w:rsidRPr="000063FC" w:rsidRDefault="00EE1D7D" w:rsidP="00C20113">
      <w:pPr>
        <w:numPr>
          <w:ilvl w:val="0"/>
          <w:numId w:val="6"/>
        </w:numPr>
        <w:tabs>
          <w:tab w:val="clear" w:pos="720"/>
          <w:tab w:val="clear" w:pos="6912"/>
        </w:tabs>
        <w:spacing w:line="276" w:lineRule="auto"/>
        <w:ind w:left="1071" w:hanging="357"/>
        <w:jc w:val="left"/>
        <w:rPr>
          <w:snapToGrid w:val="0"/>
          <w:color w:val="000000"/>
          <w:szCs w:val="22"/>
        </w:rPr>
      </w:pPr>
      <w:r w:rsidRPr="000063FC">
        <w:rPr>
          <w:snapToGrid w:val="0"/>
          <w:color w:val="000000"/>
          <w:szCs w:val="22"/>
        </w:rPr>
        <w:t>sadržaj olova u gorivu</w:t>
      </w:r>
      <w:r w:rsidR="008A5F5A" w:rsidRPr="000063FC">
        <w:rPr>
          <w:snapToGrid w:val="0"/>
          <w:color w:val="000000"/>
          <w:szCs w:val="22"/>
        </w:rPr>
        <w:t>;</w:t>
      </w:r>
      <w:r w:rsidRPr="000063FC">
        <w:rPr>
          <w:snapToGrid w:val="0"/>
          <w:color w:val="000000"/>
          <w:szCs w:val="22"/>
        </w:rPr>
        <w:t xml:space="preserve"> </w:t>
      </w:r>
    </w:p>
    <w:p w:rsidR="00BC341E" w:rsidRPr="000063FC" w:rsidRDefault="00EE1D7D" w:rsidP="00C20113">
      <w:pPr>
        <w:numPr>
          <w:ilvl w:val="1"/>
          <w:numId w:val="6"/>
        </w:numPr>
        <w:tabs>
          <w:tab w:val="clear" w:pos="720"/>
          <w:tab w:val="clear" w:pos="1364"/>
          <w:tab w:val="clear" w:pos="6912"/>
        </w:tabs>
        <w:spacing w:line="276" w:lineRule="auto"/>
        <w:ind w:left="714" w:hanging="357"/>
        <w:rPr>
          <w:rFonts w:cs="Arial"/>
          <w:b/>
          <w:szCs w:val="22"/>
        </w:rPr>
      </w:pPr>
      <w:r w:rsidRPr="000063FC">
        <w:rPr>
          <w:rFonts w:cs="Arial"/>
          <w:b/>
          <w:szCs w:val="22"/>
        </w:rPr>
        <w:t>ostali podaci</w:t>
      </w:r>
      <w:r w:rsidR="008A5F5A" w:rsidRPr="000063FC">
        <w:rPr>
          <w:rFonts w:cs="Arial"/>
          <w:b/>
          <w:szCs w:val="22"/>
        </w:rPr>
        <w:t>:</w:t>
      </w:r>
    </w:p>
    <w:p w:rsidR="00BC341E" w:rsidRPr="000063FC" w:rsidRDefault="008A5F5A" w:rsidP="00C20113">
      <w:pPr>
        <w:numPr>
          <w:ilvl w:val="0"/>
          <w:numId w:val="8"/>
        </w:numPr>
        <w:tabs>
          <w:tab w:val="clear" w:pos="720"/>
          <w:tab w:val="clear" w:pos="6912"/>
        </w:tabs>
        <w:spacing w:line="276" w:lineRule="auto"/>
        <w:ind w:left="1071" w:hanging="357"/>
        <w:jc w:val="left"/>
        <w:rPr>
          <w:snapToGrid w:val="0"/>
          <w:color w:val="000000"/>
          <w:szCs w:val="22"/>
        </w:rPr>
      </w:pPr>
      <w:r w:rsidRPr="000063FC">
        <w:rPr>
          <w:snapToGrid w:val="0"/>
          <w:color w:val="000000"/>
          <w:szCs w:val="22"/>
        </w:rPr>
        <w:t>podaci o temperaturi - minimalna</w:t>
      </w:r>
      <w:r w:rsidR="00EE1D7D" w:rsidRPr="000063FC">
        <w:rPr>
          <w:snapToGrid w:val="0"/>
          <w:color w:val="000000"/>
          <w:szCs w:val="22"/>
        </w:rPr>
        <w:t xml:space="preserve"> </w:t>
      </w:r>
      <w:r w:rsidRPr="000063FC">
        <w:rPr>
          <w:snapToGrid w:val="0"/>
          <w:color w:val="000000"/>
          <w:szCs w:val="22"/>
        </w:rPr>
        <w:t xml:space="preserve">i maksimalna </w:t>
      </w:r>
      <w:r w:rsidR="00EE1D7D" w:rsidRPr="000063FC">
        <w:rPr>
          <w:snapToGrid w:val="0"/>
          <w:color w:val="000000"/>
          <w:szCs w:val="22"/>
        </w:rPr>
        <w:t>mjes</w:t>
      </w:r>
      <w:r w:rsidRPr="000063FC">
        <w:rPr>
          <w:snapToGrid w:val="0"/>
          <w:color w:val="000000"/>
          <w:szCs w:val="22"/>
        </w:rPr>
        <w:t>ečna temperatura;</w:t>
      </w:r>
    </w:p>
    <w:p w:rsidR="00BC341E" w:rsidRPr="000063FC" w:rsidRDefault="00EE1D7D" w:rsidP="00C20113">
      <w:pPr>
        <w:numPr>
          <w:ilvl w:val="0"/>
          <w:numId w:val="8"/>
        </w:numPr>
        <w:tabs>
          <w:tab w:val="clear" w:pos="720"/>
          <w:tab w:val="clear" w:pos="6912"/>
        </w:tabs>
        <w:spacing w:line="276" w:lineRule="auto"/>
        <w:ind w:left="1071" w:hanging="357"/>
        <w:jc w:val="left"/>
        <w:rPr>
          <w:snapToGrid w:val="0"/>
          <w:color w:val="000000"/>
          <w:szCs w:val="22"/>
        </w:rPr>
      </w:pPr>
      <w:r w:rsidRPr="000063FC">
        <w:rPr>
          <w:snapToGrid w:val="0"/>
          <w:color w:val="000000"/>
          <w:szCs w:val="22"/>
        </w:rPr>
        <w:t>tlak pare prema Reid-u</w:t>
      </w:r>
      <w:r w:rsidR="008A5F5A" w:rsidRPr="000063FC">
        <w:rPr>
          <w:snapToGrid w:val="0"/>
          <w:color w:val="000000"/>
          <w:szCs w:val="22"/>
        </w:rPr>
        <w:t>;</w:t>
      </w:r>
    </w:p>
    <w:p w:rsidR="00BC341E" w:rsidRPr="000063FC" w:rsidRDefault="00EE1D7D" w:rsidP="00C20113">
      <w:pPr>
        <w:numPr>
          <w:ilvl w:val="0"/>
          <w:numId w:val="8"/>
        </w:numPr>
        <w:tabs>
          <w:tab w:val="clear" w:pos="720"/>
          <w:tab w:val="clear" w:pos="6912"/>
        </w:tabs>
        <w:spacing w:line="276" w:lineRule="auto"/>
        <w:ind w:left="1071" w:hanging="357"/>
        <w:jc w:val="left"/>
        <w:rPr>
          <w:szCs w:val="22"/>
        </w:rPr>
      </w:pPr>
      <w:r w:rsidRPr="000063FC">
        <w:rPr>
          <w:snapToGrid w:val="0"/>
          <w:color w:val="000000"/>
          <w:szCs w:val="22"/>
        </w:rPr>
        <w:t xml:space="preserve">prosječna dužina puta </w:t>
      </w:r>
      <w:r w:rsidR="008A5F5A" w:rsidRPr="000063FC">
        <w:rPr>
          <w:snapToGrid w:val="0"/>
          <w:color w:val="000000"/>
          <w:szCs w:val="22"/>
        </w:rPr>
        <w:t>–</w:t>
      </w:r>
      <w:r w:rsidRPr="000063FC">
        <w:rPr>
          <w:snapToGrid w:val="0"/>
          <w:color w:val="000000"/>
          <w:szCs w:val="22"/>
        </w:rPr>
        <w:t xml:space="preserve"> ltrip</w:t>
      </w:r>
      <w:r w:rsidR="008A5F5A" w:rsidRPr="000063FC">
        <w:rPr>
          <w:snapToGrid w:val="0"/>
          <w:color w:val="000000"/>
          <w:szCs w:val="22"/>
        </w:rPr>
        <w:t>;</w:t>
      </w:r>
      <w:r w:rsidRPr="000063FC">
        <w:rPr>
          <w:snapToGrid w:val="0"/>
          <w:color w:val="000000"/>
          <w:szCs w:val="22"/>
        </w:rPr>
        <w:t xml:space="preserve"> </w:t>
      </w:r>
    </w:p>
    <w:p w:rsidR="00BC341E" w:rsidRPr="000063FC" w:rsidRDefault="00EE1D7D" w:rsidP="00C20113">
      <w:pPr>
        <w:numPr>
          <w:ilvl w:val="0"/>
          <w:numId w:val="8"/>
        </w:numPr>
        <w:tabs>
          <w:tab w:val="clear" w:pos="720"/>
          <w:tab w:val="clear" w:pos="6912"/>
        </w:tabs>
        <w:spacing w:line="276" w:lineRule="auto"/>
        <w:ind w:left="1071" w:hanging="357"/>
        <w:jc w:val="left"/>
        <w:rPr>
          <w:snapToGrid w:val="0"/>
          <w:color w:val="000000"/>
          <w:szCs w:val="22"/>
        </w:rPr>
      </w:pPr>
      <w:r w:rsidRPr="000063FC">
        <w:rPr>
          <w:snapToGrid w:val="0"/>
          <w:color w:val="000000"/>
          <w:szCs w:val="22"/>
        </w:rPr>
        <w:t>ß vrijednost</w:t>
      </w:r>
      <w:r w:rsidR="008A5F5A" w:rsidRPr="000063FC">
        <w:rPr>
          <w:snapToGrid w:val="0"/>
          <w:color w:val="000000"/>
          <w:szCs w:val="22"/>
        </w:rPr>
        <w:t>.</w:t>
      </w:r>
    </w:p>
    <w:p w:rsidR="00BC341E" w:rsidRPr="000063FC" w:rsidRDefault="00EE1D7D" w:rsidP="00C20113">
      <w:pPr>
        <w:numPr>
          <w:ilvl w:val="0"/>
          <w:numId w:val="9"/>
        </w:numPr>
        <w:tabs>
          <w:tab w:val="clear" w:pos="644"/>
          <w:tab w:val="clear" w:pos="720"/>
          <w:tab w:val="clear" w:pos="6912"/>
        </w:tabs>
        <w:spacing w:line="276" w:lineRule="auto"/>
        <w:ind w:left="714" w:hanging="357"/>
        <w:rPr>
          <w:rFonts w:cs="Arial"/>
          <w:b/>
          <w:szCs w:val="22"/>
        </w:rPr>
      </w:pPr>
      <w:r w:rsidRPr="000063FC">
        <w:rPr>
          <w:rFonts w:cs="Arial"/>
          <w:b/>
          <w:szCs w:val="22"/>
        </w:rPr>
        <w:t>emisijski faktori.</w:t>
      </w:r>
    </w:p>
    <w:p w:rsidR="00BC341E" w:rsidRPr="000063FC" w:rsidRDefault="00EE1D7D">
      <w:pPr>
        <w:spacing w:line="276" w:lineRule="auto"/>
        <w:rPr>
          <w:i/>
          <w:szCs w:val="22"/>
        </w:rPr>
      </w:pPr>
      <w:r w:rsidRPr="000063FC">
        <w:rPr>
          <w:noProof/>
          <w:szCs w:val="22"/>
          <w:lang w:eastAsia="hr-HR"/>
        </w:rPr>
        <w:lastRenderedPageBreak/>
        <w:drawing>
          <wp:anchor distT="0" distB="0" distL="114300" distR="114300" simplePos="0" relativeHeight="251661824" behindDoc="0" locked="0" layoutInCell="1" allowOverlap="1">
            <wp:simplePos x="0" y="0"/>
            <wp:positionH relativeFrom="column">
              <wp:posOffset>243205</wp:posOffset>
            </wp:positionH>
            <wp:positionV relativeFrom="paragraph">
              <wp:posOffset>243840</wp:posOffset>
            </wp:positionV>
            <wp:extent cx="5544820" cy="5142230"/>
            <wp:effectExtent l="0" t="0" r="0" b="0"/>
            <wp:wrapTopAndBottom/>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5544820" cy="5142230"/>
                    </a:xfrm>
                    <a:prstGeom prst="rect">
                      <a:avLst/>
                    </a:prstGeom>
                    <a:noFill/>
                  </pic:spPr>
                </pic:pic>
              </a:graphicData>
            </a:graphic>
          </wp:anchor>
        </w:drawing>
      </w:r>
    </w:p>
    <w:p w:rsidR="00BC341E" w:rsidRPr="000063FC" w:rsidRDefault="007B0169">
      <w:pPr>
        <w:pStyle w:val="Heading7"/>
      </w:pPr>
      <w:bookmarkStart w:id="88" w:name="_Toc252448345"/>
      <w:bookmarkStart w:id="89" w:name="_Toc254010284"/>
      <w:bookmarkStart w:id="90" w:name="_Toc251161789"/>
      <w:r w:rsidRPr="000063FC">
        <w:t xml:space="preserve">Slika </w:t>
      </w:r>
      <w:r w:rsidR="00263443">
        <w:fldChar w:fldCharType="begin"/>
      </w:r>
      <w:r w:rsidR="00263443">
        <w:instrText xml:space="preserve"> STYLEREF 1 \s </w:instrText>
      </w:r>
      <w:r w:rsidR="00263443">
        <w:fldChar w:fldCharType="separate"/>
      </w:r>
      <w:r w:rsidR="00DC766F">
        <w:rPr>
          <w:noProof/>
        </w:rPr>
        <w:t>2</w:t>
      </w:r>
      <w:r w:rsidR="00263443">
        <w:rPr>
          <w:noProof/>
        </w:rPr>
        <w:fldChar w:fldCharType="end"/>
      </w:r>
      <w:r w:rsidRPr="000063FC">
        <w:t>.</w:t>
      </w:r>
      <w:r w:rsidR="00263443">
        <w:fldChar w:fldCharType="begin"/>
      </w:r>
      <w:r w:rsidR="00263443">
        <w:instrText xml:space="preserve"> SEQ Slika \* ARABIC \s 1 </w:instrText>
      </w:r>
      <w:r w:rsidR="00263443">
        <w:fldChar w:fldCharType="separate"/>
      </w:r>
      <w:r w:rsidR="00DC766F">
        <w:rPr>
          <w:noProof/>
        </w:rPr>
        <w:t>1</w:t>
      </w:r>
      <w:r w:rsidR="00263443">
        <w:rPr>
          <w:noProof/>
        </w:rPr>
        <w:fldChar w:fldCharType="end"/>
      </w:r>
      <w:r w:rsidRPr="000063FC">
        <w:t>: Blok dijagram COPERT metodologije</w:t>
      </w:r>
      <w:bookmarkEnd w:id="88"/>
      <w:bookmarkEnd w:id="89"/>
    </w:p>
    <w:bookmarkEnd w:id="90"/>
    <w:p w:rsidR="00BC341E" w:rsidRPr="000063FC" w:rsidRDefault="00BC341E">
      <w:pPr>
        <w:spacing w:line="276" w:lineRule="auto"/>
        <w:rPr>
          <w:rFonts w:cs="Arial"/>
          <w:szCs w:val="22"/>
        </w:rPr>
      </w:pPr>
    </w:p>
    <w:p w:rsidR="00B174C8" w:rsidRDefault="00EE1D7D" w:rsidP="00B174C8">
      <w:pPr>
        <w:spacing w:line="276" w:lineRule="auto"/>
        <w:rPr>
          <w:szCs w:val="22"/>
        </w:rPr>
      </w:pPr>
      <w:r w:rsidRPr="000063FC">
        <w:rPr>
          <w:rFonts w:cs="Arial"/>
          <w:szCs w:val="22"/>
        </w:rPr>
        <w:t xml:space="preserve">Prema COPERT metodologiji vozila </w:t>
      </w:r>
      <w:r w:rsidR="00B556F7" w:rsidRPr="000063FC">
        <w:rPr>
          <w:rFonts w:cs="Arial"/>
          <w:szCs w:val="22"/>
        </w:rPr>
        <w:t xml:space="preserve">se raspodjeljuju po kategorijama i klasama </w:t>
      </w:r>
      <w:r w:rsidR="003D4B76" w:rsidRPr="000063FC">
        <w:rPr>
          <w:rFonts w:cs="Arial"/>
          <w:szCs w:val="22"/>
        </w:rPr>
        <w:t>u skladu s</w:t>
      </w:r>
      <w:r w:rsidR="00B174C8" w:rsidRPr="000063FC">
        <w:rPr>
          <w:rFonts w:cs="Arial"/>
          <w:szCs w:val="22"/>
        </w:rPr>
        <w:t xml:space="preserve"> ECE i Euro normama. U europskim su zemljama </w:t>
      </w:r>
      <w:r w:rsidR="00B174C8" w:rsidRPr="000063FC">
        <w:rPr>
          <w:szCs w:val="22"/>
        </w:rPr>
        <w:t>od 1970. do 1991. godine u primjeni bile ECE norme, a 1992. godine su na snagu stupile Euro norme.</w:t>
      </w:r>
    </w:p>
    <w:p w:rsidR="007F6F90" w:rsidRPr="000063FC" w:rsidRDefault="007F6F90" w:rsidP="00B174C8">
      <w:pPr>
        <w:spacing w:line="276" w:lineRule="auto"/>
        <w:rPr>
          <w:szCs w:val="22"/>
        </w:rPr>
      </w:pPr>
    </w:p>
    <w:p w:rsidR="00B174C8" w:rsidRPr="000063FC" w:rsidRDefault="00B174C8" w:rsidP="00B174C8">
      <w:pPr>
        <w:spacing w:line="276" w:lineRule="auto"/>
        <w:rPr>
          <w:szCs w:val="22"/>
        </w:rPr>
      </w:pPr>
      <w:r w:rsidRPr="000063FC">
        <w:rPr>
          <w:szCs w:val="22"/>
        </w:rPr>
        <w:t>Kratki opis spomenutih normi dan je u nastavku:</w:t>
      </w:r>
    </w:p>
    <w:p w:rsidR="00B174C8" w:rsidRPr="000063FC" w:rsidRDefault="00B174C8" w:rsidP="00B174C8">
      <w:pPr>
        <w:pStyle w:val="ListParagraph"/>
        <w:numPr>
          <w:ilvl w:val="0"/>
          <w:numId w:val="11"/>
        </w:numPr>
      </w:pPr>
      <w:r w:rsidRPr="000063FC">
        <w:t>PRE ECE i ECE standardi – između 1970. i 1985. godine, prema UNECE Uredbi koja se odnosi na emisije onečišćujućih tvari vozila lakših od 3,5 tone. U razdoblju od 1985. do 1990. pojavila su se suvremena tehnološka rješenja kao što su poboljšani konvencionalni motori</w:t>
      </w:r>
      <w:r w:rsidR="00FA4B2E">
        <w:t xml:space="preserve"> te primjena oksidativnih i tro</w:t>
      </w:r>
      <w:r w:rsidRPr="000063FC">
        <w:t>staznih katalizatora (otvorene i zatvorene petlje, ali bez lambda kontrole);</w:t>
      </w:r>
    </w:p>
    <w:p w:rsidR="00772AF0" w:rsidRPr="000063FC" w:rsidRDefault="00B174C8" w:rsidP="00B174C8">
      <w:pPr>
        <w:pStyle w:val="ListParagraph"/>
        <w:numPr>
          <w:ilvl w:val="0"/>
          <w:numId w:val="11"/>
        </w:numPr>
        <w:spacing w:after="0"/>
        <w:jc w:val="both"/>
      </w:pPr>
      <w:r w:rsidRPr="000063FC">
        <w:t xml:space="preserve">Euro I tehnologija predstavljena je u lipnju 1992. godine, Direktivom 91/441/EEC. Vozila te norme su opremljena trostaznim katalizatorom zatvorene petlje te zahtijevaju upotrebu bezolovnog benzina; </w:t>
      </w:r>
    </w:p>
    <w:p w:rsidR="00772AF0" w:rsidRPr="000063FC" w:rsidRDefault="00772AF0">
      <w:pPr>
        <w:tabs>
          <w:tab w:val="clear" w:pos="720"/>
          <w:tab w:val="clear" w:pos="6912"/>
        </w:tabs>
        <w:spacing w:line="240" w:lineRule="auto"/>
        <w:jc w:val="left"/>
        <w:rPr>
          <w:rFonts w:eastAsia="Calibri"/>
          <w:szCs w:val="22"/>
        </w:rPr>
      </w:pPr>
      <w:r w:rsidRPr="000063FC">
        <w:br w:type="page"/>
      </w:r>
    </w:p>
    <w:p w:rsidR="00B174C8" w:rsidRPr="000063FC" w:rsidRDefault="00B174C8" w:rsidP="00B174C8">
      <w:pPr>
        <w:pStyle w:val="ListParagraph"/>
        <w:numPr>
          <w:ilvl w:val="0"/>
          <w:numId w:val="11"/>
        </w:numPr>
        <w:spacing w:after="0"/>
        <w:jc w:val="both"/>
      </w:pPr>
      <w:r w:rsidRPr="000063FC">
        <w:lastRenderedPageBreak/>
        <w:t>Euro II vozila su predstavljena 1996. godine, Direktivom 94/12/EC. Vozila imaju poboljšane trostazne katalizatore zatvorene petlje te niž</w:t>
      </w:r>
      <w:r w:rsidR="00FA4B2E">
        <w:t>e granice emisija u usporedbi s</w:t>
      </w:r>
      <w:r w:rsidRPr="000063FC">
        <w:t xml:space="preserve"> Euro I standardom: </w:t>
      </w:r>
    </w:p>
    <w:p w:rsidR="00B174C8" w:rsidRPr="000063FC" w:rsidRDefault="00B174C8" w:rsidP="00B174C8">
      <w:pPr>
        <w:pStyle w:val="ListParagraph"/>
        <w:numPr>
          <w:ilvl w:val="1"/>
          <w:numId w:val="11"/>
        </w:numPr>
        <w:spacing w:after="0"/>
        <w:jc w:val="both"/>
      </w:pPr>
      <w:r w:rsidRPr="000063FC">
        <w:t>benzinska vozila - 30% smanjenje CO i 55% smanjenje HC i NO</w:t>
      </w:r>
      <w:r w:rsidRPr="000063FC">
        <w:rPr>
          <w:vertAlign w:val="subscript"/>
        </w:rPr>
        <w:t>X</w:t>
      </w:r>
      <w:r w:rsidRPr="000063FC">
        <w:t xml:space="preserve">; </w:t>
      </w:r>
    </w:p>
    <w:p w:rsidR="00B174C8" w:rsidRPr="000063FC" w:rsidRDefault="00B174C8" w:rsidP="00B174C8">
      <w:pPr>
        <w:pStyle w:val="ListParagraph"/>
        <w:numPr>
          <w:ilvl w:val="1"/>
          <w:numId w:val="11"/>
        </w:numPr>
        <w:spacing w:after="0"/>
        <w:jc w:val="both"/>
      </w:pPr>
      <w:r w:rsidRPr="000063FC">
        <w:t>dizelska vozila – 68% smanjenje za CO, 38% za HC i NO</w:t>
      </w:r>
      <w:r w:rsidRPr="000063FC">
        <w:rPr>
          <w:vertAlign w:val="subscript"/>
        </w:rPr>
        <w:t>X</w:t>
      </w:r>
      <w:r w:rsidRPr="000063FC">
        <w:t xml:space="preserve"> te 55% za PM;</w:t>
      </w:r>
    </w:p>
    <w:p w:rsidR="00B174C8" w:rsidRPr="000063FC" w:rsidRDefault="00B174C8" w:rsidP="00B174C8">
      <w:pPr>
        <w:pStyle w:val="ListParagraph"/>
        <w:numPr>
          <w:ilvl w:val="0"/>
          <w:numId w:val="11"/>
        </w:numPr>
        <w:spacing w:after="0"/>
        <w:jc w:val="both"/>
      </w:pPr>
      <w:r w:rsidRPr="000063FC">
        <w:t>Euro III emisijski standard je predstavljen Direktivom 98/69/EC (Korak I) u siječnju 2000. godine. U sklopu Euro III standarda u primjenu je ušao i novi test za homologaciju. Vozila spomenute norme su opremljena parom lambda senzora za zadovoljavanje granica emisija</w:t>
      </w:r>
      <w:r w:rsidR="00CD654C" w:rsidRPr="000063FC">
        <w:t>, a</w:t>
      </w:r>
      <w:r w:rsidRPr="000063FC">
        <w:t xml:space="preserve"> </w:t>
      </w:r>
      <w:r w:rsidR="00CD654C" w:rsidRPr="000063FC">
        <w:t xml:space="preserve">u usporedbi s Euro II standardima </w:t>
      </w:r>
      <w:r w:rsidRPr="000063FC">
        <w:t xml:space="preserve">iznose za: </w:t>
      </w:r>
    </w:p>
    <w:p w:rsidR="00B174C8" w:rsidRPr="000063FC" w:rsidRDefault="00B174C8" w:rsidP="00B174C8">
      <w:pPr>
        <w:pStyle w:val="ListParagraph"/>
        <w:numPr>
          <w:ilvl w:val="1"/>
          <w:numId w:val="11"/>
        </w:numPr>
        <w:spacing w:after="0"/>
        <w:jc w:val="both"/>
      </w:pPr>
      <w:r w:rsidRPr="000063FC">
        <w:t>benzinska vozila: 30% manje za CO, 40% za HC i 40% za NO</w:t>
      </w:r>
      <w:r w:rsidRPr="000063FC">
        <w:rPr>
          <w:vertAlign w:val="subscript"/>
        </w:rPr>
        <w:t>X</w:t>
      </w:r>
      <w:r w:rsidR="00CD654C" w:rsidRPr="000063FC">
        <w:t>;</w:t>
      </w:r>
    </w:p>
    <w:p w:rsidR="00B174C8" w:rsidRPr="000063FC" w:rsidRDefault="00B174C8" w:rsidP="00B174C8">
      <w:pPr>
        <w:pStyle w:val="ListParagraph"/>
        <w:numPr>
          <w:ilvl w:val="1"/>
          <w:numId w:val="11"/>
        </w:numPr>
        <w:spacing w:after="0"/>
        <w:jc w:val="both"/>
      </w:pPr>
      <w:r w:rsidRPr="000063FC">
        <w:t>dizel vozila: 40% manje za CO, 60% NO</w:t>
      </w:r>
      <w:r w:rsidRPr="000063FC">
        <w:rPr>
          <w:vertAlign w:val="subscript"/>
        </w:rPr>
        <w:t>X</w:t>
      </w:r>
      <w:r w:rsidRPr="000063FC">
        <w:t>, 14% HC 37,5% PM</w:t>
      </w:r>
      <w:r w:rsidR="00CD654C" w:rsidRPr="000063FC">
        <w:t>;</w:t>
      </w:r>
      <w:r w:rsidRPr="000063FC">
        <w:t xml:space="preserve"> </w:t>
      </w:r>
    </w:p>
    <w:p w:rsidR="00B174C8" w:rsidRPr="000063FC" w:rsidRDefault="00CD654C" w:rsidP="00B174C8">
      <w:pPr>
        <w:pStyle w:val="ListParagraph"/>
        <w:numPr>
          <w:ilvl w:val="0"/>
          <w:numId w:val="11"/>
        </w:numPr>
        <w:spacing w:after="0"/>
        <w:jc w:val="both"/>
      </w:pPr>
      <w:r w:rsidRPr="000063FC">
        <w:t>Euro IV standard koji je</w:t>
      </w:r>
      <w:r w:rsidR="00B174C8" w:rsidRPr="000063FC">
        <w:t xml:space="preserve"> trenut</w:t>
      </w:r>
      <w:r w:rsidRPr="000063FC">
        <w:t>ač</w:t>
      </w:r>
      <w:r w:rsidR="004F0A60" w:rsidRPr="000063FC">
        <w:t xml:space="preserve">no na snazi, </w:t>
      </w:r>
      <w:r w:rsidR="00B174C8" w:rsidRPr="000063FC">
        <w:t xml:space="preserve">predstavljen je Direktivom 98/69/EC (Korak 2) u siječnju 2005. </w:t>
      </w:r>
      <w:r w:rsidRPr="000063FC">
        <w:t xml:space="preserve">godine. </w:t>
      </w:r>
      <w:r w:rsidR="00B174C8" w:rsidRPr="000063FC">
        <w:t xml:space="preserve">Prema </w:t>
      </w:r>
      <w:r w:rsidRPr="000063FC">
        <w:t xml:space="preserve">Euro IV </w:t>
      </w:r>
      <w:r w:rsidR="00B174C8" w:rsidRPr="000063FC">
        <w:t>standardu potrebno je dodatno smanjiti emisije:</w:t>
      </w:r>
    </w:p>
    <w:p w:rsidR="00B174C8" w:rsidRPr="000063FC" w:rsidRDefault="00B174C8" w:rsidP="00B174C8">
      <w:pPr>
        <w:pStyle w:val="ListParagraph"/>
        <w:numPr>
          <w:ilvl w:val="1"/>
          <w:numId w:val="11"/>
        </w:numPr>
        <w:spacing w:after="0"/>
        <w:jc w:val="both"/>
      </w:pPr>
      <w:r w:rsidRPr="000063FC">
        <w:t>Benzinskih vozila u iznosu od 57% za CO, 47% za HC i NO</w:t>
      </w:r>
      <w:r w:rsidRPr="000063FC">
        <w:rPr>
          <w:vertAlign w:val="subscript"/>
        </w:rPr>
        <w:t>X</w:t>
      </w:r>
      <w:r w:rsidR="00CD654C" w:rsidRPr="000063FC">
        <w:t>;</w:t>
      </w:r>
      <w:r w:rsidRPr="000063FC">
        <w:t xml:space="preserve"> </w:t>
      </w:r>
    </w:p>
    <w:p w:rsidR="00B174C8" w:rsidRPr="000063FC" w:rsidRDefault="00B174C8" w:rsidP="00B174C8">
      <w:pPr>
        <w:pStyle w:val="ListParagraph"/>
        <w:numPr>
          <w:ilvl w:val="1"/>
          <w:numId w:val="11"/>
        </w:numPr>
        <w:spacing w:after="0"/>
        <w:jc w:val="both"/>
      </w:pPr>
      <w:r w:rsidRPr="000063FC">
        <w:rPr>
          <w:rFonts w:cs="Arial"/>
        </w:rPr>
        <w:t>Dizelskih vozila: u iznosu od 22</w:t>
      </w:r>
      <w:r w:rsidRPr="000063FC">
        <w:rPr>
          <w:rFonts w:cs="Arial"/>
          <w:lang w:eastAsia="hr-HR"/>
        </w:rPr>
        <w:t>% za CO i 50% za HC, NOx i PM</w:t>
      </w:r>
      <w:r w:rsidR="00CD654C" w:rsidRPr="000063FC">
        <w:rPr>
          <w:rFonts w:cs="Arial"/>
          <w:lang w:eastAsia="hr-HR"/>
        </w:rPr>
        <w:t>;</w:t>
      </w:r>
      <w:r w:rsidRPr="000063FC">
        <w:rPr>
          <w:rFonts w:cs="Arial"/>
          <w:lang w:eastAsia="hr-HR"/>
        </w:rPr>
        <w:t xml:space="preserve"> </w:t>
      </w:r>
    </w:p>
    <w:p w:rsidR="00B174C8" w:rsidRPr="000063FC" w:rsidRDefault="00B174C8" w:rsidP="00B174C8">
      <w:pPr>
        <w:pStyle w:val="ListParagraph"/>
        <w:numPr>
          <w:ilvl w:val="0"/>
          <w:numId w:val="11"/>
        </w:numPr>
        <w:spacing w:after="0"/>
        <w:jc w:val="both"/>
      </w:pPr>
      <w:r w:rsidRPr="000063FC">
        <w:t xml:space="preserve">Euro V i VI </w:t>
      </w:r>
      <w:r w:rsidR="00CD654C" w:rsidRPr="000063FC">
        <w:t xml:space="preserve">standardi </w:t>
      </w:r>
      <w:r w:rsidRPr="000063FC">
        <w:t>–</w:t>
      </w:r>
      <w:r w:rsidR="00CD654C" w:rsidRPr="000063FC">
        <w:t xml:space="preserve"> predloženi u svibnju 2007. godine. </w:t>
      </w:r>
      <w:r w:rsidRPr="000063FC">
        <w:t xml:space="preserve">Euro V standard </w:t>
      </w:r>
      <w:r w:rsidR="00CD654C" w:rsidRPr="000063FC">
        <w:t>je u primjeni od siječnja</w:t>
      </w:r>
      <w:r w:rsidRPr="000063FC">
        <w:t xml:space="preserve"> 2010. godine</w:t>
      </w:r>
      <w:r w:rsidR="00CD654C" w:rsidRPr="000063FC">
        <w:t xml:space="preserve">, a </w:t>
      </w:r>
      <w:r w:rsidRPr="000063FC">
        <w:t xml:space="preserve"> </w:t>
      </w:r>
      <w:r w:rsidR="00CD654C" w:rsidRPr="000063FC">
        <w:t xml:space="preserve">smanjuje </w:t>
      </w:r>
      <w:r w:rsidRPr="000063FC">
        <w:t>emisije NO</w:t>
      </w:r>
      <w:r w:rsidRPr="000063FC">
        <w:rPr>
          <w:vertAlign w:val="subscript"/>
        </w:rPr>
        <w:t>X</w:t>
      </w:r>
      <w:r w:rsidRPr="000063FC">
        <w:t xml:space="preserve"> za dodatnih 25% u odnosu na Euro IV normu</w:t>
      </w:r>
      <w:r w:rsidR="00CD654C" w:rsidRPr="000063FC">
        <w:t>.</w:t>
      </w:r>
      <w:r w:rsidRPr="000063FC">
        <w:t xml:space="preserve"> U Euro VI normi nisu razmatana dodatna smanjenja emisija</w:t>
      </w:r>
      <w:r w:rsidR="00CD654C" w:rsidRPr="000063FC">
        <w:t>.</w:t>
      </w:r>
      <w:r w:rsidRPr="000063FC">
        <w:t xml:space="preserve"> </w:t>
      </w:r>
    </w:p>
    <w:p w:rsidR="004F0A60" w:rsidRPr="000063FC" w:rsidRDefault="004F0A60" w:rsidP="00B174C8">
      <w:pPr>
        <w:spacing w:line="276" w:lineRule="auto"/>
        <w:rPr>
          <w:szCs w:val="22"/>
        </w:rPr>
      </w:pPr>
    </w:p>
    <w:p w:rsidR="00B174C8" w:rsidRPr="000063FC" w:rsidRDefault="00CD654C" w:rsidP="00B174C8">
      <w:pPr>
        <w:spacing w:line="276" w:lineRule="auto"/>
        <w:rPr>
          <w:szCs w:val="22"/>
        </w:rPr>
      </w:pPr>
      <w:r w:rsidRPr="000063FC">
        <w:rPr>
          <w:szCs w:val="22"/>
        </w:rPr>
        <w:t>Prikaz tehnoloških rješenja vozila prema gore opisanim ECE i Euro normama dan je u tablici 2.5.</w:t>
      </w:r>
      <w:r w:rsidR="004F0A60" w:rsidRPr="000063FC">
        <w:rPr>
          <w:szCs w:val="22"/>
        </w:rPr>
        <w:t>, a raspodjela osobnih i ostalih vozila prema kategorijama i klasama u tablicama 2.6. i 2.7.</w:t>
      </w:r>
    </w:p>
    <w:p w:rsidR="004F0A60" w:rsidRPr="000063FC" w:rsidRDefault="004F0A60" w:rsidP="00B33E2F">
      <w:pPr>
        <w:pStyle w:val="Heading6"/>
      </w:pPr>
      <w:bookmarkStart w:id="91" w:name="_Toc251161330"/>
    </w:p>
    <w:p w:rsidR="00B174C8" w:rsidRPr="000063FC" w:rsidRDefault="004F0A60" w:rsidP="00B33E2F">
      <w:pPr>
        <w:pStyle w:val="Heading6"/>
      </w:pPr>
      <w:bookmarkStart w:id="92" w:name="_Toc254010234"/>
      <w:r w:rsidRPr="000063FC">
        <w:t>Tablica 2.5</w:t>
      </w:r>
      <w:r w:rsidR="00B174C8" w:rsidRPr="000063FC">
        <w:t>: Prikaz tehnoloških rješenja</w:t>
      </w:r>
      <w:bookmarkEnd w:id="91"/>
      <w:r w:rsidRPr="000063FC">
        <w:t xml:space="preserve"> vozila prema </w:t>
      </w:r>
      <w:r w:rsidRPr="000063FC">
        <w:rPr>
          <w:szCs w:val="22"/>
        </w:rPr>
        <w:t>ECE i Euro normama</w:t>
      </w:r>
      <w:bookmarkEnd w:id="92"/>
    </w:p>
    <w:tbl>
      <w:tblPr>
        <w:tblW w:w="9072" w:type="dxa"/>
        <w:tblInd w:w="108"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000" w:firstRow="0" w:lastRow="0" w:firstColumn="0" w:lastColumn="0" w:noHBand="0" w:noVBand="0"/>
      </w:tblPr>
      <w:tblGrid>
        <w:gridCol w:w="4027"/>
        <w:gridCol w:w="2494"/>
        <w:gridCol w:w="2551"/>
      </w:tblGrid>
      <w:tr w:rsidR="00B174C8" w:rsidRPr="000063FC" w:rsidTr="00B174C8">
        <w:trPr>
          <w:trHeight w:val="425"/>
        </w:trPr>
        <w:tc>
          <w:tcPr>
            <w:tcW w:w="4027" w:type="dxa"/>
            <w:tcBorders>
              <w:right w:val="single" w:sz="4" w:space="0" w:color="FFFFFF"/>
            </w:tcBorders>
            <w:shd w:val="clear" w:color="FFFFFF" w:fill="4BACC6"/>
            <w:vAlign w:val="center"/>
          </w:tcPr>
          <w:p w:rsidR="00B174C8" w:rsidRPr="000063FC" w:rsidRDefault="00B174C8" w:rsidP="00B174C8">
            <w:pPr>
              <w:spacing w:line="240" w:lineRule="auto"/>
              <w:jc w:val="center"/>
              <w:rPr>
                <w:b/>
                <w:color w:val="FFFFFF"/>
                <w:sz w:val="20"/>
              </w:rPr>
            </w:pPr>
            <w:r w:rsidRPr="000063FC">
              <w:rPr>
                <w:b/>
                <w:color w:val="FFFFFF"/>
                <w:sz w:val="20"/>
              </w:rPr>
              <w:t>Tehnologija</w:t>
            </w:r>
          </w:p>
        </w:tc>
        <w:tc>
          <w:tcPr>
            <w:tcW w:w="2494" w:type="dxa"/>
            <w:tcBorders>
              <w:left w:val="single" w:sz="4" w:space="0" w:color="FFFFFF"/>
              <w:right w:val="single" w:sz="4" w:space="0" w:color="FFFFFF"/>
            </w:tcBorders>
            <w:shd w:val="clear" w:color="FFFFFF" w:fill="4BACC6"/>
            <w:vAlign w:val="center"/>
          </w:tcPr>
          <w:p w:rsidR="00B174C8" w:rsidRPr="000063FC" w:rsidRDefault="00B174C8" w:rsidP="00B174C8">
            <w:pPr>
              <w:spacing w:line="240" w:lineRule="auto"/>
              <w:jc w:val="center"/>
              <w:rPr>
                <w:b/>
                <w:color w:val="FFFFFF"/>
                <w:sz w:val="20"/>
              </w:rPr>
            </w:pPr>
            <w:r w:rsidRPr="000063FC">
              <w:rPr>
                <w:b/>
                <w:color w:val="FFFFFF"/>
                <w:sz w:val="20"/>
              </w:rPr>
              <w:t>Zakonska regulativa</w:t>
            </w:r>
          </w:p>
        </w:tc>
        <w:tc>
          <w:tcPr>
            <w:tcW w:w="2551" w:type="dxa"/>
            <w:tcBorders>
              <w:left w:val="single" w:sz="4" w:space="0" w:color="FFFFFF"/>
            </w:tcBorders>
            <w:shd w:val="clear" w:color="FFFFFF" w:fill="4BACC6"/>
            <w:vAlign w:val="center"/>
          </w:tcPr>
          <w:p w:rsidR="00B174C8" w:rsidRPr="000063FC" w:rsidRDefault="00B174C8" w:rsidP="00B174C8">
            <w:pPr>
              <w:spacing w:line="240" w:lineRule="auto"/>
              <w:jc w:val="center"/>
              <w:rPr>
                <w:b/>
                <w:color w:val="FFFFFF"/>
                <w:sz w:val="20"/>
              </w:rPr>
            </w:pPr>
            <w:r w:rsidRPr="000063FC">
              <w:rPr>
                <w:b/>
                <w:color w:val="FFFFFF"/>
                <w:sz w:val="20"/>
              </w:rPr>
              <w:t>Razdoblje primjene</w:t>
            </w:r>
          </w:p>
        </w:tc>
      </w:tr>
      <w:tr w:rsidR="00B174C8" w:rsidRPr="000063FC" w:rsidTr="00B174C8">
        <w:trPr>
          <w:trHeight w:val="417"/>
        </w:trPr>
        <w:tc>
          <w:tcPr>
            <w:tcW w:w="4027" w:type="dxa"/>
            <w:vAlign w:val="center"/>
          </w:tcPr>
          <w:p w:rsidR="00B174C8" w:rsidRPr="000063FC" w:rsidRDefault="004F0A60" w:rsidP="00B174C8">
            <w:pPr>
              <w:spacing w:line="240" w:lineRule="auto"/>
              <w:rPr>
                <w:sz w:val="20"/>
              </w:rPr>
            </w:pPr>
            <w:r w:rsidRPr="000063FC">
              <w:rPr>
                <w:sz w:val="20"/>
              </w:rPr>
              <w:t>B</w:t>
            </w:r>
            <w:r w:rsidR="00B174C8" w:rsidRPr="000063FC">
              <w:rPr>
                <w:sz w:val="20"/>
              </w:rPr>
              <w:t>ez primjene tehnoloških rješenja</w:t>
            </w:r>
          </w:p>
        </w:tc>
        <w:tc>
          <w:tcPr>
            <w:tcW w:w="2494" w:type="dxa"/>
            <w:vAlign w:val="center"/>
          </w:tcPr>
          <w:p w:rsidR="00B174C8" w:rsidRPr="000063FC" w:rsidRDefault="00B174C8" w:rsidP="00B174C8">
            <w:pPr>
              <w:spacing w:line="240" w:lineRule="auto"/>
              <w:jc w:val="center"/>
              <w:rPr>
                <w:sz w:val="20"/>
              </w:rPr>
            </w:pPr>
            <w:r w:rsidRPr="000063FC">
              <w:rPr>
                <w:sz w:val="20"/>
              </w:rPr>
              <w:t>PRE ECE</w:t>
            </w:r>
          </w:p>
        </w:tc>
        <w:tc>
          <w:tcPr>
            <w:tcW w:w="2551" w:type="dxa"/>
            <w:vAlign w:val="center"/>
          </w:tcPr>
          <w:p w:rsidR="00B174C8" w:rsidRPr="000063FC" w:rsidRDefault="00B174C8" w:rsidP="00B174C8">
            <w:pPr>
              <w:spacing w:line="240" w:lineRule="auto"/>
              <w:jc w:val="center"/>
              <w:rPr>
                <w:sz w:val="20"/>
              </w:rPr>
            </w:pPr>
            <w:r w:rsidRPr="000063FC">
              <w:rPr>
                <w:sz w:val="20"/>
              </w:rPr>
              <w:t>do 1971.</w:t>
            </w:r>
          </w:p>
        </w:tc>
      </w:tr>
      <w:tr w:rsidR="00B174C8" w:rsidRPr="000063FC" w:rsidTr="00B174C8">
        <w:trPr>
          <w:trHeight w:val="663"/>
        </w:trPr>
        <w:tc>
          <w:tcPr>
            <w:tcW w:w="4027" w:type="dxa"/>
            <w:vAlign w:val="center"/>
          </w:tcPr>
          <w:p w:rsidR="00B174C8" w:rsidRPr="000063FC" w:rsidRDefault="004F0A60" w:rsidP="00B174C8">
            <w:pPr>
              <w:spacing w:line="240" w:lineRule="auto"/>
              <w:rPr>
                <w:sz w:val="20"/>
              </w:rPr>
            </w:pPr>
            <w:r w:rsidRPr="000063FC">
              <w:rPr>
                <w:sz w:val="20"/>
              </w:rPr>
              <w:t>P</w:t>
            </w:r>
            <w:r w:rsidR="00B174C8" w:rsidRPr="000063FC">
              <w:rPr>
                <w:sz w:val="20"/>
              </w:rPr>
              <w:t>očetna tehnološka rješenja za smanjivanje emisije bez primjene katalizatora</w:t>
            </w:r>
          </w:p>
        </w:tc>
        <w:tc>
          <w:tcPr>
            <w:tcW w:w="2494" w:type="dxa"/>
            <w:vAlign w:val="center"/>
          </w:tcPr>
          <w:p w:rsidR="00B174C8" w:rsidRPr="000063FC" w:rsidRDefault="00B174C8" w:rsidP="00B174C8">
            <w:pPr>
              <w:spacing w:line="240" w:lineRule="auto"/>
              <w:jc w:val="center"/>
              <w:rPr>
                <w:sz w:val="20"/>
              </w:rPr>
            </w:pPr>
            <w:r w:rsidRPr="000063FC">
              <w:rPr>
                <w:sz w:val="20"/>
              </w:rPr>
              <w:t>ECE 15 00&amp;01,</w:t>
            </w:r>
          </w:p>
          <w:p w:rsidR="00B174C8" w:rsidRPr="000063FC" w:rsidRDefault="00B174C8" w:rsidP="00B174C8">
            <w:pPr>
              <w:spacing w:line="240" w:lineRule="auto"/>
              <w:jc w:val="center"/>
              <w:rPr>
                <w:sz w:val="20"/>
              </w:rPr>
            </w:pPr>
            <w:r w:rsidRPr="000063FC">
              <w:rPr>
                <w:sz w:val="20"/>
              </w:rPr>
              <w:t>ECE 15 02</w:t>
            </w:r>
          </w:p>
        </w:tc>
        <w:tc>
          <w:tcPr>
            <w:tcW w:w="2551" w:type="dxa"/>
            <w:vAlign w:val="center"/>
          </w:tcPr>
          <w:p w:rsidR="00B174C8" w:rsidRPr="000063FC" w:rsidRDefault="00B174C8" w:rsidP="00B174C8">
            <w:pPr>
              <w:spacing w:line="240" w:lineRule="auto"/>
              <w:jc w:val="center"/>
              <w:rPr>
                <w:sz w:val="20"/>
              </w:rPr>
            </w:pPr>
            <w:r w:rsidRPr="000063FC">
              <w:rPr>
                <w:sz w:val="20"/>
              </w:rPr>
              <w:t>1972. – 1977.</w:t>
            </w:r>
          </w:p>
          <w:p w:rsidR="00B174C8" w:rsidRPr="000063FC" w:rsidRDefault="00B174C8" w:rsidP="00B174C8">
            <w:pPr>
              <w:spacing w:line="240" w:lineRule="auto"/>
              <w:jc w:val="center"/>
              <w:rPr>
                <w:sz w:val="20"/>
              </w:rPr>
            </w:pPr>
            <w:r w:rsidRPr="000063FC">
              <w:rPr>
                <w:sz w:val="20"/>
              </w:rPr>
              <w:t>1978. – 1980.</w:t>
            </w:r>
          </w:p>
        </w:tc>
      </w:tr>
      <w:tr w:rsidR="00B174C8" w:rsidRPr="000063FC" w:rsidTr="00B174C8">
        <w:trPr>
          <w:trHeight w:val="658"/>
        </w:trPr>
        <w:tc>
          <w:tcPr>
            <w:tcW w:w="4027" w:type="dxa"/>
            <w:vAlign w:val="center"/>
          </w:tcPr>
          <w:p w:rsidR="00B174C8" w:rsidRPr="000063FC" w:rsidRDefault="004F0A60" w:rsidP="00B174C8">
            <w:pPr>
              <w:spacing w:line="240" w:lineRule="auto"/>
              <w:rPr>
                <w:sz w:val="20"/>
              </w:rPr>
            </w:pPr>
            <w:r w:rsidRPr="000063FC">
              <w:rPr>
                <w:sz w:val="20"/>
              </w:rPr>
              <w:t>R</w:t>
            </w:r>
            <w:r w:rsidR="00B174C8" w:rsidRPr="000063FC">
              <w:rPr>
                <w:sz w:val="20"/>
              </w:rPr>
              <w:t>azvijena tehnološka rješenja za smanjivanje emisije bez primjene katalizatora</w:t>
            </w:r>
          </w:p>
        </w:tc>
        <w:tc>
          <w:tcPr>
            <w:tcW w:w="2494" w:type="dxa"/>
            <w:vAlign w:val="center"/>
          </w:tcPr>
          <w:p w:rsidR="00B174C8" w:rsidRPr="000063FC" w:rsidRDefault="00B174C8" w:rsidP="00B174C8">
            <w:pPr>
              <w:spacing w:line="240" w:lineRule="auto"/>
              <w:jc w:val="center"/>
              <w:rPr>
                <w:sz w:val="20"/>
              </w:rPr>
            </w:pPr>
            <w:r w:rsidRPr="000063FC">
              <w:rPr>
                <w:sz w:val="20"/>
              </w:rPr>
              <w:t>ECE 14 03,</w:t>
            </w:r>
          </w:p>
          <w:p w:rsidR="00B174C8" w:rsidRPr="000063FC" w:rsidRDefault="00B174C8" w:rsidP="00B174C8">
            <w:pPr>
              <w:spacing w:line="240" w:lineRule="auto"/>
              <w:jc w:val="center"/>
              <w:rPr>
                <w:sz w:val="20"/>
              </w:rPr>
            </w:pPr>
            <w:r w:rsidRPr="000063FC">
              <w:rPr>
                <w:sz w:val="20"/>
              </w:rPr>
              <w:t>ECE 15 04</w:t>
            </w:r>
          </w:p>
        </w:tc>
        <w:tc>
          <w:tcPr>
            <w:tcW w:w="2551" w:type="dxa"/>
            <w:vAlign w:val="center"/>
          </w:tcPr>
          <w:p w:rsidR="00B174C8" w:rsidRPr="000063FC" w:rsidRDefault="00B174C8" w:rsidP="00B174C8">
            <w:pPr>
              <w:spacing w:line="240" w:lineRule="auto"/>
              <w:jc w:val="center"/>
              <w:rPr>
                <w:sz w:val="20"/>
              </w:rPr>
            </w:pPr>
            <w:r w:rsidRPr="000063FC">
              <w:rPr>
                <w:sz w:val="20"/>
              </w:rPr>
              <w:t>1981. – 1985.</w:t>
            </w:r>
          </w:p>
          <w:p w:rsidR="00B174C8" w:rsidRPr="000063FC" w:rsidRDefault="00B174C8" w:rsidP="00B174C8">
            <w:pPr>
              <w:spacing w:line="240" w:lineRule="auto"/>
              <w:jc w:val="center"/>
              <w:rPr>
                <w:sz w:val="20"/>
              </w:rPr>
            </w:pPr>
            <w:r w:rsidRPr="000063FC">
              <w:rPr>
                <w:sz w:val="20"/>
              </w:rPr>
              <w:t>1986. – 1992.</w:t>
            </w:r>
          </w:p>
        </w:tc>
      </w:tr>
      <w:tr w:rsidR="00B174C8" w:rsidRPr="000063FC" w:rsidTr="00B174C8">
        <w:trPr>
          <w:trHeight w:val="1095"/>
        </w:trPr>
        <w:tc>
          <w:tcPr>
            <w:tcW w:w="4027" w:type="dxa"/>
            <w:vAlign w:val="center"/>
          </w:tcPr>
          <w:p w:rsidR="00B174C8" w:rsidRPr="000063FC" w:rsidRDefault="00B174C8" w:rsidP="00B174C8">
            <w:pPr>
              <w:spacing w:line="240" w:lineRule="auto"/>
              <w:rPr>
                <w:sz w:val="20"/>
              </w:rPr>
            </w:pPr>
            <w:r w:rsidRPr="000063FC">
              <w:rPr>
                <w:sz w:val="20"/>
              </w:rPr>
              <w:t>Oksidativni i trostazni katalizatori</w:t>
            </w:r>
          </w:p>
        </w:tc>
        <w:tc>
          <w:tcPr>
            <w:tcW w:w="2494" w:type="dxa"/>
            <w:vAlign w:val="center"/>
          </w:tcPr>
          <w:p w:rsidR="00B174C8" w:rsidRPr="000063FC" w:rsidRDefault="00B174C8" w:rsidP="00B174C8">
            <w:pPr>
              <w:spacing w:line="240" w:lineRule="auto"/>
              <w:jc w:val="center"/>
              <w:rPr>
                <w:sz w:val="20"/>
              </w:rPr>
            </w:pPr>
            <w:r w:rsidRPr="000063FC">
              <w:rPr>
                <w:sz w:val="20"/>
              </w:rPr>
              <w:t>EURO I</w:t>
            </w:r>
          </w:p>
          <w:p w:rsidR="00B174C8" w:rsidRPr="000063FC" w:rsidRDefault="00B174C8" w:rsidP="00B174C8">
            <w:pPr>
              <w:spacing w:line="240" w:lineRule="auto"/>
              <w:jc w:val="center"/>
              <w:rPr>
                <w:sz w:val="20"/>
              </w:rPr>
            </w:pPr>
            <w:r w:rsidRPr="000063FC">
              <w:rPr>
                <w:sz w:val="20"/>
              </w:rPr>
              <w:t>EURO II</w:t>
            </w:r>
          </w:p>
          <w:p w:rsidR="00B174C8" w:rsidRPr="000063FC" w:rsidRDefault="00B174C8" w:rsidP="00B174C8">
            <w:pPr>
              <w:spacing w:line="240" w:lineRule="auto"/>
              <w:jc w:val="center"/>
              <w:rPr>
                <w:sz w:val="20"/>
              </w:rPr>
            </w:pPr>
            <w:r w:rsidRPr="000063FC">
              <w:rPr>
                <w:sz w:val="20"/>
              </w:rPr>
              <w:t>EURO III</w:t>
            </w:r>
          </w:p>
          <w:p w:rsidR="00B174C8" w:rsidRPr="000063FC" w:rsidRDefault="00B174C8" w:rsidP="00B174C8">
            <w:pPr>
              <w:spacing w:line="240" w:lineRule="auto"/>
              <w:jc w:val="center"/>
              <w:rPr>
                <w:sz w:val="20"/>
              </w:rPr>
            </w:pPr>
            <w:r w:rsidRPr="000063FC">
              <w:rPr>
                <w:sz w:val="20"/>
              </w:rPr>
              <w:t>EURO IV</w:t>
            </w:r>
          </w:p>
        </w:tc>
        <w:tc>
          <w:tcPr>
            <w:tcW w:w="2551" w:type="dxa"/>
            <w:vAlign w:val="center"/>
          </w:tcPr>
          <w:p w:rsidR="00B174C8" w:rsidRPr="000063FC" w:rsidRDefault="00B174C8" w:rsidP="00B174C8">
            <w:pPr>
              <w:spacing w:line="240" w:lineRule="auto"/>
              <w:jc w:val="center"/>
              <w:rPr>
                <w:sz w:val="20"/>
              </w:rPr>
            </w:pPr>
            <w:r w:rsidRPr="000063FC">
              <w:rPr>
                <w:sz w:val="20"/>
              </w:rPr>
              <w:t>1993. – 1996.</w:t>
            </w:r>
          </w:p>
          <w:p w:rsidR="00B174C8" w:rsidRPr="000063FC" w:rsidRDefault="00B174C8" w:rsidP="00B174C8">
            <w:pPr>
              <w:spacing w:line="240" w:lineRule="auto"/>
              <w:jc w:val="center"/>
              <w:rPr>
                <w:sz w:val="20"/>
              </w:rPr>
            </w:pPr>
            <w:r w:rsidRPr="000063FC">
              <w:rPr>
                <w:sz w:val="20"/>
              </w:rPr>
              <w:t>1997. – 2000.</w:t>
            </w:r>
          </w:p>
          <w:p w:rsidR="00B174C8" w:rsidRPr="000063FC" w:rsidRDefault="00B174C8" w:rsidP="00B174C8">
            <w:pPr>
              <w:spacing w:line="240" w:lineRule="auto"/>
              <w:jc w:val="center"/>
              <w:rPr>
                <w:sz w:val="20"/>
              </w:rPr>
            </w:pPr>
            <w:r w:rsidRPr="000063FC">
              <w:rPr>
                <w:sz w:val="20"/>
              </w:rPr>
              <w:t>2001. – 2005.</w:t>
            </w:r>
          </w:p>
          <w:p w:rsidR="00B174C8" w:rsidRPr="000063FC" w:rsidRDefault="004F0A60" w:rsidP="00B174C8">
            <w:pPr>
              <w:spacing w:line="240" w:lineRule="auto"/>
              <w:jc w:val="center"/>
              <w:rPr>
                <w:sz w:val="20"/>
              </w:rPr>
            </w:pPr>
            <w:r w:rsidRPr="000063FC">
              <w:rPr>
                <w:sz w:val="20"/>
              </w:rPr>
              <w:t xml:space="preserve">od </w:t>
            </w:r>
            <w:r w:rsidR="00B174C8" w:rsidRPr="000063FC">
              <w:rPr>
                <w:sz w:val="20"/>
              </w:rPr>
              <w:t>2006.</w:t>
            </w:r>
          </w:p>
        </w:tc>
      </w:tr>
    </w:tbl>
    <w:p w:rsidR="00772AF0" w:rsidRPr="000063FC" w:rsidRDefault="00772AF0" w:rsidP="00B174C8">
      <w:pPr>
        <w:spacing w:line="276" w:lineRule="auto"/>
      </w:pPr>
    </w:p>
    <w:p w:rsidR="00772AF0" w:rsidRPr="000063FC" w:rsidRDefault="00772AF0">
      <w:pPr>
        <w:tabs>
          <w:tab w:val="clear" w:pos="720"/>
          <w:tab w:val="clear" w:pos="6912"/>
        </w:tabs>
        <w:spacing w:line="240" w:lineRule="auto"/>
        <w:jc w:val="left"/>
      </w:pPr>
      <w:r w:rsidRPr="000063FC">
        <w:br w:type="page"/>
      </w:r>
    </w:p>
    <w:p w:rsidR="00BC341E" w:rsidRPr="000063FC" w:rsidRDefault="00910543" w:rsidP="00B33E2F">
      <w:pPr>
        <w:pStyle w:val="Heading6"/>
      </w:pPr>
      <w:bookmarkStart w:id="93" w:name="_Toc252448465"/>
      <w:bookmarkStart w:id="94" w:name="_Toc254010235"/>
      <w:bookmarkStart w:id="95" w:name="_Toc251161328"/>
      <w:r w:rsidRPr="000063FC">
        <w:lastRenderedPageBreak/>
        <w:t xml:space="preserve">Tablica </w:t>
      </w:r>
      <w:r w:rsidR="00263443">
        <w:fldChar w:fldCharType="begin"/>
      </w:r>
      <w:r w:rsidR="00263443">
        <w:instrText xml:space="preserve"> STYLEREF 1 \s </w:instrText>
      </w:r>
      <w:r w:rsidR="00263443">
        <w:fldChar w:fldCharType="separate"/>
      </w:r>
      <w:r w:rsidR="00DC766F">
        <w:rPr>
          <w:noProof/>
        </w:rPr>
        <w:t>2</w:t>
      </w:r>
      <w:r w:rsidR="00263443">
        <w:rPr>
          <w:noProof/>
        </w:rPr>
        <w:fldChar w:fldCharType="end"/>
      </w:r>
      <w:r w:rsidRPr="000063FC">
        <w:t>.</w:t>
      </w:r>
      <w:r w:rsidR="00FA4B2E">
        <w:t>6</w:t>
      </w:r>
      <w:r w:rsidRPr="000063FC">
        <w:t xml:space="preserve">: </w:t>
      </w:r>
      <w:r w:rsidR="007B0169" w:rsidRPr="000063FC">
        <w:t>Raspodjela osobnih vozila po kategorijama i klasama</w:t>
      </w:r>
      <w:bookmarkEnd w:id="93"/>
      <w:bookmarkEnd w:id="94"/>
      <w:r w:rsidR="007B0169" w:rsidRPr="000063FC">
        <w:t xml:space="preserve"> </w:t>
      </w:r>
    </w:p>
    <w:tbl>
      <w:tblPr>
        <w:tblW w:w="9229" w:type="dxa"/>
        <w:tblInd w:w="93"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000" w:firstRow="0" w:lastRow="0" w:firstColumn="0" w:lastColumn="0" w:noHBand="0" w:noVBand="0"/>
      </w:tblPr>
      <w:tblGrid>
        <w:gridCol w:w="1985"/>
        <w:gridCol w:w="1985"/>
        <w:gridCol w:w="2835"/>
        <w:gridCol w:w="2424"/>
      </w:tblGrid>
      <w:tr w:rsidR="001B7BA4" w:rsidRPr="000063FC" w:rsidTr="00B23695">
        <w:trPr>
          <w:trHeight w:val="20"/>
        </w:trPr>
        <w:tc>
          <w:tcPr>
            <w:tcW w:w="1985" w:type="dxa"/>
            <w:tcBorders>
              <w:right w:val="single" w:sz="4" w:space="0" w:color="FFFFFF"/>
            </w:tcBorders>
            <w:shd w:val="clear" w:color="auto" w:fill="4BACC6"/>
            <w:noWrap/>
            <w:vAlign w:val="center"/>
          </w:tcPr>
          <w:bookmarkEnd w:id="95"/>
          <w:p w:rsidR="006970AF" w:rsidRPr="000063FC" w:rsidRDefault="001B7BA4">
            <w:pPr>
              <w:spacing w:line="240" w:lineRule="auto"/>
              <w:jc w:val="center"/>
              <w:rPr>
                <w:rFonts w:cs="Arial"/>
                <w:b/>
                <w:bCs/>
                <w:color w:val="FFFFFF"/>
                <w:sz w:val="18"/>
                <w:szCs w:val="18"/>
              </w:rPr>
            </w:pPr>
            <w:r w:rsidRPr="000063FC">
              <w:rPr>
                <w:rFonts w:cs="Arial"/>
                <w:b/>
                <w:bCs/>
                <w:color w:val="FFFFFF"/>
                <w:sz w:val="18"/>
                <w:szCs w:val="18"/>
              </w:rPr>
              <w:t>Kategorija vozila</w:t>
            </w:r>
          </w:p>
          <w:p w:rsidR="006970AF" w:rsidRPr="000063FC" w:rsidRDefault="006970AF">
            <w:pPr>
              <w:spacing w:line="240" w:lineRule="auto"/>
              <w:jc w:val="center"/>
              <w:rPr>
                <w:rFonts w:cs="Arial"/>
                <w:b/>
                <w:bCs/>
                <w:color w:val="FFFFFF"/>
                <w:sz w:val="18"/>
                <w:szCs w:val="18"/>
              </w:rPr>
            </w:pPr>
          </w:p>
        </w:tc>
        <w:tc>
          <w:tcPr>
            <w:tcW w:w="1985" w:type="dxa"/>
            <w:tcBorders>
              <w:left w:val="single" w:sz="4" w:space="0" w:color="FFFFFF"/>
              <w:right w:val="single" w:sz="4" w:space="0" w:color="FFFFFF"/>
            </w:tcBorders>
            <w:shd w:val="clear" w:color="auto" w:fill="4BACC6"/>
            <w:noWrap/>
            <w:vAlign w:val="center"/>
          </w:tcPr>
          <w:p w:rsidR="006970AF" w:rsidRPr="000063FC" w:rsidRDefault="001B7BA4">
            <w:pPr>
              <w:spacing w:line="240" w:lineRule="auto"/>
              <w:jc w:val="center"/>
              <w:rPr>
                <w:rFonts w:cs="Arial"/>
                <w:b/>
                <w:bCs/>
                <w:color w:val="FFFFFF"/>
                <w:sz w:val="18"/>
                <w:szCs w:val="18"/>
              </w:rPr>
            </w:pPr>
            <w:r w:rsidRPr="000063FC">
              <w:rPr>
                <w:rFonts w:cs="Arial"/>
                <w:b/>
                <w:bCs/>
                <w:color w:val="FFFFFF"/>
                <w:sz w:val="18"/>
                <w:szCs w:val="18"/>
              </w:rPr>
              <w:t>Klasifikacija vozila</w:t>
            </w:r>
          </w:p>
        </w:tc>
        <w:tc>
          <w:tcPr>
            <w:tcW w:w="2835" w:type="dxa"/>
            <w:tcBorders>
              <w:left w:val="single" w:sz="4" w:space="0" w:color="FFFFFF"/>
              <w:right w:val="single" w:sz="4" w:space="0" w:color="FFFFFF"/>
            </w:tcBorders>
            <w:shd w:val="clear" w:color="auto" w:fill="4BACC6"/>
            <w:noWrap/>
            <w:vAlign w:val="center"/>
          </w:tcPr>
          <w:p w:rsidR="006970AF" w:rsidRPr="000063FC" w:rsidRDefault="001B7BA4">
            <w:pPr>
              <w:spacing w:line="240" w:lineRule="auto"/>
              <w:jc w:val="center"/>
              <w:rPr>
                <w:rFonts w:cs="Arial"/>
                <w:b/>
                <w:bCs/>
                <w:color w:val="FFFFFF"/>
                <w:sz w:val="18"/>
                <w:szCs w:val="18"/>
              </w:rPr>
            </w:pPr>
            <w:r w:rsidRPr="000063FC">
              <w:rPr>
                <w:rFonts w:cs="Arial"/>
                <w:b/>
                <w:bCs/>
                <w:color w:val="FFFFFF"/>
                <w:sz w:val="18"/>
                <w:szCs w:val="18"/>
              </w:rPr>
              <w:t>ECE propis</w:t>
            </w:r>
          </w:p>
        </w:tc>
        <w:tc>
          <w:tcPr>
            <w:tcW w:w="2424" w:type="dxa"/>
            <w:tcBorders>
              <w:left w:val="single" w:sz="4" w:space="0" w:color="FFFFFF"/>
            </w:tcBorders>
            <w:shd w:val="clear" w:color="auto" w:fill="4BACC6"/>
            <w:noWrap/>
            <w:vAlign w:val="center"/>
          </w:tcPr>
          <w:p w:rsidR="006970AF" w:rsidRPr="000063FC" w:rsidRDefault="001B7BA4">
            <w:pPr>
              <w:spacing w:line="240" w:lineRule="auto"/>
              <w:jc w:val="center"/>
              <w:rPr>
                <w:rFonts w:cs="Arial"/>
                <w:b/>
                <w:bCs/>
                <w:color w:val="FFFFFF"/>
                <w:sz w:val="18"/>
                <w:szCs w:val="18"/>
              </w:rPr>
            </w:pPr>
            <w:r w:rsidRPr="000063FC">
              <w:rPr>
                <w:rFonts w:cs="Arial"/>
                <w:b/>
                <w:bCs/>
                <w:color w:val="FFFFFF"/>
                <w:sz w:val="18"/>
                <w:szCs w:val="18"/>
              </w:rPr>
              <w:t>Godina proizvodnje vozila</w:t>
            </w:r>
          </w:p>
        </w:tc>
      </w:tr>
      <w:tr w:rsidR="001B7BA4" w:rsidRPr="000063FC" w:rsidTr="00B23695">
        <w:trPr>
          <w:trHeight w:val="20"/>
        </w:trPr>
        <w:tc>
          <w:tcPr>
            <w:tcW w:w="1985" w:type="dxa"/>
            <w:vMerge w:val="restart"/>
            <w:noWrap/>
            <w:vAlign w:val="center"/>
          </w:tcPr>
          <w:p w:rsidR="006970AF" w:rsidRPr="000063FC" w:rsidRDefault="001B7BA4">
            <w:pPr>
              <w:spacing w:line="240" w:lineRule="auto"/>
              <w:rPr>
                <w:rFonts w:cs="Arial"/>
                <w:b/>
                <w:bCs/>
                <w:sz w:val="18"/>
                <w:szCs w:val="18"/>
              </w:rPr>
            </w:pPr>
            <w:r w:rsidRPr="000063FC">
              <w:rPr>
                <w:rFonts w:cs="Arial"/>
                <w:b/>
                <w:bCs/>
                <w:sz w:val="18"/>
                <w:szCs w:val="18"/>
              </w:rPr>
              <w:t>Osobna vozila</w:t>
            </w:r>
            <w:r w:rsidRPr="000063FC">
              <w:rPr>
                <w:rFonts w:cs="Arial"/>
                <w:sz w:val="18"/>
                <w:szCs w:val="18"/>
              </w:rPr>
              <w:t> </w:t>
            </w:r>
          </w:p>
        </w:tc>
        <w:tc>
          <w:tcPr>
            <w:tcW w:w="1985" w:type="dxa"/>
            <w:vMerge w:val="restart"/>
            <w:noWrap/>
            <w:vAlign w:val="center"/>
          </w:tcPr>
          <w:p w:rsidR="006970AF" w:rsidRPr="000063FC" w:rsidRDefault="001B7BA4">
            <w:pPr>
              <w:spacing w:line="240" w:lineRule="auto"/>
              <w:rPr>
                <w:rFonts w:cs="Arial"/>
                <w:sz w:val="18"/>
                <w:szCs w:val="18"/>
              </w:rPr>
            </w:pPr>
            <w:r w:rsidRPr="000063FC">
              <w:rPr>
                <w:rFonts w:cs="Arial"/>
                <w:sz w:val="18"/>
                <w:szCs w:val="18"/>
              </w:rPr>
              <w:t>Otto - 4T &lt; 1,4 l </w:t>
            </w: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PRE ECE</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- 1971.</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ECE 15/00-01</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1972. - 1977.</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ECE 15/02</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1978. - 1980.</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ECE 15/03</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1981. - 1985.</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ECE 15/04</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1986. - 1992.</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Improved Conventional</w:t>
            </w:r>
          </w:p>
        </w:tc>
        <w:tc>
          <w:tcPr>
            <w:tcW w:w="2424" w:type="dxa"/>
            <w:noWrap/>
            <w:vAlign w:val="center"/>
          </w:tcPr>
          <w:p w:rsidR="006970AF" w:rsidRPr="000063FC" w:rsidRDefault="006970AF">
            <w:pPr>
              <w:spacing w:line="240" w:lineRule="auto"/>
              <w:ind w:firstLineChars="200" w:firstLine="360"/>
              <w:jc w:val="center"/>
              <w:rPr>
                <w:rFonts w:cs="Arial"/>
                <w:sz w:val="18"/>
                <w:szCs w:val="18"/>
              </w:rPr>
            </w:pP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Open Loop</w:t>
            </w:r>
          </w:p>
        </w:tc>
        <w:tc>
          <w:tcPr>
            <w:tcW w:w="2424" w:type="dxa"/>
            <w:noWrap/>
            <w:vAlign w:val="center"/>
          </w:tcPr>
          <w:p w:rsidR="006970AF" w:rsidRPr="000063FC" w:rsidRDefault="006970AF">
            <w:pPr>
              <w:spacing w:line="240" w:lineRule="auto"/>
              <w:ind w:firstLineChars="200" w:firstLine="360"/>
              <w:jc w:val="center"/>
              <w:rPr>
                <w:rFonts w:cs="Arial"/>
                <w:sz w:val="18"/>
                <w:szCs w:val="18"/>
              </w:rPr>
            </w:pP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 - 91/441/EEC</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1993. - 1996.</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II - 94/12/EC</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1997. - 2000.</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III - 98/69/EC Stage 2000</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2001. - 2005.</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IV - 98/69/EC Stage 2005</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2006. -</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val="restart"/>
            <w:noWrap/>
            <w:vAlign w:val="center"/>
          </w:tcPr>
          <w:p w:rsidR="006970AF" w:rsidRPr="000063FC" w:rsidRDefault="001B7BA4">
            <w:pPr>
              <w:spacing w:line="240" w:lineRule="auto"/>
              <w:rPr>
                <w:rFonts w:cs="Arial"/>
                <w:sz w:val="18"/>
                <w:szCs w:val="18"/>
              </w:rPr>
            </w:pPr>
            <w:r w:rsidRPr="000063FC">
              <w:rPr>
                <w:rFonts w:cs="Arial"/>
                <w:sz w:val="18"/>
                <w:szCs w:val="18"/>
              </w:rPr>
              <w:t>Otto - 4T 1,4 - 2,0 l</w:t>
            </w: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PRE ECE</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- 1971.</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ECE 15/00-01</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1972. - 1977.</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ECE 15/02</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1978. - 1980.</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ECE 15/03</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1981. - 1985.</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ECE 15/04</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1986. - 1992.</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Improved Conventional</w:t>
            </w:r>
          </w:p>
        </w:tc>
        <w:tc>
          <w:tcPr>
            <w:tcW w:w="2424" w:type="dxa"/>
            <w:noWrap/>
            <w:vAlign w:val="center"/>
          </w:tcPr>
          <w:p w:rsidR="006970AF" w:rsidRPr="000063FC" w:rsidRDefault="006970AF">
            <w:pPr>
              <w:spacing w:line="240" w:lineRule="auto"/>
              <w:ind w:firstLineChars="200" w:firstLine="360"/>
              <w:jc w:val="center"/>
              <w:rPr>
                <w:rFonts w:cs="Arial"/>
                <w:sz w:val="18"/>
                <w:szCs w:val="18"/>
              </w:rPr>
            </w:pP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Open Loop</w:t>
            </w:r>
          </w:p>
        </w:tc>
        <w:tc>
          <w:tcPr>
            <w:tcW w:w="2424" w:type="dxa"/>
            <w:noWrap/>
            <w:vAlign w:val="center"/>
          </w:tcPr>
          <w:p w:rsidR="006970AF" w:rsidRPr="000063FC" w:rsidRDefault="006970AF">
            <w:pPr>
              <w:spacing w:line="240" w:lineRule="auto"/>
              <w:ind w:firstLineChars="200" w:firstLine="360"/>
              <w:jc w:val="center"/>
              <w:rPr>
                <w:rFonts w:cs="Arial"/>
                <w:sz w:val="18"/>
                <w:szCs w:val="18"/>
              </w:rPr>
            </w:pP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 - 91/441/EEC</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1993. - 1996.</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II - 94/12/EC</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1997. - 2000.</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III - 98/69/EC Stage 2000</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2001. - 2005.</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IV - 98/69/EC Stage 2005</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2006. -</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val="restart"/>
            <w:noWrap/>
            <w:vAlign w:val="center"/>
          </w:tcPr>
          <w:p w:rsidR="006970AF" w:rsidRPr="000063FC" w:rsidRDefault="001B7BA4">
            <w:pPr>
              <w:spacing w:line="240" w:lineRule="auto"/>
              <w:rPr>
                <w:rFonts w:cs="Arial"/>
                <w:sz w:val="18"/>
                <w:szCs w:val="18"/>
              </w:rPr>
            </w:pPr>
            <w:r w:rsidRPr="000063FC">
              <w:rPr>
                <w:rFonts w:cs="Arial"/>
                <w:sz w:val="18"/>
                <w:szCs w:val="18"/>
              </w:rPr>
              <w:t>Otto - 4T &gt; 2,0 l</w:t>
            </w: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PRE ECE</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- 1971.</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ECE 15/00-01</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1972. - 1977.</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ECE 15/02</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1978. - 1980.</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ECE 15/03</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1981. - 1985.</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ECE 15/04</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1986. - 1992.</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 - 91/441/EEC</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1993. - 1996.</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II - 94/12/EC</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1997. - 2000.</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III - 98/69/EC Stage 2000</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2001. - 2005.</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IV - 98/69/EC Stage 2005</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2006. -</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val="restart"/>
            <w:noWrap/>
            <w:vAlign w:val="center"/>
          </w:tcPr>
          <w:p w:rsidR="006970AF" w:rsidRPr="000063FC" w:rsidRDefault="001B7BA4">
            <w:pPr>
              <w:spacing w:line="240" w:lineRule="auto"/>
              <w:rPr>
                <w:rFonts w:cs="Arial"/>
                <w:sz w:val="18"/>
                <w:szCs w:val="18"/>
              </w:rPr>
            </w:pPr>
            <w:r w:rsidRPr="000063FC">
              <w:rPr>
                <w:rFonts w:cs="Arial"/>
                <w:sz w:val="18"/>
                <w:szCs w:val="18"/>
              </w:rPr>
              <w:t>Diesel &lt; 2,0 l </w:t>
            </w: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- 1991.</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 - 91/441/EEC</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1992. - 1996.</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II - 94/12/EC</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1997. - 2000.</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III - 98/69/EC Stage 2000</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2001. - 2005.</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IV - 98/69/EC Stage 2005</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2006. -</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val="restart"/>
            <w:noWrap/>
            <w:vAlign w:val="center"/>
          </w:tcPr>
          <w:p w:rsidR="006970AF" w:rsidRPr="000063FC" w:rsidRDefault="001B7BA4">
            <w:pPr>
              <w:spacing w:line="240" w:lineRule="auto"/>
              <w:rPr>
                <w:rFonts w:cs="Arial"/>
                <w:sz w:val="18"/>
                <w:szCs w:val="18"/>
              </w:rPr>
            </w:pPr>
            <w:r w:rsidRPr="000063FC">
              <w:rPr>
                <w:rFonts w:cs="Arial"/>
                <w:sz w:val="18"/>
                <w:szCs w:val="18"/>
              </w:rPr>
              <w:t>Diesel &gt; 2,0 l </w:t>
            </w: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- 1991.</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 - 91/441/EEC</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1992. - 1996.</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II - 94/12/EC</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1997. - 2000.</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III - 98/69/EC Stage 2000</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2001. - 2005.</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IV - 98/69/EC Stage 2005</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2006. -</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val="restart"/>
            <w:noWrap/>
            <w:vAlign w:val="center"/>
          </w:tcPr>
          <w:p w:rsidR="006970AF" w:rsidRPr="000063FC" w:rsidRDefault="001B7BA4">
            <w:pPr>
              <w:spacing w:line="240" w:lineRule="auto"/>
              <w:rPr>
                <w:rFonts w:cs="Arial"/>
                <w:sz w:val="18"/>
                <w:szCs w:val="18"/>
              </w:rPr>
            </w:pPr>
            <w:r w:rsidRPr="000063FC">
              <w:rPr>
                <w:rFonts w:cs="Arial"/>
                <w:sz w:val="18"/>
                <w:szCs w:val="18"/>
              </w:rPr>
              <w:t>LPG  </w:t>
            </w: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- 1991.</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 - 91/441/EEC</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1992. - 1996.</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II - 94/12/EC</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1997. - 2000.</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III - 98/69/EC Stage 2000</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2001. - 2005.</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vMerge/>
            <w:noWrap/>
            <w:vAlign w:val="center"/>
          </w:tcPr>
          <w:p w:rsidR="006970AF" w:rsidRPr="000063FC" w:rsidRDefault="006970AF">
            <w:pPr>
              <w:spacing w:line="240" w:lineRule="auto"/>
              <w:rPr>
                <w:rFonts w:cs="Arial"/>
                <w:sz w:val="18"/>
                <w:szCs w:val="18"/>
              </w:rPr>
            </w:pP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Euro IV - 98/69/EC Stage 2005</w:t>
            </w:r>
          </w:p>
        </w:tc>
        <w:tc>
          <w:tcPr>
            <w:tcW w:w="2424" w:type="dxa"/>
            <w:noWrap/>
            <w:vAlign w:val="center"/>
          </w:tcPr>
          <w:p w:rsidR="006970AF" w:rsidRPr="000063FC" w:rsidRDefault="001B7BA4">
            <w:pPr>
              <w:spacing w:line="240" w:lineRule="auto"/>
              <w:ind w:firstLineChars="200" w:firstLine="360"/>
              <w:jc w:val="center"/>
              <w:rPr>
                <w:rFonts w:cs="Arial"/>
                <w:sz w:val="18"/>
                <w:szCs w:val="18"/>
              </w:rPr>
            </w:pPr>
            <w:r w:rsidRPr="000063FC">
              <w:rPr>
                <w:rFonts w:cs="Arial"/>
                <w:sz w:val="18"/>
                <w:szCs w:val="18"/>
              </w:rPr>
              <w:t>2006. -</w:t>
            </w:r>
          </w:p>
        </w:tc>
      </w:tr>
      <w:tr w:rsidR="001B7BA4" w:rsidRPr="000063FC" w:rsidTr="00B23695">
        <w:trPr>
          <w:trHeight w:val="20"/>
        </w:trPr>
        <w:tc>
          <w:tcPr>
            <w:tcW w:w="1985" w:type="dxa"/>
            <w:vMerge/>
            <w:noWrap/>
            <w:vAlign w:val="center"/>
          </w:tcPr>
          <w:p w:rsidR="006970AF" w:rsidRPr="000063FC" w:rsidRDefault="006970AF">
            <w:pPr>
              <w:spacing w:line="240" w:lineRule="auto"/>
              <w:rPr>
                <w:rFonts w:cs="Arial"/>
                <w:sz w:val="18"/>
                <w:szCs w:val="18"/>
              </w:rPr>
            </w:pPr>
          </w:p>
        </w:tc>
        <w:tc>
          <w:tcPr>
            <w:tcW w:w="1985" w:type="dxa"/>
            <w:noWrap/>
            <w:vAlign w:val="center"/>
          </w:tcPr>
          <w:p w:rsidR="006970AF" w:rsidRPr="000063FC" w:rsidRDefault="001B7BA4">
            <w:pPr>
              <w:spacing w:line="240" w:lineRule="auto"/>
              <w:rPr>
                <w:rFonts w:cs="Arial"/>
                <w:sz w:val="18"/>
                <w:szCs w:val="18"/>
              </w:rPr>
            </w:pPr>
            <w:r w:rsidRPr="000063FC">
              <w:rPr>
                <w:rFonts w:cs="Arial"/>
                <w:sz w:val="18"/>
                <w:szCs w:val="18"/>
              </w:rPr>
              <w:t>Otto - 2T</w:t>
            </w:r>
          </w:p>
        </w:tc>
        <w:tc>
          <w:tcPr>
            <w:tcW w:w="2835" w:type="dxa"/>
            <w:noWrap/>
            <w:vAlign w:val="center"/>
          </w:tcPr>
          <w:p w:rsidR="006970AF" w:rsidRPr="000063FC" w:rsidRDefault="001B7BA4">
            <w:pPr>
              <w:spacing w:line="240" w:lineRule="auto"/>
              <w:rPr>
                <w:rFonts w:cs="Arial"/>
                <w:sz w:val="18"/>
                <w:szCs w:val="18"/>
              </w:rPr>
            </w:pPr>
            <w:r w:rsidRPr="000063FC">
              <w:rPr>
                <w:rFonts w:cs="Arial"/>
                <w:sz w:val="18"/>
                <w:szCs w:val="18"/>
              </w:rPr>
              <w:t>Conventional</w:t>
            </w:r>
          </w:p>
        </w:tc>
        <w:tc>
          <w:tcPr>
            <w:tcW w:w="2424" w:type="dxa"/>
            <w:noWrap/>
            <w:vAlign w:val="center"/>
          </w:tcPr>
          <w:p w:rsidR="006970AF" w:rsidRPr="000063FC" w:rsidRDefault="006970AF">
            <w:pPr>
              <w:spacing w:line="240" w:lineRule="auto"/>
              <w:jc w:val="center"/>
              <w:rPr>
                <w:rFonts w:cs="Arial"/>
                <w:sz w:val="18"/>
                <w:szCs w:val="18"/>
              </w:rPr>
            </w:pPr>
          </w:p>
        </w:tc>
      </w:tr>
    </w:tbl>
    <w:p w:rsidR="00BC341E" w:rsidRPr="000063FC" w:rsidRDefault="00BC341E">
      <w:pPr>
        <w:spacing w:line="276" w:lineRule="auto"/>
        <w:rPr>
          <w:rFonts w:cs="Arial"/>
          <w:i/>
        </w:rPr>
      </w:pPr>
    </w:p>
    <w:p w:rsidR="00BC341E" w:rsidRPr="000063FC" w:rsidRDefault="001B7BA4" w:rsidP="00B33E2F">
      <w:pPr>
        <w:pStyle w:val="Heading6"/>
      </w:pPr>
      <w:r w:rsidRPr="000063FC">
        <w:br w:type="page"/>
      </w:r>
      <w:bookmarkStart w:id="96" w:name="_Toc251161329"/>
      <w:bookmarkStart w:id="97" w:name="_Toc254010236"/>
      <w:r w:rsidRPr="000063FC">
        <w:lastRenderedPageBreak/>
        <w:t xml:space="preserve">Tablica </w:t>
      </w:r>
      <w:r w:rsidR="00091508" w:rsidRPr="000063FC">
        <w:t>2</w:t>
      </w:r>
      <w:r w:rsidR="00FA4B2E">
        <w:t>.7</w:t>
      </w:r>
      <w:r w:rsidRPr="000063FC">
        <w:t xml:space="preserve">: Raspodjela </w:t>
      </w:r>
      <w:r w:rsidR="004F0A60" w:rsidRPr="000063FC">
        <w:t xml:space="preserve">teretnih </w:t>
      </w:r>
      <w:r w:rsidR="00B556F7" w:rsidRPr="000063FC">
        <w:t>vozila</w:t>
      </w:r>
      <w:r w:rsidR="004F0A60" w:rsidRPr="000063FC">
        <w:t xml:space="preserve">, autobusa, te mopeda i motocikala </w:t>
      </w:r>
      <w:r w:rsidRPr="000063FC">
        <w:t>po kategorijama i klasama</w:t>
      </w:r>
      <w:bookmarkEnd w:id="96"/>
      <w:bookmarkEnd w:id="97"/>
    </w:p>
    <w:tbl>
      <w:tblPr>
        <w:tblW w:w="9229" w:type="dxa"/>
        <w:tblInd w:w="93"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000" w:firstRow="0" w:lastRow="0" w:firstColumn="0" w:lastColumn="0" w:noHBand="0" w:noVBand="0"/>
      </w:tblPr>
      <w:tblGrid>
        <w:gridCol w:w="1985"/>
        <w:gridCol w:w="1985"/>
        <w:gridCol w:w="2835"/>
        <w:gridCol w:w="2424"/>
      </w:tblGrid>
      <w:tr w:rsidR="001B7BA4" w:rsidRPr="000063FC" w:rsidTr="00B23695">
        <w:trPr>
          <w:trHeight w:val="227"/>
        </w:trPr>
        <w:tc>
          <w:tcPr>
            <w:tcW w:w="1985" w:type="dxa"/>
            <w:tcBorders>
              <w:right w:val="single" w:sz="4" w:space="0" w:color="FFFFFF"/>
            </w:tcBorders>
            <w:shd w:val="clear" w:color="auto" w:fill="4BACC6"/>
            <w:noWrap/>
            <w:vAlign w:val="center"/>
          </w:tcPr>
          <w:p w:rsidR="006970AF" w:rsidRPr="000063FC" w:rsidRDefault="001B7BA4">
            <w:pPr>
              <w:spacing w:line="240" w:lineRule="auto"/>
              <w:jc w:val="center"/>
              <w:rPr>
                <w:rFonts w:asciiTheme="minorHAnsi" w:hAnsiTheme="minorHAnsi" w:cs="Arial"/>
                <w:b/>
                <w:color w:val="FFFFFF"/>
                <w:sz w:val="18"/>
                <w:szCs w:val="18"/>
              </w:rPr>
            </w:pPr>
            <w:r w:rsidRPr="000063FC">
              <w:rPr>
                <w:rFonts w:asciiTheme="minorHAnsi" w:hAnsiTheme="minorHAnsi" w:cs="Arial"/>
                <w:b/>
                <w:color w:val="FFFFFF"/>
                <w:sz w:val="18"/>
                <w:szCs w:val="18"/>
              </w:rPr>
              <w:t>Kategorija vozila</w:t>
            </w:r>
          </w:p>
        </w:tc>
        <w:tc>
          <w:tcPr>
            <w:tcW w:w="1985" w:type="dxa"/>
            <w:tcBorders>
              <w:left w:val="single" w:sz="4" w:space="0" w:color="FFFFFF"/>
              <w:right w:val="single" w:sz="4" w:space="0" w:color="FFFFFF"/>
            </w:tcBorders>
            <w:shd w:val="clear" w:color="auto" w:fill="4BACC6"/>
            <w:noWrap/>
            <w:vAlign w:val="center"/>
          </w:tcPr>
          <w:p w:rsidR="006970AF" w:rsidRPr="000063FC" w:rsidRDefault="001B7BA4">
            <w:pPr>
              <w:spacing w:line="240" w:lineRule="auto"/>
              <w:jc w:val="center"/>
              <w:rPr>
                <w:rFonts w:asciiTheme="minorHAnsi" w:hAnsiTheme="minorHAnsi" w:cs="Arial"/>
                <w:b/>
                <w:color w:val="FFFFFF"/>
                <w:sz w:val="18"/>
                <w:szCs w:val="18"/>
              </w:rPr>
            </w:pPr>
            <w:r w:rsidRPr="000063FC">
              <w:rPr>
                <w:rFonts w:asciiTheme="minorHAnsi" w:hAnsiTheme="minorHAnsi" w:cs="Arial"/>
                <w:b/>
                <w:color w:val="FFFFFF"/>
                <w:sz w:val="18"/>
                <w:szCs w:val="18"/>
              </w:rPr>
              <w:t>Klasifikacija vozila</w:t>
            </w:r>
          </w:p>
        </w:tc>
        <w:tc>
          <w:tcPr>
            <w:tcW w:w="2835" w:type="dxa"/>
            <w:tcBorders>
              <w:left w:val="single" w:sz="4" w:space="0" w:color="FFFFFF"/>
              <w:right w:val="single" w:sz="4" w:space="0" w:color="FFFFFF"/>
            </w:tcBorders>
            <w:shd w:val="clear" w:color="auto" w:fill="4BACC6"/>
            <w:noWrap/>
            <w:vAlign w:val="center"/>
          </w:tcPr>
          <w:p w:rsidR="006970AF" w:rsidRPr="000063FC" w:rsidRDefault="001B7BA4">
            <w:pPr>
              <w:spacing w:line="240" w:lineRule="auto"/>
              <w:jc w:val="center"/>
              <w:rPr>
                <w:rFonts w:asciiTheme="minorHAnsi" w:hAnsiTheme="minorHAnsi" w:cs="Arial"/>
                <w:b/>
                <w:color w:val="FFFFFF"/>
                <w:sz w:val="18"/>
                <w:szCs w:val="18"/>
              </w:rPr>
            </w:pPr>
            <w:r w:rsidRPr="000063FC">
              <w:rPr>
                <w:rFonts w:asciiTheme="minorHAnsi" w:hAnsiTheme="minorHAnsi" w:cs="Arial"/>
                <w:b/>
                <w:color w:val="FFFFFF"/>
                <w:sz w:val="18"/>
                <w:szCs w:val="18"/>
              </w:rPr>
              <w:t>ECE propis</w:t>
            </w:r>
          </w:p>
        </w:tc>
        <w:tc>
          <w:tcPr>
            <w:tcW w:w="2424" w:type="dxa"/>
            <w:tcBorders>
              <w:left w:val="single" w:sz="4" w:space="0" w:color="FFFFFF"/>
            </w:tcBorders>
            <w:shd w:val="clear" w:color="auto" w:fill="4BACC6"/>
            <w:noWrap/>
            <w:vAlign w:val="center"/>
          </w:tcPr>
          <w:p w:rsidR="006970AF" w:rsidRPr="000063FC" w:rsidRDefault="001B7BA4">
            <w:pPr>
              <w:spacing w:line="240" w:lineRule="auto"/>
              <w:jc w:val="center"/>
              <w:rPr>
                <w:rFonts w:asciiTheme="minorHAnsi" w:hAnsiTheme="minorHAnsi" w:cs="Arial"/>
                <w:b/>
                <w:color w:val="FFFFFF"/>
                <w:sz w:val="18"/>
                <w:szCs w:val="18"/>
              </w:rPr>
            </w:pPr>
            <w:r w:rsidRPr="000063FC">
              <w:rPr>
                <w:rFonts w:asciiTheme="minorHAnsi" w:hAnsiTheme="minorHAnsi" w:cs="Arial"/>
                <w:b/>
                <w:color w:val="FFFFFF"/>
                <w:sz w:val="18"/>
                <w:szCs w:val="18"/>
              </w:rPr>
              <w:t>Godina proizvodnje vozila</w:t>
            </w:r>
          </w:p>
        </w:tc>
      </w:tr>
      <w:tr w:rsidR="001B7BA4" w:rsidRPr="000063FC" w:rsidTr="00B23695">
        <w:trPr>
          <w:trHeight w:val="227"/>
        </w:trPr>
        <w:tc>
          <w:tcPr>
            <w:tcW w:w="1985" w:type="dxa"/>
            <w:vMerge w:val="restart"/>
            <w:noWrap/>
            <w:vAlign w:val="center"/>
          </w:tcPr>
          <w:p w:rsidR="006970AF" w:rsidRPr="000063FC" w:rsidRDefault="001B7BA4">
            <w:pPr>
              <w:spacing w:line="240" w:lineRule="auto"/>
              <w:rPr>
                <w:rFonts w:asciiTheme="minorHAnsi" w:hAnsiTheme="minorHAnsi" w:cs="Arial"/>
                <w:b/>
                <w:bCs/>
                <w:sz w:val="18"/>
                <w:szCs w:val="18"/>
              </w:rPr>
            </w:pPr>
            <w:r w:rsidRPr="000063FC">
              <w:rPr>
                <w:rFonts w:asciiTheme="minorHAnsi" w:hAnsiTheme="minorHAnsi" w:cs="Arial"/>
                <w:b/>
                <w:bCs/>
                <w:sz w:val="18"/>
                <w:szCs w:val="18"/>
              </w:rPr>
              <w:t>Laka teretna vozila</w:t>
            </w:r>
          </w:p>
        </w:tc>
        <w:tc>
          <w:tcPr>
            <w:tcW w:w="1985" w:type="dxa"/>
            <w:vMerge w:val="restart"/>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Otto - 4T &lt; 3,5 t </w:t>
            </w: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- 1992.</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 - 93/59/EEC</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1993. - 1997.</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 - 96/69/EC</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1998. - 2000.</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III - 98/69/EC Stage 2000</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2001. - 2005.</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IV - 98/69/EC Stage 2005</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2006. -</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val="restart"/>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Diesel &lt; 3,5 t</w:t>
            </w: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- 1992.</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 - 93/59/EEC</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1993. - 1997.</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 - 96/69/EC</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1998. - 2000.</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III - 98/69/EC Stage 2000</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2001. - 2005.</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IV - 98/69/EC Stage 2005</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2006. -</w:t>
            </w:r>
          </w:p>
        </w:tc>
      </w:tr>
      <w:tr w:rsidR="001B7BA4" w:rsidRPr="000063FC" w:rsidTr="00B23695">
        <w:trPr>
          <w:trHeight w:val="227"/>
        </w:trPr>
        <w:tc>
          <w:tcPr>
            <w:tcW w:w="1985" w:type="dxa"/>
            <w:vMerge w:val="restart"/>
            <w:noWrap/>
            <w:vAlign w:val="center"/>
          </w:tcPr>
          <w:p w:rsidR="006970AF" w:rsidRPr="000063FC" w:rsidRDefault="001B7BA4">
            <w:pPr>
              <w:spacing w:line="240" w:lineRule="auto"/>
              <w:rPr>
                <w:rFonts w:asciiTheme="minorHAnsi" w:hAnsiTheme="minorHAnsi" w:cs="Arial"/>
                <w:b/>
                <w:bCs/>
                <w:sz w:val="18"/>
                <w:szCs w:val="18"/>
              </w:rPr>
            </w:pPr>
            <w:r w:rsidRPr="000063FC">
              <w:rPr>
                <w:rFonts w:asciiTheme="minorHAnsi" w:hAnsiTheme="minorHAnsi" w:cs="Arial"/>
                <w:b/>
                <w:bCs/>
                <w:sz w:val="18"/>
                <w:szCs w:val="18"/>
              </w:rPr>
              <w:t>Teška teretna vozila</w:t>
            </w:r>
          </w:p>
        </w:tc>
        <w:tc>
          <w:tcPr>
            <w:tcW w:w="198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Otto - 4T &gt; 3,5 t</w:t>
            </w: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Conventional</w:t>
            </w:r>
          </w:p>
        </w:tc>
        <w:tc>
          <w:tcPr>
            <w:tcW w:w="2424" w:type="dxa"/>
            <w:noWrap/>
            <w:vAlign w:val="center"/>
          </w:tcPr>
          <w:p w:rsidR="006970AF" w:rsidRPr="000063FC" w:rsidRDefault="006970AF">
            <w:pPr>
              <w:spacing w:line="240" w:lineRule="auto"/>
              <w:jc w:val="center"/>
              <w:rPr>
                <w:rFonts w:asciiTheme="minorHAnsi" w:hAnsiTheme="minorHAnsi" w:cs="Arial"/>
                <w:sz w:val="18"/>
                <w:szCs w:val="18"/>
              </w:rPr>
            </w:pP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val="restart"/>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Diesel 3,5 - 7,5 t </w:t>
            </w: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- 1991.</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 - 91/542/EEC Stage I</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1992. - 1995.</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 - 91/542/EEC Stage II</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1996. - 2000.</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III - 2000 Standards</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2001. - 2004.</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IV - 2005 Standards</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2005. -</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val="restart"/>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Diesel 7,5 - 16 t</w:t>
            </w: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- 1991.</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 - 91/542/EEC Stage I</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1992. - 1995.</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 - 91/542/EEC Stage II</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1996. - 2000.</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III - 2000 Standards</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2001. - 2004.</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IV - 2005 Standards</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2005. -</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val="restart"/>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Diesel 16 - 32 t</w:t>
            </w: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- 1991.</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 - 91/542/EEC Stage I</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1992. - 1995.</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 - 91/542/EEC Stage II</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1996. - 2000.</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III - 2000 Standards</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2001. - 2004.</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IV - 2005 Standards</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2005. -</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val="restart"/>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Diesel &gt; 32 t</w:t>
            </w: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- 1991.</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 - 91/542/EEC Stage I</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1992. - 1995.</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 - 91/542/EEC Stage II</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1996. - 2000.</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III - 2000 Standards</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2001. - 2004.</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IV - 2005 Standards</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2005. -</w:t>
            </w:r>
          </w:p>
        </w:tc>
      </w:tr>
      <w:tr w:rsidR="001B7BA4" w:rsidRPr="000063FC" w:rsidTr="00B23695">
        <w:trPr>
          <w:trHeight w:val="227"/>
        </w:trPr>
        <w:tc>
          <w:tcPr>
            <w:tcW w:w="1985" w:type="dxa"/>
            <w:vMerge w:val="restart"/>
            <w:noWrap/>
            <w:vAlign w:val="center"/>
          </w:tcPr>
          <w:p w:rsidR="006970AF" w:rsidRPr="000063FC" w:rsidRDefault="001B7BA4">
            <w:pPr>
              <w:spacing w:line="240" w:lineRule="auto"/>
              <w:rPr>
                <w:rFonts w:asciiTheme="minorHAnsi" w:hAnsiTheme="minorHAnsi" w:cs="Arial"/>
                <w:b/>
                <w:bCs/>
                <w:sz w:val="18"/>
                <w:szCs w:val="18"/>
              </w:rPr>
            </w:pPr>
            <w:r w:rsidRPr="000063FC">
              <w:rPr>
                <w:rFonts w:asciiTheme="minorHAnsi" w:hAnsiTheme="minorHAnsi" w:cs="Arial"/>
                <w:b/>
                <w:bCs/>
                <w:sz w:val="18"/>
                <w:szCs w:val="18"/>
              </w:rPr>
              <w:t>Autobusi</w:t>
            </w:r>
          </w:p>
        </w:tc>
        <w:tc>
          <w:tcPr>
            <w:tcW w:w="1985" w:type="dxa"/>
            <w:vMerge w:val="restart"/>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Gradski autobusi</w:t>
            </w: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- 1991.</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 - 91/542/EEC Stage I</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1992. - 1995.</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 - 91/542/EEC Stage II</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1996. - 2000.</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III - 2000 Standards</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2001. - 2004.</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IV - 2005 Standards</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2005. -</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val="restart"/>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Međugradski  autobusi</w:t>
            </w: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- 1991.</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 - 91/542/EEC Stage I</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1992. - 1995.</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 - 91/542/EEC Stage II</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1996. - 2000.</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III - 2000 Standards</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2001. - 2004.</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Euro IV - 2005 Standards</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2005. -</w:t>
            </w:r>
          </w:p>
        </w:tc>
      </w:tr>
      <w:tr w:rsidR="001B7BA4" w:rsidRPr="000063FC" w:rsidTr="00B23695">
        <w:trPr>
          <w:trHeight w:val="227"/>
        </w:trPr>
        <w:tc>
          <w:tcPr>
            <w:tcW w:w="1985" w:type="dxa"/>
            <w:vMerge w:val="restart"/>
            <w:noWrap/>
            <w:vAlign w:val="center"/>
          </w:tcPr>
          <w:p w:rsidR="006970AF" w:rsidRPr="000063FC" w:rsidRDefault="001B7BA4">
            <w:pPr>
              <w:spacing w:line="240" w:lineRule="auto"/>
              <w:rPr>
                <w:rFonts w:asciiTheme="minorHAnsi" w:hAnsiTheme="minorHAnsi" w:cs="Arial"/>
                <w:b/>
                <w:bCs/>
                <w:sz w:val="18"/>
                <w:szCs w:val="18"/>
              </w:rPr>
            </w:pPr>
            <w:r w:rsidRPr="000063FC">
              <w:rPr>
                <w:rFonts w:asciiTheme="minorHAnsi" w:hAnsiTheme="minorHAnsi" w:cs="Arial"/>
                <w:b/>
                <w:bCs/>
                <w:sz w:val="18"/>
                <w:szCs w:val="18"/>
              </w:rPr>
              <w:t>Mopedi</w:t>
            </w:r>
            <w:r w:rsidRPr="000063FC">
              <w:rPr>
                <w:rFonts w:asciiTheme="minorHAnsi" w:hAnsiTheme="minorHAnsi" w:cs="Arial"/>
                <w:sz w:val="18"/>
                <w:szCs w:val="18"/>
              </w:rPr>
              <w:t> </w:t>
            </w:r>
          </w:p>
        </w:tc>
        <w:tc>
          <w:tcPr>
            <w:tcW w:w="1985" w:type="dxa"/>
            <w:vMerge w:val="restart"/>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&lt; 50 ccm </w:t>
            </w: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- 1998.</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97/24/EC Stage I</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1999. - 2000.</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97/24/EC Stage II</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2001. -</w:t>
            </w:r>
          </w:p>
        </w:tc>
      </w:tr>
      <w:tr w:rsidR="001B7BA4" w:rsidRPr="000063FC" w:rsidTr="00B23695">
        <w:trPr>
          <w:trHeight w:val="227"/>
        </w:trPr>
        <w:tc>
          <w:tcPr>
            <w:tcW w:w="1985" w:type="dxa"/>
            <w:vMerge w:val="restart"/>
            <w:noWrap/>
            <w:vAlign w:val="center"/>
          </w:tcPr>
          <w:p w:rsidR="006970AF" w:rsidRPr="000063FC" w:rsidRDefault="001B7BA4">
            <w:pPr>
              <w:spacing w:line="240" w:lineRule="auto"/>
              <w:rPr>
                <w:rFonts w:asciiTheme="minorHAnsi" w:hAnsiTheme="minorHAnsi" w:cs="Arial"/>
                <w:b/>
                <w:bCs/>
                <w:sz w:val="18"/>
                <w:szCs w:val="18"/>
              </w:rPr>
            </w:pPr>
            <w:r w:rsidRPr="000063FC">
              <w:rPr>
                <w:rFonts w:asciiTheme="minorHAnsi" w:hAnsiTheme="minorHAnsi" w:cs="Arial"/>
                <w:b/>
                <w:bCs/>
                <w:sz w:val="18"/>
                <w:szCs w:val="18"/>
              </w:rPr>
              <w:t>Motocikli</w:t>
            </w:r>
          </w:p>
        </w:tc>
        <w:tc>
          <w:tcPr>
            <w:tcW w:w="1985" w:type="dxa"/>
            <w:vMerge w:val="restart"/>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Otto - 2T &gt; 50 ccm</w:t>
            </w: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- 1998.</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97/24/EC</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1999. -</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val="restart"/>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Otto - 4T &lt; 250 ccm</w:t>
            </w: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- 1998.</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97/24/EC</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1999. -</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val="restart"/>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Otto - 4T 250 - 750 ccm</w:t>
            </w: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- 1998.</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97/24/EC</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1999. -</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val="restart"/>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Otto - 4T &gt; 750 ccm</w:t>
            </w: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Conventional</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- 1998.</w:t>
            </w:r>
          </w:p>
        </w:tc>
      </w:tr>
      <w:tr w:rsidR="001B7BA4" w:rsidRPr="000063FC" w:rsidTr="00B23695">
        <w:trPr>
          <w:trHeight w:val="227"/>
        </w:trPr>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1985" w:type="dxa"/>
            <w:vMerge/>
            <w:noWrap/>
            <w:vAlign w:val="center"/>
          </w:tcPr>
          <w:p w:rsidR="006970AF" w:rsidRPr="000063FC" w:rsidRDefault="006970AF">
            <w:pPr>
              <w:spacing w:line="240" w:lineRule="auto"/>
              <w:rPr>
                <w:rFonts w:asciiTheme="minorHAnsi" w:hAnsiTheme="minorHAnsi" w:cs="Arial"/>
                <w:sz w:val="18"/>
                <w:szCs w:val="18"/>
              </w:rPr>
            </w:pPr>
          </w:p>
        </w:tc>
        <w:tc>
          <w:tcPr>
            <w:tcW w:w="2835" w:type="dxa"/>
            <w:noWrap/>
            <w:vAlign w:val="center"/>
          </w:tcPr>
          <w:p w:rsidR="006970AF" w:rsidRPr="000063FC" w:rsidRDefault="001B7BA4">
            <w:pPr>
              <w:spacing w:line="240" w:lineRule="auto"/>
              <w:rPr>
                <w:rFonts w:asciiTheme="minorHAnsi" w:hAnsiTheme="minorHAnsi" w:cs="Arial"/>
                <w:sz w:val="18"/>
                <w:szCs w:val="18"/>
              </w:rPr>
            </w:pPr>
            <w:r w:rsidRPr="000063FC">
              <w:rPr>
                <w:rFonts w:asciiTheme="minorHAnsi" w:hAnsiTheme="minorHAnsi" w:cs="Arial"/>
                <w:sz w:val="18"/>
                <w:szCs w:val="18"/>
              </w:rPr>
              <w:t>97/24/EC</w:t>
            </w:r>
          </w:p>
        </w:tc>
        <w:tc>
          <w:tcPr>
            <w:tcW w:w="2424" w:type="dxa"/>
            <w:noWrap/>
            <w:vAlign w:val="center"/>
          </w:tcPr>
          <w:p w:rsidR="006970AF" w:rsidRPr="000063FC" w:rsidRDefault="001B7BA4">
            <w:pPr>
              <w:spacing w:line="240" w:lineRule="auto"/>
              <w:ind w:firstLineChars="200" w:firstLine="360"/>
              <w:jc w:val="center"/>
              <w:rPr>
                <w:rFonts w:asciiTheme="minorHAnsi" w:hAnsiTheme="minorHAnsi" w:cs="Arial"/>
                <w:sz w:val="18"/>
                <w:szCs w:val="18"/>
              </w:rPr>
            </w:pPr>
            <w:r w:rsidRPr="000063FC">
              <w:rPr>
                <w:rFonts w:asciiTheme="minorHAnsi" w:hAnsiTheme="minorHAnsi" w:cs="Arial"/>
                <w:sz w:val="18"/>
                <w:szCs w:val="18"/>
              </w:rPr>
              <w:t>1999. -</w:t>
            </w:r>
          </w:p>
        </w:tc>
      </w:tr>
    </w:tbl>
    <w:p w:rsidR="00F35240" w:rsidRPr="000063FC" w:rsidRDefault="00F35240">
      <w:pPr>
        <w:spacing w:after="240" w:line="276" w:lineRule="auto"/>
        <w:rPr>
          <w:b/>
          <w:szCs w:val="22"/>
        </w:rPr>
      </w:pPr>
      <w:bookmarkStart w:id="98" w:name="_Toc251161136"/>
    </w:p>
    <w:p w:rsidR="004F0A60" w:rsidRPr="000063FC" w:rsidRDefault="004F0A60" w:rsidP="004F0A60">
      <w:pPr>
        <w:spacing w:line="276" w:lineRule="auto"/>
        <w:rPr>
          <w:szCs w:val="22"/>
        </w:rPr>
      </w:pPr>
      <w:r w:rsidRPr="000063FC">
        <w:rPr>
          <w:szCs w:val="22"/>
        </w:rPr>
        <w:lastRenderedPageBreak/>
        <w:t>Na temelju podataka o uvjetima vožnje (prosječna brzina vožnje za različite kategorije vozila i režime vožnje), karakteristikama goriva te podacima o mjesečnim temperaturama, programski paket COPERT određuje emisijske faktore za:</w:t>
      </w:r>
    </w:p>
    <w:p w:rsidR="00BC341E" w:rsidRPr="000063FC" w:rsidRDefault="00AC64A5" w:rsidP="00AC64A5">
      <w:pPr>
        <w:pStyle w:val="ListParagraph"/>
        <w:numPr>
          <w:ilvl w:val="0"/>
          <w:numId w:val="8"/>
        </w:numPr>
        <w:rPr>
          <w:rFonts w:cs="Arial"/>
        </w:rPr>
      </w:pPr>
      <w:r w:rsidRPr="000063FC">
        <w:t xml:space="preserve">pojedinu vrstu emisije (toplog motora, </w:t>
      </w:r>
      <w:r w:rsidR="004F0A60" w:rsidRPr="000063FC">
        <w:t>hladnog starta i emisija zbog</w:t>
      </w:r>
      <w:bookmarkEnd w:id="98"/>
      <w:r w:rsidRPr="000063FC">
        <w:t xml:space="preserve"> </w:t>
      </w:r>
      <w:r w:rsidR="007B0169" w:rsidRPr="000063FC">
        <w:t>ishlapljivanja goriva)</w:t>
      </w:r>
      <w:r w:rsidRPr="000063FC">
        <w:t>;</w:t>
      </w:r>
    </w:p>
    <w:p w:rsidR="00BC341E" w:rsidRPr="000063FC" w:rsidRDefault="007B0169" w:rsidP="00AC64A5">
      <w:pPr>
        <w:pStyle w:val="ListParagraph"/>
        <w:numPr>
          <w:ilvl w:val="0"/>
          <w:numId w:val="8"/>
        </w:numPr>
      </w:pPr>
      <w:r w:rsidRPr="000063FC">
        <w:t>pojedinu kategoriju i klasu vozila</w:t>
      </w:r>
      <w:r w:rsidR="00AC64A5" w:rsidRPr="000063FC">
        <w:t>;</w:t>
      </w:r>
    </w:p>
    <w:p w:rsidR="00BC341E" w:rsidRDefault="007B0169" w:rsidP="007F6F90">
      <w:pPr>
        <w:pStyle w:val="ListParagraph"/>
        <w:numPr>
          <w:ilvl w:val="0"/>
          <w:numId w:val="8"/>
        </w:numPr>
        <w:spacing w:after="0"/>
        <w:rPr>
          <w:rFonts w:cs="Arial"/>
        </w:rPr>
      </w:pPr>
      <w:r w:rsidRPr="000063FC">
        <w:t>različite režime vožnje (</w:t>
      </w:r>
      <w:r w:rsidRPr="000063FC">
        <w:rPr>
          <w:rFonts w:cs="Arial"/>
        </w:rPr>
        <w:t>gradska (urbana) područja, izvangradska (ruralna) područja i autoput).</w:t>
      </w:r>
    </w:p>
    <w:p w:rsidR="007F6F90" w:rsidRPr="007F6F90" w:rsidRDefault="007F6F90" w:rsidP="007F6F90">
      <w:pPr>
        <w:rPr>
          <w:rFonts w:cs="Arial"/>
        </w:rPr>
      </w:pPr>
    </w:p>
    <w:p w:rsidR="00BC341E" w:rsidRPr="000063FC" w:rsidRDefault="007B0169">
      <w:pPr>
        <w:spacing w:line="276" w:lineRule="auto"/>
        <w:rPr>
          <w:szCs w:val="22"/>
        </w:rPr>
      </w:pPr>
      <w:r w:rsidRPr="000063FC">
        <w:rPr>
          <w:szCs w:val="22"/>
        </w:rPr>
        <w:t>Potrebni ulazni pod</w:t>
      </w:r>
      <w:r w:rsidR="00AC64A5" w:rsidRPr="000063FC">
        <w:rPr>
          <w:szCs w:val="22"/>
        </w:rPr>
        <w:t>aci za određivanje emisija CO</w:t>
      </w:r>
      <w:r w:rsidR="00AC64A5" w:rsidRPr="000063FC">
        <w:rPr>
          <w:szCs w:val="22"/>
          <w:vertAlign w:val="subscript"/>
        </w:rPr>
        <w:t>2</w:t>
      </w:r>
      <w:r w:rsidRPr="000063FC">
        <w:rPr>
          <w:szCs w:val="22"/>
        </w:rPr>
        <w:t xml:space="preserve"> uslijed izgaranja i ishlapljivanja goriva </w:t>
      </w:r>
      <w:r w:rsidR="00AC64A5" w:rsidRPr="000063FC">
        <w:rPr>
          <w:szCs w:val="22"/>
        </w:rPr>
        <w:t xml:space="preserve">iz cestovnog prometa, prema </w:t>
      </w:r>
      <w:r w:rsidRPr="000063FC">
        <w:rPr>
          <w:szCs w:val="22"/>
        </w:rPr>
        <w:t>COPERT</w:t>
      </w:r>
      <w:r w:rsidR="00AC64A5" w:rsidRPr="000063FC">
        <w:rPr>
          <w:szCs w:val="22"/>
        </w:rPr>
        <w:t xml:space="preserve"> metodologiji</w:t>
      </w:r>
      <w:r w:rsidRPr="000063FC">
        <w:rPr>
          <w:szCs w:val="22"/>
        </w:rPr>
        <w:t xml:space="preserve">, prikazani su u tablici </w:t>
      </w:r>
      <w:r w:rsidR="008E1FA8" w:rsidRPr="000063FC">
        <w:rPr>
          <w:szCs w:val="22"/>
        </w:rPr>
        <w:t>2</w:t>
      </w:r>
      <w:r w:rsidRPr="000063FC">
        <w:rPr>
          <w:szCs w:val="22"/>
        </w:rPr>
        <w:t>.8.</w:t>
      </w:r>
    </w:p>
    <w:p w:rsidR="00AC64A5" w:rsidRPr="000063FC" w:rsidRDefault="00AC64A5" w:rsidP="00B33E2F">
      <w:pPr>
        <w:pStyle w:val="Heading6"/>
      </w:pPr>
      <w:bookmarkStart w:id="99" w:name="_Toc251161331"/>
    </w:p>
    <w:p w:rsidR="00BC341E" w:rsidRPr="000063FC" w:rsidRDefault="007B0169" w:rsidP="00B33E2F">
      <w:pPr>
        <w:pStyle w:val="Heading6"/>
      </w:pPr>
      <w:bookmarkStart w:id="100" w:name="_Toc254010237"/>
      <w:r w:rsidRPr="000063FC">
        <w:t>Tablica 2.8: Ulazni podaci za proračun emisije pomoću COPERT</w:t>
      </w:r>
      <w:bookmarkEnd w:id="99"/>
      <w:r w:rsidR="00AC64A5" w:rsidRPr="000063FC">
        <w:t xml:space="preserve"> metodologije</w:t>
      </w:r>
      <w:bookmarkEnd w:id="100"/>
    </w:p>
    <w:tbl>
      <w:tblPr>
        <w:tblW w:w="9214" w:type="dxa"/>
        <w:tblInd w:w="108"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000" w:firstRow="0" w:lastRow="0" w:firstColumn="0" w:lastColumn="0" w:noHBand="0" w:noVBand="0"/>
      </w:tblPr>
      <w:tblGrid>
        <w:gridCol w:w="3274"/>
        <w:gridCol w:w="4806"/>
        <w:gridCol w:w="1134"/>
      </w:tblGrid>
      <w:tr w:rsidR="00F93792" w:rsidRPr="000063FC" w:rsidTr="00F35240">
        <w:trPr>
          <w:trHeight w:val="227"/>
        </w:trPr>
        <w:tc>
          <w:tcPr>
            <w:tcW w:w="3274" w:type="dxa"/>
            <w:tcBorders>
              <w:right w:val="single" w:sz="4" w:space="0" w:color="FFFFFF"/>
            </w:tcBorders>
            <w:shd w:val="clear" w:color="auto" w:fill="4BACC6"/>
            <w:vAlign w:val="center"/>
          </w:tcPr>
          <w:p w:rsidR="00BC341E" w:rsidRPr="000063FC" w:rsidRDefault="00F93792">
            <w:pPr>
              <w:spacing w:line="240" w:lineRule="auto"/>
              <w:jc w:val="center"/>
              <w:rPr>
                <w:rFonts w:asciiTheme="minorHAnsi" w:hAnsiTheme="minorHAnsi" w:cs="Arial"/>
                <w:b/>
                <w:bCs/>
                <w:color w:val="FFFFFF"/>
                <w:sz w:val="20"/>
              </w:rPr>
            </w:pPr>
            <w:r w:rsidRPr="000063FC">
              <w:rPr>
                <w:rFonts w:asciiTheme="minorHAnsi" w:hAnsiTheme="minorHAnsi" w:cs="Arial"/>
                <w:b/>
                <w:bCs/>
                <w:color w:val="FFFFFF"/>
                <w:sz w:val="20"/>
              </w:rPr>
              <w:t>Sektor/pod-sektor/aktivnost</w:t>
            </w:r>
          </w:p>
        </w:tc>
        <w:tc>
          <w:tcPr>
            <w:tcW w:w="4806" w:type="dxa"/>
            <w:tcBorders>
              <w:left w:val="single" w:sz="4" w:space="0" w:color="FFFFFF"/>
              <w:right w:val="single" w:sz="4" w:space="0" w:color="FFFFFF"/>
            </w:tcBorders>
            <w:shd w:val="clear" w:color="auto" w:fill="4BACC6"/>
            <w:vAlign w:val="center"/>
          </w:tcPr>
          <w:p w:rsidR="00BC341E" w:rsidRPr="000063FC" w:rsidRDefault="00F93792">
            <w:pPr>
              <w:spacing w:line="240" w:lineRule="auto"/>
              <w:jc w:val="center"/>
              <w:rPr>
                <w:rFonts w:asciiTheme="minorHAnsi" w:hAnsiTheme="minorHAnsi" w:cs="Arial"/>
                <w:b/>
                <w:bCs/>
                <w:color w:val="FFFFFF"/>
                <w:sz w:val="20"/>
              </w:rPr>
            </w:pPr>
            <w:r w:rsidRPr="000063FC">
              <w:rPr>
                <w:rFonts w:asciiTheme="minorHAnsi" w:hAnsiTheme="minorHAnsi" w:cs="Arial"/>
                <w:b/>
                <w:bCs/>
                <w:color w:val="FFFFFF"/>
                <w:sz w:val="20"/>
              </w:rPr>
              <w:t>Ulazni podaci</w:t>
            </w:r>
          </w:p>
        </w:tc>
        <w:tc>
          <w:tcPr>
            <w:tcW w:w="1134" w:type="dxa"/>
            <w:tcBorders>
              <w:left w:val="single" w:sz="4" w:space="0" w:color="FFFFFF"/>
            </w:tcBorders>
            <w:shd w:val="clear" w:color="auto" w:fill="4BACC6"/>
            <w:vAlign w:val="center"/>
          </w:tcPr>
          <w:p w:rsidR="00BC341E" w:rsidRPr="000063FC" w:rsidRDefault="00F93792">
            <w:pPr>
              <w:spacing w:line="240" w:lineRule="auto"/>
              <w:jc w:val="center"/>
              <w:rPr>
                <w:rFonts w:asciiTheme="minorHAnsi" w:hAnsiTheme="minorHAnsi" w:cs="Arial"/>
                <w:b/>
                <w:bCs/>
                <w:color w:val="FFFFFF"/>
                <w:sz w:val="20"/>
              </w:rPr>
            </w:pPr>
            <w:r w:rsidRPr="000063FC">
              <w:rPr>
                <w:rFonts w:asciiTheme="minorHAnsi" w:hAnsiTheme="minorHAnsi" w:cs="Arial"/>
                <w:b/>
                <w:bCs/>
                <w:color w:val="FFFFFF"/>
                <w:sz w:val="20"/>
              </w:rPr>
              <w:t>Jedinica</w:t>
            </w:r>
          </w:p>
        </w:tc>
      </w:tr>
      <w:tr w:rsidR="00F93792" w:rsidRPr="000063FC" w:rsidTr="00F35240">
        <w:trPr>
          <w:trHeight w:val="227"/>
        </w:trPr>
        <w:tc>
          <w:tcPr>
            <w:tcW w:w="3274" w:type="dxa"/>
            <w:vMerge w:val="restart"/>
          </w:tcPr>
          <w:p w:rsidR="00BC341E" w:rsidRPr="000063FC" w:rsidRDefault="00F93792">
            <w:pPr>
              <w:spacing w:line="240" w:lineRule="auto"/>
              <w:rPr>
                <w:rFonts w:asciiTheme="minorHAnsi" w:hAnsiTheme="minorHAnsi" w:cs="Arial"/>
                <w:b/>
                <w:sz w:val="20"/>
              </w:rPr>
            </w:pPr>
            <w:r w:rsidRPr="000063FC">
              <w:rPr>
                <w:rFonts w:asciiTheme="minorHAnsi" w:hAnsiTheme="minorHAnsi" w:cs="Arial"/>
                <w:b/>
                <w:sz w:val="20"/>
              </w:rPr>
              <w:t>Cestovni promet</w:t>
            </w:r>
          </w:p>
          <w:p w:rsidR="00BC341E" w:rsidRPr="000063FC" w:rsidRDefault="00F93792">
            <w:pPr>
              <w:spacing w:before="60" w:line="240" w:lineRule="auto"/>
              <w:ind w:left="227"/>
              <w:rPr>
                <w:rFonts w:asciiTheme="minorHAnsi" w:hAnsiTheme="minorHAnsi" w:cs="Arial"/>
                <w:b/>
                <w:sz w:val="20"/>
              </w:rPr>
            </w:pPr>
            <w:r w:rsidRPr="000063FC">
              <w:rPr>
                <w:rFonts w:asciiTheme="minorHAnsi" w:hAnsiTheme="minorHAnsi" w:cs="Arial"/>
                <w:sz w:val="20"/>
              </w:rPr>
              <w:t>Osobna vozila</w:t>
            </w:r>
          </w:p>
          <w:p w:rsidR="00BC341E" w:rsidRPr="000063FC" w:rsidRDefault="00F93792">
            <w:pPr>
              <w:spacing w:before="60" w:line="240" w:lineRule="auto"/>
              <w:ind w:left="227"/>
              <w:rPr>
                <w:rFonts w:asciiTheme="minorHAnsi" w:hAnsiTheme="minorHAnsi" w:cs="Arial"/>
                <w:sz w:val="20"/>
              </w:rPr>
            </w:pPr>
            <w:r w:rsidRPr="000063FC">
              <w:rPr>
                <w:rFonts w:asciiTheme="minorHAnsi" w:hAnsiTheme="minorHAnsi" w:cs="Arial"/>
                <w:sz w:val="20"/>
              </w:rPr>
              <w:t>Laka teretna vozila</w:t>
            </w:r>
          </w:p>
          <w:p w:rsidR="00BC341E" w:rsidRPr="000063FC" w:rsidRDefault="00F93792">
            <w:pPr>
              <w:spacing w:before="60" w:line="240" w:lineRule="auto"/>
              <w:ind w:left="227"/>
              <w:rPr>
                <w:rFonts w:asciiTheme="minorHAnsi" w:hAnsiTheme="minorHAnsi" w:cs="Arial"/>
                <w:sz w:val="20"/>
              </w:rPr>
            </w:pPr>
            <w:r w:rsidRPr="000063FC">
              <w:rPr>
                <w:rFonts w:asciiTheme="minorHAnsi" w:hAnsiTheme="minorHAnsi" w:cs="Arial"/>
                <w:sz w:val="20"/>
              </w:rPr>
              <w:t>Teška teretna vozila i autobusi</w:t>
            </w:r>
          </w:p>
          <w:p w:rsidR="00BC341E" w:rsidRPr="000063FC" w:rsidRDefault="00F93792">
            <w:pPr>
              <w:spacing w:before="60" w:line="240" w:lineRule="auto"/>
              <w:ind w:left="227"/>
              <w:rPr>
                <w:rFonts w:asciiTheme="minorHAnsi" w:hAnsiTheme="minorHAnsi" w:cs="Arial"/>
                <w:sz w:val="20"/>
              </w:rPr>
            </w:pPr>
            <w:r w:rsidRPr="000063FC">
              <w:rPr>
                <w:rFonts w:asciiTheme="minorHAnsi" w:hAnsiTheme="minorHAnsi" w:cs="Arial"/>
                <w:sz w:val="20"/>
              </w:rPr>
              <w:t xml:space="preserve">Mopedi i motocikli </w:t>
            </w:r>
          </w:p>
          <w:p w:rsidR="00BC341E" w:rsidRPr="000063FC" w:rsidRDefault="00F93792">
            <w:pPr>
              <w:spacing w:before="60" w:line="240" w:lineRule="auto"/>
              <w:ind w:left="227"/>
              <w:rPr>
                <w:rFonts w:asciiTheme="minorHAnsi" w:hAnsiTheme="minorHAnsi" w:cs="Arial"/>
                <w:sz w:val="20"/>
              </w:rPr>
            </w:pPr>
            <w:r w:rsidRPr="000063FC">
              <w:rPr>
                <w:rFonts w:asciiTheme="minorHAnsi" w:hAnsiTheme="minorHAnsi" w:cs="Arial"/>
                <w:sz w:val="20"/>
              </w:rPr>
              <w:t>Motocikli</w:t>
            </w:r>
          </w:p>
          <w:p w:rsidR="00BC341E" w:rsidRPr="000063FC" w:rsidRDefault="00F93792">
            <w:pPr>
              <w:spacing w:before="60" w:line="240" w:lineRule="auto"/>
              <w:ind w:left="227"/>
              <w:rPr>
                <w:rFonts w:asciiTheme="minorHAnsi" w:hAnsiTheme="minorHAnsi" w:cs="Arial"/>
                <w:b/>
                <w:sz w:val="20"/>
              </w:rPr>
            </w:pPr>
            <w:r w:rsidRPr="000063FC">
              <w:rPr>
                <w:rFonts w:asciiTheme="minorHAnsi" w:hAnsiTheme="minorHAnsi" w:cs="Arial"/>
                <w:sz w:val="20"/>
              </w:rPr>
              <w:t>Ishlapljivanje goriva</w:t>
            </w:r>
          </w:p>
          <w:p w:rsidR="00BC341E" w:rsidRPr="000063FC" w:rsidRDefault="00F93792">
            <w:pPr>
              <w:spacing w:line="240" w:lineRule="auto"/>
              <w:rPr>
                <w:rFonts w:asciiTheme="minorHAnsi" w:hAnsiTheme="minorHAnsi" w:cs="Arial"/>
                <w:b/>
                <w:sz w:val="20"/>
              </w:rPr>
            </w:pPr>
            <w:r w:rsidRPr="000063FC">
              <w:rPr>
                <w:rFonts w:asciiTheme="minorHAnsi" w:hAnsiTheme="minorHAnsi" w:cs="Arial"/>
                <w:b/>
                <w:bCs/>
                <w:sz w:val="20"/>
              </w:rPr>
              <w:t> </w:t>
            </w:r>
          </w:p>
        </w:tc>
        <w:tc>
          <w:tcPr>
            <w:tcW w:w="4806" w:type="dxa"/>
            <w:vMerge w:val="restart"/>
            <w:vAlign w:val="center"/>
          </w:tcPr>
          <w:p w:rsidR="00BC341E" w:rsidRPr="000063FC" w:rsidRDefault="00F93792">
            <w:pPr>
              <w:spacing w:line="240" w:lineRule="auto"/>
              <w:rPr>
                <w:rFonts w:asciiTheme="minorHAnsi" w:hAnsiTheme="minorHAnsi" w:cs="Arial"/>
                <w:sz w:val="20"/>
              </w:rPr>
            </w:pPr>
            <w:r w:rsidRPr="000063FC">
              <w:rPr>
                <w:rFonts w:asciiTheme="minorHAnsi" w:hAnsiTheme="minorHAnsi" w:cs="Arial"/>
                <w:b/>
                <w:bCs/>
                <w:sz w:val="20"/>
              </w:rPr>
              <w:t>Podaci o gorivu</w:t>
            </w:r>
            <w:r w:rsidRPr="000063FC">
              <w:rPr>
                <w:rFonts w:asciiTheme="minorHAnsi" w:hAnsiTheme="minorHAnsi" w:cs="Arial"/>
                <w:sz w:val="20"/>
              </w:rPr>
              <w:t xml:space="preserve"> </w:t>
            </w:r>
          </w:p>
          <w:p w:rsidR="00BC341E" w:rsidRPr="000063FC" w:rsidRDefault="00F93792">
            <w:pPr>
              <w:spacing w:line="240" w:lineRule="auto"/>
              <w:ind w:left="227"/>
              <w:rPr>
                <w:rFonts w:asciiTheme="minorHAnsi" w:hAnsiTheme="minorHAnsi" w:cs="Arial"/>
                <w:sz w:val="20"/>
              </w:rPr>
            </w:pPr>
            <w:r w:rsidRPr="000063FC">
              <w:rPr>
                <w:rFonts w:asciiTheme="minorHAnsi" w:hAnsiTheme="minorHAnsi" w:cs="Arial"/>
                <w:sz w:val="20"/>
              </w:rPr>
              <w:t>potrošnja goriva</w:t>
            </w:r>
          </w:p>
          <w:p w:rsidR="00BC341E" w:rsidRPr="000063FC" w:rsidRDefault="00F93792">
            <w:pPr>
              <w:spacing w:line="240" w:lineRule="auto"/>
              <w:ind w:left="227"/>
              <w:rPr>
                <w:rFonts w:asciiTheme="minorHAnsi" w:hAnsiTheme="minorHAnsi" w:cs="Arial"/>
                <w:sz w:val="20"/>
              </w:rPr>
            </w:pPr>
            <w:r w:rsidRPr="000063FC">
              <w:rPr>
                <w:rFonts w:asciiTheme="minorHAnsi" w:hAnsiTheme="minorHAnsi" w:cs="Arial"/>
                <w:sz w:val="20"/>
              </w:rPr>
              <w:t>sadržaj sumpora u gorivu</w:t>
            </w:r>
          </w:p>
          <w:p w:rsidR="00BC341E" w:rsidRPr="000063FC" w:rsidRDefault="00F93792">
            <w:pPr>
              <w:spacing w:line="240" w:lineRule="auto"/>
              <w:ind w:left="227"/>
              <w:rPr>
                <w:rFonts w:asciiTheme="minorHAnsi" w:hAnsiTheme="minorHAnsi" w:cs="Arial"/>
                <w:sz w:val="20"/>
              </w:rPr>
            </w:pPr>
            <w:r w:rsidRPr="000063FC">
              <w:rPr>
                <w:rFonts w:asciiTheme="minorHAnsi" w:hAnsiTheme="minorHAnsi" w:cs="Arial"/>
                <w:sz w:val="20"/>
              </w:rPr>
              <w:t>sadržaj olova u gorivu</w:t>
            </w:r>
          </w:p>
        </w:tc>
        <w:tc>
          <w:tcPr>
            <w:tcW w:w="1134" w:type="dxa"/>
            <w:vAlign w:val="center"/>
          </w:tcPr>
          <w:p w:rsidR="00BC341E" w:rsidRPr="000063FC" w:rsidRDefault="00BC341E">
            <w:pPr>
              <w:spacing w:line="240" w:lineRule="auto"/>
              <w:jc w:val="center"/>
              <w:rPr>
                <w:rFonts w:asciiTheme="minorHAnsi" w:hAnsiTheme="minorHAnsi" w:cs="Arial"/>
                <w:sz w:val="20"/>
              </w:rPr>
            </w:pPr>
          </w:p>
        </w:tc>
      </w:tr>
      <w:tr w:rsidR="00F93792" w:rsidRPr="000063FC" w:rsidTr="00F35240">
        <w:trPr>
          <w:trHeight w:val="227"/>
        </w:trPr>
        <w:tc>
          <w:tcPr>
            <w:tcW w:w="3274" w:type="dxa"/>
            <w:vMerge/>
          </w:tcPr>
          <w:p w:rsidR="00BC341E" w:rsidRPr="000063FC" w:rsidRDefault="00BC341E">
            <w:pPr>
              <w:spacing w:line="240" w:lineRule="auto"/>
              <w:rPr>
                <w:rFonts w:asciiTheme="minorHAnsi" w:hAnsiTheme="minorHAnsi" w:cs="Arial"/>
                <w:b/>
                <w:sz w:val="20"/>
              </w:rPr>
            </w:pPr>
          </w:p>
        </w:tc>
        <w:tc>
          <w:tcPr>
            <w:tcW w:w="4806" w:type="dxa"/>
            <w:vMerge/>
            <w:vAlign w:val="center"/>
          </w:tcPr>
          <w:p w:rsidR="00BC341E" w:rsidRPr="000063FC" w:rsidRDefault="00BC341E">
            <w:pPr>
              <w:spacing w:line="240" w:lineRule="auto"/>
              <w:ind w:left="227"/>
              <w:rPr>
                <w:rFonts w:asciiTheme="minorHAnsi" w:hAnsiTheme="minorHAnsi" w:cs="Arial"/>
                <w:b/>
                <w:bCs/>
                <w:sz w:val="20"/>
              </w:rPr>
            </w:pPr>
          </w:p>
        </w:tc>
        <w:tc>
          <w:tcPr>
            <w:tcW w:w="1134" w:type="dxa"/>
            <w:vAlign w:val="center"/>
          </w:tcPr>
          <w:p w:rsidR="00BC341E" w:rsidRPr="000063FC" w:rsidRDefault="00F93792">
            <w:pPr>
              <w:spacing w:line="240" w:lineRule="auto"/>
              <w:jc w:val="center"/>
              <w:rPr>
                <w:rFonts w:asciiTheme="minorHAnsi" w:hAnsiTheme="minorHAnsi" w:cs="Arial"/>
                <w:sz w:val="20"/>
              </w:rPr>
            </w:pPr>
            <w:r w:rsidRPr="000063FC">
              <w:rPr>
                <w:rFonts w:asciiTheme="minorHAnsi" w:hAnsiTheme="minorHAnsi" w:cs="Arial"/>
                <w:sz w:val="20"/>
              </w:rPr>
              <w:t>t</w:t>
            </w:r>
          </w:p>
        </w:tc>
      </w:tr>
      <w:tr w:rsidR="00F93792" w:rsidRPr="000063FC" w:rsidTr="00F35240">
        <w:trPr>
          <w:trHeight w:val="227"/>
        </w:trPr>
        <w:tc>
          <w:tcPr>
            <w:tcW w:w="3274" w:type="dxa"/>
            <w:vMerge/>
            <w:vAlign w:val="center"/>
          </w:tcPr>
          <w:p w:rsidR="00BC341E" w:rsidRPr="000063FC" w:rsidRDefault="00BC341E">
            <w:pPr>
              <w:spacing w:line="240" w:lineRule="auto"/>
              <w:rPr>
                <w:rFonts w:asciiTheme="minorHAnsi" w:hAnsiTheme="minorHAnsi" w:cs="Arial"/>
                <w:sz w:val="20"/>
              </w:rPr>
            </w:pPr>
          </w:p>
        </w:tc>
        <w:tc>
          <w:tcPr>
            <w:tcW w:w="4806" w:type="dxa"/>
            <w:vMerge/>
            <w:vAlign w:val="center"/>
          </w:tcPr>
          <w:p w:rsidR="00BC341E" w:rsidRPr="000063FC" w:rsidRDefault="00BC341E">
            <w:pPr>
              <w:spacing w:line="240" w:lineRule="auto"/>
              <w:ind w:left="227"/>
              <w:rPr>
                <w:rFonts w:asciiTheme="minorHAnsi" w:hAnsiTheme="minorHAnsi" w:cs="Arial"/>
                <w:sz w:val="20"/>
              </w:rPr>
            </w:pPr>
          </w:p>
        </w:tc>
        <w:tc>
          <w:tcPr>
            <w:tcW w:w="1134" w:type="dxa"/>
            <w:vAlign w:val="center"/>
          </w:tcPr>
          <w:p w:rsidR="00BC341E" w:rsidRPr="000063FC" w:rsidRDefault="00F93792">
            <w:pPr>
              <w:spacing w:line="240" w:lineRule="auto"/>
              <w:jc w:val="center"/>
              <w:rPr>
                <w:rFonts w:asciiTheme="minorHAnsi" w:hAnsiTheme="minorHAnsi" w:cs="Arial"/>
                <w:sz w:val="20"/>
              </w:rPr>
            </w:pPr>
            <w:r w:rsidRPr="000063FC">
              <w:rPr>
                <w:rFonts w:asciiTheme="minorHAnsi" w:hAnsiTheme="minorHAnsi" w:cs="Arial"/>
                <w:sz w:val="20"/>
              </w:rPr>
              <w:t>%</w:t>
            </w:r>
          </w:p>
        </w:tc>
      </w:tr>
      <w:tr w:rsidR="00F93792" w:rsidRPr="000063FC" w:rsidTr="00F35240">
        <w:trPr>
          <w:trHeight w:val="227"/>
        </w:trPr>
        <w:tc>
          <w:tcPr>
            <w:tcW w:w="3274" w:type="dxa"/>
            <w:vMerge/>
            <w:vAlign w:val="center"/>
          </w:tcPr>
          <w:p w:rsidR="00BC341E" w:rsidRPr="000063FC" w:rsidRDefault="00BC341E">
            <w:pPr>
              <w:spacing w:line="240" w:lineRule="auto"/>
              <w:rPr>
                <w:rFonts w:asciiTheme="minorHAnsi" w:hAnsiTheme="minorHAnsi" w:cs="Arial"/>
                <w:sz w:val="20"/>
              </w:rPr>
            </w:pPr>
          </w:p>
        </w:tc>
        <w:tc>
          <w:tcPr>
            <w:tcW w:w="4806" w:type="dxa"/>
            <w:vMerge/>
            <w:vAlign w:val="center"/>
          </w:tcPr>
          <w:p w:rsidR="00BC341E" w:rsidRPr="000063FC" w:rsidRDefault="00BC341E">
            <w:pPr>
              <w:spacing w:line="240" w:lineRule="auto"/>
              <w:ind w:left="227"/>
              <w:rPr>
                <w:rFonts w:asciiTheme="minorHAnsi" w:hAnsiTheme="minorHAnsi" w:cs="Arial"/>
                <w:sz w:val="20"/>
              </w:rPr>
            </w:pPr>
          </w:p>
        </w:tc>
        <w:tc>
          <w:tcPr>
            <w:tcW w:w="1134" w:type="dxa"/>
            <w:vAlign w:val="center"/>
          </w:tcPr>
          <w:p w:rsidR="00BC341E" w:rsidRPr="000063FC" w:rsidRDefault="00F93792">
            <w:pPr>
              <w:spacing w:line="240" w:lineRule="auto"/>
              <w:jc w:val="center"/>
              <w:rPr>
                <w:rFonts w:asciiTheme="minorHAnsi" w:hAnsiTheme="minorHAnsi" w:cs="Arial"/>
                <w:sz w:val="20"/>
              </w:rPr>
            </w:pPr>
            <w:r w:rsidRPr="000063FC">
              <w:rPr>
                <w:rFonts w:asciiTheme="minorHAnsi" w:hAnsiTheme="minorHAnsi" w:cs="Arial"/>
                <w:sz w:val="20"/>
              </w:rPr>
              <w:t>g/l</w:t>
            </w:r>
          </w:p>
        </w:tc>
      </w:tr>
      <w:tr w:rsidR="00F93792" w:rsidRPr="000063FC" w:rsidTr="00F35240">
        <w:trPr>
          <w:trHeight w:val="227"/>
        </w:trPr>
        <w:tc>
          <w:tcPr>
            <w:tcW w:w="3274" w:type="dxa"/>
            <w:vMerge/>
            <w:vAlign w:val="center"/>
          </w:tcPr>
          <w:p w:rsidR="00BC341E" w:rsidRPr="000063FC" w:rsidRDefault="00BC341E">
            <w:pPr>
              <w:spacing w:line="240" w:lineRule="auto"/>
              <w:rPr>
                <w:rFonts w:asciiTheme="minorHAnsi" w:hAnsiTheme="minorHAnsi" w:cs="Arial"/>
                <w:sz w:val="20"/>
              </w:rPr>
            </w:pPr>
          </w:p>
        </w:tc>
        <w:tc>
          <w:tcPr>
            <w:tcW w:w="4806" w:type="dxa"/>
            <w:vMerge w:val="restart"/>
            <w:vAlign w:val="center"/>
          </w:tcPr>
          <w:p w:rsidR="00BC341E" w:rsidRPr="000063FC" w:rsidRDefault="00F93792">
            <w:pPr>
              <w:spacing w:line="240" w:lineRule="auto"/>
              <w:rPr>
                <w:rFonts w:asciiTheme="minorHAnsi" w:hAnsiTheme="minorHAnsi" w:cs="Arial"/>
                <w:b/>
                <w:sz w:val="20"/>
              </w:rPr>
            </w:pPr>
            <w:r w:rsidRPr="000063FC">
              <w:rPr>
                <w:rFonts w:asciiTheme="minorHAnsi" w:hAnsiTheme="minorHAnsi" w:cs="Arial"/>
                <w:b/>
                <w:sz w:val="20"/>
              </w:rPr>
              <w:t>Podaci o vozilima</w:t>
            </w:r>
          </w:p>
          <w:p w:rsidR="00BC341E" w:rsidRPr="000063FC" w:rsidRDefault="00F93792">
            <w:pPr>
              <w:spacing w:line="240" w:lineRule="auto"/>
              <w:ind w:left="227"/>
              <w:rPr>
                <w:rFonts w:asciiTheme="minorHAnsi" w:hAnsiTheme="minorHAnsi" w:cs="Arial"/>
                <w:sz w:val="20"/>
              </w:rPr>
            </w:pPr>
            <w:r w:rsidRPr="000063FC">
              <w:rPr>
                <w:rFonts w:asciiTheme="minorHAnsi" w:hAnsiTheme="minorHAnsi" w:cs="Arial"/>
                <w:sz w:val="20"/>
              </w:rPr>
              <w:t xml:space="preserve">broj vozila </w:t>
            </w:r>
          </w:p>
          <w:p w:rsidR="00BC341E" w:rsidRPr="000063FC" w:rsidRDefault="00F93792">
            <w:pPr>
              <w:spacing w:before="20" w:line="240" w:lineRule="auto"/>
              <w:ind w:left="454"/>
              <w:rPr>
                <w:rFonts w:asciiTheme="minorHAnsi" w:hAnsiTheme="minorHAnsi" w:cs="Arial"/>
                <w:b/>
                <w:sz w:val="20"/>
              </w:rPr>
            </w:pPr>
            <w:r w:rsidRPr="000063FC">
              <w:rPr>
                <w:rFonts w:asciiTheme="minorHAnsi" w:hAnsiTheme="minorHAnsi" w:cs="Arial"/>
                <w:sz w:val="20"/>
              </w:rPr>
              <w:t>raspodjela po kategorijama i klasama vozila</w:t>
            </w:r>
          </w:p>
          <w:p w:rsidR="00BC341E" w:rsidRPr="000063FC" w:rsidRDefault="00F93792">
            <w:pPr>
              <w:spacing w:line="240" w:lineRule="auto"/>
              <w:ind w:left="227"/>
              <w:rPr>
                <w:rFonts w:asciiTheme="minorHAnsi" w:hAnsiTheme="minorHAnsi" w:cs="Arial"/>
                <w:sz w:val="20"/>
              </w:rPr>
            </w:pPr>
            <w:r w:rsidRPr="000063FC">
              <w:rPr>
                <w:rFonts w:asciiTheme="minorHAnsi" w:hAnsiTheme="minorHAnsi" w:cs="Arial"/>
                <w:sz w:val="20"/>
              </w:rPr>
              <w:t xml:space="preserve">prijeđeni put / godišnje </w:t>
            </w:r>
          </w:p>
          <w:p w:rsidR="00BC341E" w:rsidRPr="000063FC" w:rsidRDefault="00F93792">
            <w:pPr>
              <w:spacing w:before="20" w:line="240" w:lineRule="auto"/>
              <w:ind w:left="454"/>
              <w:rPr>
                <w:rFonts w:asciiTheme="minorHAnsi" w:hAnsiTheme="minorHAnsi" w:cs="Arial"/>
                <w:b/>
                <w:sz w:val="20"/>
              </w:rPr>
            </w:pPr>
            <w:r w:rsidRPr="000063FC">
              <w:rPr>
                <w:rFonts w:asciiTheme="minorHAnsi" w:hAnsiTheme="minorHAnsi" w:cs="Arial"/>
                <w:sz w:val="20"/>
              </w:rPr>
              <w:t>raspodjela po kategorijama vozila</w:t>
            </w:r>
          </w:p>
          <w:p w:rsidR="00BC341E" w:rsidRPr="000063FC" w:rsidRDefault="00F93792">
            <w:pPr>
              <w:spacing w:line="240" w:lineRule="auto"/>
              <w:ind w:left="227"/>
              <w:rPr>
                <w:rFonts w:asciiTheme="minorHAnsi" w:hAnsiTheme="minorHAnsi" w:cs="Arial"/>
                <w:sz w:val="20"/>
              </w:rPr>
            </w:pPr>
            <w:r w:rsidRPr="000063FC">
              <w:rPr>
                <w:rFonts w:asciiTheme="minorHAnsi" w:hAnsiTheme="minorHAnsi" w:cs="Arial"/>
                <w:sz w:val="20"/>
              </w:rPr>
              <w:t>raspodjela prijeđenog puta</w:t>
            </w:r>
          </w:p>
          <w:p w:rsidR="00BC341E" w:rsidRPr="000063FC" w:rsidRDefault="00F93792">
            <w:pPr>
              <w:spacing w:before="20" w:line="240" w:lineRule="auto"/>
              <w:ind w:left="454"/>
              <w:rPr>
                <w:rFonts w:asciiTheme="minorHAnsi" w:hAnsiTheme="minorHAnsi" w:cs="Arial"/>
                <w:sz w:val="20"/>
              </w:rPr>
            </w:pPr>
            <w:r w:rsidRPr="000063FC">
              <w:rPr>
                <w:rFonts w:asciiTheme="minorHAnsi" w:hAnsiTheme="minorHAnsi" w:cs="Arial"/>
                <w:sz w:val="20"/>
              </w:rPr>
              <w:t>raspodjela po kategorijama vozila</w:t>
            </w:r>
          </w:p>
          <w:p w:rsidR="00BC341E" w:rsidRPr="000063FC" w:rsidRDefault="00F93792">
            <w:pPr>
              <w:spacing w:before="20" w:line="240" w:lineRule="auto"/>
              <w:ind w:left="454"/>
              <w:rPr>
                <w:rFonts w:asciiTheme="minorHAnsi" w:hAnsiTheme="minorHAnsi" w:cs="Arial"/>
                <w:b/>
                <w:sz w:val="20"/>
              </w:rPr>
            </w:pPr>
            <w:r w:rsidRPr="000063FC">
              <w:rPr>
                <w:rFonts w:asciiTheme="minorHAnsi" w:hAnsiTheme="minorHAnsi" w:cs="Arial"/>
                <w:sz w:val="20"/>
              </w:rPr>
              <w:t>raspodjela po režimu vožnje</w:t>
            </w:r>
          </w:p>
        </w:tc>
        <w:tc>
          <w:tcPr>
            <w:tcW w:w="1134" w:type="dxa"/>
            <w:vAlign w:val="center"/>
          </w:tcPr>
          <w:p w:rsidR="00BC341E" w:rsidRPr="000063FC" w:rsidRDefault="00BC341E">
            <w:pPr>
              <w:spacing w:line="240" w:lineRule="auto"/>
              <w:jc w:val="center"/>
              <w:rPr>
                <w:rFonts w:asciiTheme="minorHAnsi" w:hAnsiTheme="minorHAnsi" w:cs="Arial"/>
                <w:sz w:val="20"/>
              </w:rPr>
            </w:pPr>
          </w:p>
        </w:tc>
      </w:tr>
      <w:tr w:rsidR="00F93792" w:rsidRPr="000063FC" w:rsidTr="00F35240">
        <w:trPr>
          <w:trHeight w:val="227"/>
        </w:trPr>
        <w:tc>
          <w:tcPr>
            <w:tcW w:w="3274" w:type="dxa"/>
            <w:vMerge/>
            <w:vAlign w:val="center"/>
          </w:tcPr>
          <w:p w:rsidR="00BC341E" w:rsidRPr="000063FC" w:rsidRDefault="00BC341E">
            <w:pPr>
              <w:spacing w:line="240" w:lineRule="auto"/>
              <w:rPr>
                <w:rFonts w:asciiTheme="minorHAnsi" w:hAnsiTheme="minorHAnsi" w:cs="Arial"/>
                <w:sz w:val="20"/>
              </w:rPr>
            </w:pPr>
          </w:p>
        </w:tc>
        <w:tc>
          <w:tcPr>
            <w:tcW w:w="4806" w:type="dxa"/>
            <w:vMerge/>
            <w:vAlign w:val="center"/>
          </w:tcPr>
          <w:p w:rsidR="00BC341E" w:rsidRPr="000063FC" w:rsidRDefault="00BC341E">
            <w:pPr>
              <w:spacing w:before="20" w:line="240" w:lineRule="auto"/>
              <w:ind w:left="454"/>
              <w:rPr>
                <w:rFonts w:asciiTheme="minorHAnsi" w:hAnsiTheme="minorHAnsi" w:cs="Arial"/>
                <w:sz w:val="20"/>
              </w:rPr>
            </w:pPr>
          </w:p>
        </w:tc>
        <w:tc>
          <w:tcPr>
            <w:tcW w:w="1134" w:type="dxa"/>
            <w:vAlign w:val="center"/>
          </w:tcPr>
          <w:p w:rsidR="00BC341E" w:rsidRPr="000063FC" w:rsidRDefault="00BC341E">
            <w:pPr>
              <w:spacing w:line="240" w:lineRule="auto"/>
              <w:jc w:val="center"/>
              <w:rPr>
                <w:rFonts w:asciiTheme="minorHAnsi" w:hAnsiTheme="minorHAnsi" w:cs="Arial"/>
                <w:sz w:val="20"/>
              </w:rPr>
            </w:pPr>
          </w:p>
        </w:tc>
      </w:tr>
      <w:tr w:rsidR="00F93792" w:rsidRPr="000063FC" w:rsidTr="00F35240">
        <w:trPr>
          <w:trHeight w:val="227"/>
        </w:trPr>
        <w:tc>
          <w:tcPr>
            <w:tcW w:w="3274" w:type="dxa"/>
            <w:vMerge/>
            <w:vAlign w:val="center"/>
          </w:tcPr>
          <w:p w:rsidR="00BC341E" w:rsidRPr="000063FC" w:rsidRDefault="00BC341E">
            <w:pPr>
              <w:spacing w:line="240" w:lineRule="auto"/>
              <w:rPr>
                <w:rFonts w:asciiTheme="minorHAnsi" w:hAnsiTheme="minorHAnsi" w:cs="Arial"/>
                <w:sz w:val="20"/>
              </w:rPr>
            </w:pPr>
          </w:p>
        </w:tc>
        <w:tc>
          <w:tcPr>
            <w:tcW w:w="4806" w:type="dxa"/>
            <w:vMerge/>
            <w:vAlign w:val="center"/>
          </w:tcPr>
          <w:p w:rsidR="00BC341E" w:rsidRPr="000063FC" w:rsidRDefault="00BC341E">
            <w:pPr>
              <w:spacing w:before="20" w:line="240" w:lineRule="auto"/>
              <w:ind w:left="454"/>
              <w:rPr>
                <w:rFonts w:asciiTheme="minorHAnsi" w:hAnsiTheme="minorHAnsi" w:cs="Arial"/>
                <w:sz w:val="20"/>
              </w:rPr>
            </w:pPr>
          </w:p>
        </w:tc>
        <w:tc>
          <w:tcPr>
            <w:tcW w:w="1134" w:type="dxa"/>
            <w:vAlign w:val="center"/>
          </w:tcPr>
          <w:p w:rsidR="00BC341E" w:rsidRPr="000063FC" w:rsidRDefault="00F93792">
            <w:pPr>
              <w:spacing w:line="240" w:lineRule="auto"/>
              <w:jc w:val="center"/>
              <w:rPr>
                <w:rFonts w:asciiTheme="minorHAnsi" w:hAnsiTheme="minorHAnsi" w:cs="Arial"/>
                <w:sz w:val="20"/>
              </w:rPr>
            </w:pPr>
            <w:r w:rsidRPr="000063FC">
              <w:rPr>
                <w:rFonts w:asciiTheme="minorHAnsi" w:hAnsiTheme="minorHAnsi" w:cs="Arial"/>
                <w:sz w:val="20"/>
              </w:rPr>
              <w:t>km</w:t>
            </w:r>
          </w:p>
        </w:tc>
      </w:tr>
      <w:tr w:rsidR="00F93792" w:rsidRPr="000063FC" w:rsidTr="00F35240">
        <w:trPr>
          <w:trHeight w:val="227"/>
        </w:trPr>
        <w:tc>
          <w:tcPr>
            <w:tcW w:w="3274" w:type="dxa"/>
            <w:vMerge/>
            <w:vAlign w:val="center"/>
          </w:tcPr>
          <w:p w:rsidR="00BC341E" w:rsidRPr="000063FC" w:rsidRDefault="00BC341E">
            <w:pPr>
              <w:spacing w:line="240" w:lineRule="auto"/>
              <w:rPr>
                <w:rFonts w:asciiTheme="minorHAnsi" w:hAnsiTheme="minorHAnsi" w:cs="Arial"/>
                <w:sz w:val="20"/>
              </w:rPr>
            </w:pPr>
          </w:p>
        </w:tc>
        <w:tc>
          <w:tcPr>
            <w:tcW w:w="4806" w:type="dxa"/>
            <w:vMerge/>
            <w:vAlign w:val="center"/>
          </w:tcPr>
          <w:p w:rsidR="00BC341E" w:rsidRPr="000063FC" w:rsidRDefault="00BC341E">
            <w:pPr>
              <w:spacing w:before="20" w:line="240" w:lineRule="auto"/>
              <w:ind w:left="454"/>
              <w:rPr>
                <w:rFonts w:asciiTheme="minorHAnsi" w:hAnsiTheme="minorHAnsi" w:cs="Arial"/>
                <w:sz w:val="20"/>
              </w:rPr>
            </w:pPr>
          </w:p>
        </w:tc>
        <w:tc>
          <w:tcPr>
            <w:tcW w:w="1134" w:type="dxa"/>
            <w:vAlign w:val="center"/>
          </w:tcPr>
          <w:p w:rsidR="00BC341E" w:rsidRPr="000063FC" w:rsidRDefault="00F93792">
            <w:pPr>
              <w:spacing w:line="240" w:lineRule="auto"/>
              <w:jc w:val="center"/>
              <w:rPr>
                <w:rFonts w:asciiTheme="minorHAnsi" w:hAnsiTheme="minorHAnsi" w:cs="Arial"/>
                <w:sz w:val="20"/>
              </w:rPr>
            </w:pPr>
            <w:r w:rsidRPr="000063FC">
              <w:rPr>
                <w:rFonts w:asciiTheme="minorHAnsi" w:hAnsiTheme="minorHAnsi" w:cs="Arial"/>
                <w:sz w:val="20"/>
              </w:rPr>
              <w:t>%</w:t>
            </w:r>
          </w:p>
        </w:tc>
      </w:tr>
      <w:tr w:rsidR="00F93792" w:rsidRPr="000063FC" w:rsidTr="00F35240">
        <w:trPr>
          <w:trHeight w:val="227"/>
        </w:trPr>
        <w:tc>
          <w:tcPr>
            <w:tcW w:w="3274" w:type="dxa"/>
            <w:vMerge/>
            <w:vAlign w:val="center"/>
          </w:tcPr>
          <w:p w:rsidR="00BC341E" w:rsidRPr="000063FC" w:rsidRDefault="00BC341E">
            <w:pPr>
              <w:spacing w:line="240" w:lineRule="auto"/>
              <w:rPr>
                <w:rFonts w:asciiTheme="minorHAnsi" w:hAnsiTheme="minorHAnsi" w:cs="Arial"/>
                <w:sz w:val="20"/>
              </w:rPr>
            </w:pPr>
          </w:p>
        </w:tc>
        <w:tc>
          <w:tcPr>
            <w:tcW w:w="4806" w:type="dxa"/>
            <w:vMerge w:val="restart"/>
            <w:vAlign w:val="center"/>
          </w:tcPr>
          <w:p w:rsidR="00BC341E" w:rsidRPr="000063FC" w:rsidRDefault="00F93792">
            <w:pPr>
              <w:spacing w:line="240" w:lineRule="auto"/>
              <w:rPr>
                <w:rFonts w:asciiTheme="minorHAnsi" w:hAnsiTheme="minorHAnsi" w:cs="Arial"/>
                <w:sz w:val="20"/>
              </w:rPr>
            </w:pPr>
            <w:r w:rsidRPr="000063FC">
              <w:rPr>
                <w:rFonts w:asciiTheme="minorHAnsi" w:hAnsiTheme="minorHAnsi" w:cs="Arial"/>
                <w:b/>
                <w:bCs/>
                <w:sz w:val="20"/>
              </w:rPr>
              <w:t>Uvjeti vožnje</w:t>
            </w:r>
            <w:r w:rsidRPr="000063FC">
              <w:rPr>
                <w:rFonts w:asciiTheme="minorHAnsi" w:hAnsiTheme="minorHAnsi" w:cs="Arial"/>
                <w:sz w:val="20"/>
              </w:rPr>
              <w:t xml:space="preserve"> </w:t>
            </w:r>
          </w:p>
          <w:p w:rsidR="00BC341E" w:rsidRPr="000063FC" w:rsidRDefault="00F93792">
            <w:pPr>
              <w:spacing w:line="240" w:lineRule="auto"/>
              <w:ind w:left="227"/>
              <w:rPr>
                <w:rFonts w:asciiTheme="minorHAnsi" w:hAnsiTheme="minorHAnsi" w:cs="Arial"/>
                <w:sz w:val="20"/>
              </w:rPr>
            </w:pPr>
            <w:r w:rsidRPr="000063FC">
              <w:rPr>
                <w:rFonts w:asciiTheme="minorHAnsi" w:hAnsiTheme="minorHAnsi" w:cs="Arial"/>
                <w:sz w:val="20"/>
              </w:rPr>
              <w:t xml:space="preserve">prosječna brzina </w:t>
            </w:r>
          </w:p>
          <w:p w:rsidR="00BC341E" w:rsidRPr="000063FC" w:rsidRDefault="00F93792">
            <w:pPr>
              <w:spacing w:before="20" w:line="240" w:lineRule="auto"/>
              <w:ind w:left="454"/>
              <w:rPr>
                <w:rFonts w:asciiTheme="minorHAnsi" w:hAnsiTheme="minorHAnsi" w:cs="Arial"/>
                <w:sz w:val="20"/>
              </w:rPr>
            </w:pPr>
            <w:r w:rsidRPr="000063FC">
              <w:rPr>
                <w:rFonts w:asciiTheme="minorHAnsi" w:hAnsiTheme="minorHAnsi" w:cs="Arial"/>
                <w:sz w:val="20"/>
              </w:rPr>
              <w:t>raspodjela po kategorijama vozila</w:t>
            </w:r>
          </w:p>
          <w:p w:rsidR="00BC341E" w:rsidRPr="000063FC" w:rsidRDefault="00F93792">
            <w:pPr>
              <w:spacing w:before="20" w:line="240" w:lineRule="auto"/>
              <w:ind w:left="454"/>
              <w:rPr>
                <w:rFonts w:asciiTheme="minorHAnsi" w:hAnsiTheme="minorHAnsi" w:cs="Arial"/>
                <w:sz w:val="20"/>
              </w:rPr>
            </w:pPr>
            <w:r w:rsidRPr="000063FC">
              <w:rPr>
                <w:rFonts w:asciiTheme="minorHAnsi" w:hAnsiTheme="minorHAnsi" w:cs="Arial"/>
                <w:sz w:val="20"/>
              </w:rPr>
              <w:t xml:space="preserve">raspodjela po režimu vožnje </w:t>
            </w:r>
          </w:p>
        </w:tc>
        <w:tc>
          <w:tcPr>
            <w:tcW w:w="1134" w:type="dxa"/>
            <w:vAlign w:val="center"/>
          </w:tcPr>
          <w:p w:rsidR="00BC341E" w:rsidRPr="000063FC" w:rsidRDefault="00BC341E">
            <w:pPr>
              <w:spacing w:line="240" w:lineRule="auto"/>
              <w:jc w:val="center"/>
              <w:rPr>
                <w:rFonts w:asciiTheme="minorHAnsi" w:hAnsiTheme="minorHAnsi" w:cs="Arial"/>
                <w:sz w:val="20"/>
              </w:rPr>
            </w:pPr>
          </w:p>
        </w:tc>
      </w:tr>
      <w:tr w:rsidR="00F93792" w:rsidRPr="000063FC" w:rsidTr="00F35240">
        <w:trPr>
          <w:trHeight w:val="227"/>
        </w:trPr>
        <w:tc>
          <w:tcPr>
            <w:tcW w:w="3274" w:type="dxa"/>
            <w:vMerge/>
            <w:vAlign w:val="center"/>
          </w:tcPr>
          <w:p w:rsidR="00BC341E" w:rsidRPr="000063FC" w:rsidRDefault="00BC341E">
            <w:pPr>
              <w:spacing w:line="240" w:lineRule="auto"/>
              <w:rPr>
                <w:rFonts w:asciiTheme="minorHAnsi" w:hAnsiTheme="minorHAnsi" w:cs="Arial"/>
                <w:sz w:val="20"/>
              </w:rPr>
            </w:pPr>
          </w:p>
        </w:tc>
        <w:tc>
          <w:tcPr>
            <w:tcW w:w="4806" w:type="dxa"/>
            <w:vMerge/>
            <w:vAlign w:val="center"/>
          </w:tcPr>
          <w:p w:rsidR="00BC341E" w:rsidRPr="000063FC" w:rsidRDefault="00BC341E">
            <w:pPr>
              <w:spacing w:before="20" w:line="240" w:lineRule="auto"/>
              <w:ind w:left="454"/>
              <w:rPr>
                <w:rFonts w:asciiTheme="minorHAnsi" w:hAnsiTheme="minorHAnsi" w:cs="Arial"/>
                <w:b/>
                <w:bCs/>
                <w:sz w:val="20"/>
              </w:rPr>
            </w:pPr>
          </w:p>
        </w:tc>
        <w:tc>
          <w:tcPr>
            <w:tcW w:w="1134" w:type="dxa"/>
            <w:vAlign w:val="center"/>
          </w:tcPr>
          <w:p w:rsidR="00BC341E" w:rsidRPr="000063FC" w:rsidRDefault="00F93792">
            <w:pPr>
              <w:spacing w:line="240" w:lineRule="auto"/>
              <w:jc w:val="center"/>
              <w:rPr>
                <w:rFonts w:asciiTheme="minorHAnsi" w:hAnsiTheme="minorHAnsi" w:cs="Arial"/>
                <w:sz w:val="20"/>
              </w:rPr>
            </w:pPr>
            <w:r w:rsidRPr="000063FC">
              <w:rPr>
                <w:rFonts w:asciiTheme="minorHAnsi" w:hAnsiTheme="minorHAnsi" w:cs="Arial"/>
                <w:sz w:val="20"/>
              </w:rPr>
              <w:t>km/h</w:t>
            </w:r>
          </w:p>
        </w:tc>
      </w:tr>
      <w:tr w:rsidR="00F93792" w:rsidRPr="000063FC" w:rsidTr="00F35240">
        <w:trPr>
          <w:trHeight w:val="227"/>
        </w:trPr>
        <w:tc>
          <w:tcPr>
            <w:tcW w:w="3274" w:type="dxa"/>
            <w:vMerge/>
            <w:vAlign w:val="center"/>
          </w:tcPr>
          <w:p w:rsidR="00BC341E" w:rsidRPr="000063FC" w:rsidRDefault="00BC341E">
            <w:pPr>
              <w:spacing w:line="240" w:lineRule="auto"/>
              <w:rPr>
                <w:rFonts w:asciiTheme="minorHAnsi" w:hAnsiTheme="minorHAnsi" w:cs="Arial"/>
                <w:sz w:val="20"/>
              </w:rPr>
            </w:pPr>
          </w:p>
        </w:tc>
        <w:tc>
          <w:tcPr>
            <w:tcW w:w="4806" w:type="dxa"/>
            <w:vMerge w:val="restart"/>
            <w:vAlign w:val="center"/>
          </w:tcPr>
          <w:p w:rsidR="00BC341E" w:rsidRPr="000063FC" w:rsidRDefault="00F93792">
            <w:pPr>
              <w:spacing w:line="240" w:lineRule="auto"/>
              <w:rPr>
                <w:rFonts w:asciiTheme="minorHAnsi" w:hAnsiTheme="minorHAnsi" w:cs="Arial"/>
                <w:b/>
                <w:bCs/>
                <w:sz w:val="20"/>
              </w:rPr>
            </w:pPr>
            <w:r w:rsidRPr="000063FC">
              <w:rPr>
                <w:rFonts w:asciiTheme="minorHAnsi" w:hAnsiTheme="minorHAnsi" w:cs="Arial"/>
                <w:b/>
                <w:bCs/>
                <w:sz w:val="20"/>
              </w:rPr>
              <w:t>Temperatura</w:t>
            </w:r>
          </w:p>
          <w:p w:rsidR="00BC341E" w:rsidRPr="000063FC" w:rsidRDefault="00F93792">
            <w:pPr>
              <w:spacing w:line="240" w:lineRule="auto"/>
              <w:ind w:left="227"/>
              <w:rPr>
                <w:rFonts w:asciiTheme="minorHAnsi" w:hAnsiTheme="minorHAnsi" w:cs="Arial"/>
                <w:b/>
                <w:bCs/>
                <w:sz w:val="20"/>
              </w:rPr>
            </w:pPr>
            <w:r w:rsidRPr="000063FC">
              <w:rPr>
                <w:rFonts w:asciiTheme="minorHAnsi" w:hAnsiTheme="minorHAnsi" w:cs="Arial"/>
                <w:sz w:val="20"/>
              </w:rPr>
              <w:t>min. mjesečna temperatura</w:t>
            </w:r>
          </w:p>
          <w:p w:rsidR="00BC341E" w:rsidRPr="000063FC" w:rsidRDefault="00F93792">
            <w:pPr>
              <w:spacing w:line="240" w:lineRule="auto"/>
              <w:ind w:left="227"/>
              <w:rPr>
                <w:rFonts w:asciiTheme="minorHAnsi" w:hAnsiTheme="minorHAnsi" w:cs="Arial"/>
                <w:b/>
                <w:bCs/>
                <w:sz w:val="20"/>
              </w:rPr>
            </w:pPr>
            <w:r w:rsidRPr="000063FC">
              <w:rPr>
                <w:rFonts w:asciiTheme="minorHAnsi" w:hAnsiTheme="minorHAnsi" w:cs="Arial"/>
                <w:sz w:val="20"/>
              </w:rPr>
              <w:t>max. mjesečna temperatura</w:t>
            </w:r>
          </w:p>
        </w:tc>
        <w:tc>
          <w:tcPr>
            <w:tcW w:w="1134" w:type="dxa"/>
            <w:vAlign w:val="center"/>
          </w:tcPr>
          <w:p w:rsidR="00BC341E" w:rsidRPr="000063FC" w:rsidRDefault="00BC341E">
            <w:pPr>
              <w:spacing w:line="240" w:lineRule="auto"/>
              <w:jc w:val="center"/>
              <w:rPr>
                <w:rFonts w:asciiTheme="minorHAnsi" w:hAnsiTheme="minorHAnsi" w:cs="Arial"/>
                <w:sz w:val="20"/>
              </w:rPr>
            </w:pPr>
          </w:p>
        </w:tc>
      </w:tr>
      <w:tr w:rsidR="00F93792" w:rsidRPr="000063FC" w:rsidTr="00F35240">
        <w:trPr>
          <w:trHeight w:val="227"/>
        </w:trPr>
        <w:tc>
          <w:tcPr>
            <w:tcW w:w="3274" w:type="dxa"/>
            <w:vMerge/>
            <w:vAlign w:val="center"/>
          </w:tcPr>
          <w:p w:rsidR="00BC341E" w:rsidRPr="000063FC" w:rsidRDefault="00BC341E">
            <w:pPr>
              <w:spacing w:line="240" w:lineRule="auto"/>
              <w:rPr>
                <w:rFonts w:asciiTheme="minorHAnsi" w:hAnsiTheme="minorHAnsi" w:cs="Arial"/>
                <w:sz w:val="20"/>
              </w:rPr>
            </w:pPr>
          </w:p>
        </w:tc>
        <w:tc>
          <w:tcPr>
            <w:tcW w:w="4806" w:type="dxa"/>
            <w:vMerge/>
            <w:vAlign w:val="center"/>
          </w:tcPr>
          <w:p w:rsidR="00BC341E" w:rsidRPr="000063FC" w:rsidRDefault="00BC341E">
            <w:pPr>
              <w:spacing w:line="240" w:lineRule="auto"/>
              <w:ind w:left="227"/>
              <w:rPr>
                <w:rFonts w:asciiTheme="minorHAnsi" w:hAnsiTheme="minorHAnsi" w:cs="Arial"/>
                <w:b/>
                <w:bCs/>
                <w:sz w:val="20"/>
              </w:rPr>
            </w:pPr>
          </w:p>
        </w:tc>
        <w:tc>
          <w:tcPr>
            <w:tcW w:w="1134" w:type="dxa"/>
            <w:vAlign w:val="center"/>
          </w:tcPr>
          <w:p w:rsidR="00BC341E" w:rsidRPr="000063FC" w:rsidRDefault="00F93792">
            <w:pPr>
              <w:spacing w:line="240" w:lineRule="auto"/>
              <w:jc w:val="center"/>
              <w:rPr>
                <w:rFonts w:asciiTheme="minorHAnsi" w:hAnsiTheme="minorHAnsi" w:cs="Arial"/>
                <w:sz w:val="20"/>
              </w:rPr>
            </w:pPr>
            <w:r w:rsidRPr="000063FC">
              <w:rPr>
                <w:rFonts w:asciiTheme="minorHAnsi" w:hAnsiTheme="minorHAnsi" w:cs="Arial"/>
                <w:sz w:val="20"/>
              </w:rPr>
              <w:t>°C</w:t>
            </w:r>
          </w:p>
        </w:tc>
      </w:tr>
      <w:tr w:rsidR="00F93792" w:rsidRPr="000063FC" w:rsidTr="00F35240">
        <w:trPr>
          <w:trHeight w:val="227"/>
        </w:trPr>
        <w:tc>
          <w:tcPr>
            <w:tcW w:w="3274" w:type="dxa"/>
            <w:vMerge/>
            <w:vAlign w:val="center"/>
          </w:tcPr>
          <w:p w:rsidR="00BC341E" w:rsidRPr="000063FC" w:rsidRDefault="00BC341E">
            <w:pPr>
              <w:spacing w:line="240" w:lineRule="auto"/>
              <w:rPr>
                <w:rFonts w:asciiTheme="minorHAnsi" w:hAnsiTheme="minorHAnsi" w:cs="Arial"/>
                <w:sz w:val="20"/>
              </w:rPr>
            </w:pPr>
          </w:p>
        </w:tc>
        <w:tc>
          <w:tcPr>
            <w:tcW w:w="4806" w:type="dxa"/>
            <w:vMerge/>
            <w:vAlign w:val="center"/>
          </w:tcPr>
          <w:p w:rsidR="00BC341E" w:rsidRPr="000063FC" w:rsidRDefault="00BC341E">
            <w:pPr>
              <w:spacing w:line="240" w:lineRule="auto"/>
              <w:ind w:left="227"/>
              <w:rPr>
                <w:rFonts w:asciiTheme="minorHAnsi" w:hAnsiTheme="minorHAnsi" w:cs="Arial"/>
                <w:sz w:val="20"/>
              </w:rPr>
            </w:pPr>
          </w:p>
        </w:tc>
        <w:tc>
          <w:tcPr>
            <w:tcW w:w="1134" w:type="dxa"/>
            <w:vAlign w:val="center"/>
          </w:tcPr>
          <w:p w:rsidR="00BC341E" w:rsidRPr="000063FC" w:rsidRDefault="00F93792">
            <w:pPr>
              <w:spacing w:line="240" w:lineRule="auto"/>
              <w:jc w:val="center"/>
              <w:rPr>
                <w:rFonts w:asciiTheme="minorHAnsi" w:hAnsiTheme="minorHAnsi" w:cs="Arial"/>
                <w:sz w:val="20"/>
              </w:rPr>
            </w:pPr>
            <w:r w:rsidRPr="000063FC">
              <w:rPr>
                <w:rFonts w:asciiTheme="minorHAnsi" w:hAnsiTheme="minorHAnsi" w:cs="Arial"/>
                <w:sz w:val="20"/>
              </w:rPr>
              <w:t>°C</w:t>
            </w:r>
          </w:p>
        </w:tc>
      </w:tr>
      <w:tr w:rsidR="00F93792" w:rsidRPr="000063FC" w:rsidTr="00F35240">
        <w:trPr>
          <w:trHeight w:val="227"/>
        </w:trPr>
        <w:tc>
          <w:tcPr>
            <w:tcW w:w="3274" w:type="dxa"/>
            <w:vMerge/>
            <w:vAlign w:val="center"/>
          </w:tcPr>
          <w:p w:rsidR="00BC341E" w:rsidRPr="000063FC" w:rsidRDefault="00BC341E">
            <w:pPr>
              <w:spacing w:line="240" w:lineRule="auto"/>
              <w:rPr>
                <w:rFonts w:asciiTheme="minorHAnsi" w:hAnsiTheme="minorHAnsi" w:cs="Arial"/>
                <w:sz w:val="20"/>
              </w:rPr>
            </w:pPr>
          </w:p>
        </w:tc>
        <w:tc>
          <w:tcPr>
            <w:tcW w:w="4806" w:type="dxa"/>
            <w:vAlign w:val="center"/>
          </w:tcPr>
          <w:p w:rsidR="00BC341E" w:rsidRPr="000063FC" w:rsidRDefault="00F93792">
            <w:pPr>
              <w:spacing w:line="240" w:lineRule="auto"/>
              <w:rPr>
                <w:rFonts w:asciiTheme="minorHAnsi" w:hAnsiTheme="minorHAnsi" w:cs="Arial"/>
                <w:b/>
                <w:sz w:val="20"/>
              </w:rPr>
            </w:pPr>
            <w:r w:rsidRPr="000063FC">
              <w:rPr>
                <w:rFonts w:asciiTheme="minorHAnsi" w:hAnsiTheme="minorHAnsi" w:cs="Arial"/>
                <w:b/>
                <w:bCs/>
                <w:sz w:val="20"/>
              </w:rPr>
              <w:t>Tlak pare</w:t>
            </w:r>
            <w:r w:rsidRPr="000063FC">
              <w:rPr>
                <w:rFonts w:asciiTheme="minorHAnsi" w:hAnsiTheme="minorHAnsi" w:cs="Arial"/>
                <w:b/>
                <w:sz w:val="20"/>
              </w:rPr>
              <w:t xml:space="preserve"> prema Reid-u (RVP)</w:t>
            </w:r>
          </w:p>
        </w:tc>
        <w:tc>
          <w:tcPr>
            <w:tcW w:w="1134" w:type="dxa"/>
            <w:vAlign w:val="center"/>
          </w:tcPr>
          <w:p w:rsidR="00BC341E" w:rsidRPr="000063FC" w:rsidRDefault="00F93792">
            <w:pPr>
              <w:spacing w:line="240" w:lineRule="auto"/>
              <w:jc w:val="center"/>
              <w:rPr>
                <w:rFonts w:asciiTheme="minorHAnsi" w:hAnsiTheme="minorHAnsi" w:cs="Arial"/>
                <w:sz w:val="20"/>
              </w:rPr>
            </w:pPr>
            <w:r w:rsidRPr="000063FC">
              <w:rPr>
                <w:rFonts w:asciiTheme="minorHAnsi" w:hAnsiTheme="minorHAnsi" w:cs="Arial"/>
                <w:sz w:val="20"/>
              </w:rPr>
              <w:t>kPa</w:t>
            </w:r>
          </w:p>
        </w:tc>
      </w:tr>
      <w:tr w:rsidR="00F93792" w:rsidRPr="000063FC" w:rsidTr="00F35240">
        <w:trPr>
          <w:trHeight w:val="227"/>
        </w:trPr>
        <w:tc>
          <w:tcPr>
            <w:tcW w:w="3274" w:type="dxa"/>
            <w:vMerge/>
            <w:vAlign w:val="center"/>
          </w:tcPr>
          <w:p w:rsidR="00BC341E" w:rsidRPr="000063FC" w:rsidRDefault="00BC341E">
            <w:pPr>
              <w:spacing w:line="240" w:lineRule="auto"/>
              <w:rPr>
                <w:rFonts w:asciiTheme="minorHAnsi" w:hAnsiTheme="minorHAnsi" w:cs="Arial"/>
                <w:sz w:val="20"/>
              </w:rPr>
            </w:pPr>
          </w:p>
        </w:tc>
        <w:tc>
          <w:tcPr>
            <w:tcW w:w="4806" w:type="dxa"/>
            <w:vAlign w:val="center"/>
          </w:tcPr>
          <w:p w:rsidR="00BC341E" w:rsidRPr="000063FC" w:rsidRDefault="00F93792">
            <w:pPr>
              <w:spacing w:line="240" w:lineRule="auto"/>
              <w:rPr>
                <w:rFonts w:asciiTheme="minorHAnsi" w:hAnsiTheme="minorHAnsi" w:cs="Arial"/>
                <w:b/>
                <w:sz w:val="20"/>
              </w:rPr>
            </w:pPr>
            <w:r w:rsidRPr="000063FC">
              <w:rPr>
                <w:rFonts w:asciiTheme="minorHAnsi" w:hAnsiTheme="minorHAnsi" w:cs="Arial"/>
                <w:b/>
                <w:bCs/>
                <w:sz w:val="20"/>
              </w:rPr>
              <w:t>P</w:t>
            </w:r>
            <w:r w:rsidRPr="000063FC">
              <w:rPr>
                <w:rFonts w:asciiTheme="minorHAnsi" w:hAnsiTheme="minorHAnsi" w:cs="Arial"/>
                <w:b/>
                <w:sz w:val="20"/>
              </w:rPr>
              <w:t>rosječna dužina puta (ltrip)</w:t>
            </w:r>
          </w:p>
        </w:tc>
        <w:tc>
          <w:tcPr>
            <w:tcW w:w="1134" w:type="dxa"/>
            <w:vAlign w:val="center"/>
          </w:tcPr>
          <w:p w:rsidR="00BC341E" w:rsidRPr="000063FC" w:rsidRDefault="00F93792">
            <w:pPr>
              <w:spacing w:line="240" w:lineRule="auto"/>
              <w:jc w:val="center"/>
              <w:rPr>
                <w:rFonts w:asciiTheme="minorHAnsi" w:hAnsiTheme="minorHAnsi" w:cs="Arial"/>
                <w:sz w:val="20"/>
              </w:rPr>
            </w:pPr>
            <w:r w:rsidRPr="000063FC">
              <w:rPr>
                <w:rFonts w:asciiTheme="minorHAnsi" w:hAnsiTheme="minorHAnsi" w:cs="Arial"/>
                <w:sz w:val="20"/>
              </w:rPr>
              <w:t>km</w:t>
            </w:r>
          </w:p>
        </w:tc>
      </w:tr>
      <w:tr w:rsidR="00F93792" w:rsidRPr="000063FC" w:rsidTr="00F35240">
        <w:trPr>
          <w:trHeight w:val="227"/>
        </w:trPr>
        <w:tc>
          <w:tcPr>
            <w:tcW w:w="3274" w:type="dxa"/>
            <w:vMerge/>
            <w:vAlign w:val="center"/>
          </w:tcPr>
          <w:p w:rsidR="00BC341E" w:rsidRPr="000063FC" w:rsidRDefault="00BC341E">
            <w:pPr>
              <w:spacing w:line="240" w:lineRule="auto"/>
              <w:rPr>
                <w:rFonts w:asciiTheme="minorHAnsi" w:hAnsiTheme="minorHAnsi" w:cs="Arial"/>
                <w:b/>
                <w:bCs/>
                <w:sz w:val="20"/>
              </w:rPr>
            </w:pPr>
          </w:p>
        </w:tc>
        <w:tc>
          <w:tcPr>
            <w:tcW w:w="4806" w:type="dxa"/>
            <w:vAlign w:val="center"/>
          </w:tcPr>
          <w:p w:rsidR="00BC341E" w:rsidRPr="000063FC" w:rsidRDefault="00F93792">
            <w:pPr>
              <w:spacing w:line="240" w:lineRule="auto"/>
              <w:rPr>
                <w:rFonts w:asciiTheme="minorHAnsi" w:hAnsiTheme="minorHAnsi" w:cs="Arial"/>
                <w:b/>
                <w:sz w:val="20"/>
              </w:rPr>
            </w:pPr>
            <w:r w:rsidRPr="000063FC">
              <w:rPr>
                <w:rFonts w:asciiTheme="minorHAnsi" w:hAnsiTheme="minorHAnsi" w:cs="Arial"/>
                <w:b/>
                <w:sz w:val="20"/>
              </w:rPr>
              <w:t>ß vrijednost</w:t>
            </w:r>
          </w:p>
        </w:tc>
        <w:tc>
          <w:tcPr>
            <w:tcW w:w="1134" w:type="dxa"/>
            <w:vAlign w:val="center"/>
          </w:tcPr>
          <w:p w:rsidR="00BC341E" w:rsidRPr="000063FC" w:rsidRDefault="00F93792">
            <w:pPr>
              <w:spacing w:line="240" w:lineRule="auto"/>
              <w:jc w:val="center"/>
              <w:rPr>
                <w:rFonts w:asciiTheme="minorHAnsi" w:hAnsiTheme="minorHAnsi" w:cs="Arial"/>
                <w:sz w:val="20"/>
              </w:rPr>
            </w:pPr>
            <w:r w:rsidRPr="000063FC">
              <w:rPr>
                <w:rFonts w:asciiTheme="minorHAnsi" w:hAnsiTheme="minorHAnsi" w:cs="Arial"/>
                <w:sz w:val="20"/>
              </w:rPr>
              <w:t> </w:t>
            </w:r>
          </w:p>
        </w:tc>
      </w:tr>
    </w:tbl>
    <w:p w:rsidR="00BC341E" w:rsidRPr="000063FC" w:rsidRDefault="007337B5">
      <w:pPr>
        <w:tabs>
          <w:tab w:val="clear" w:pos="720"/>
          <w:tab w:val="clear" w:pos="6912"/>
        </w:tabs>
        <w:spacing w:line="276" w:lineRule="auto"/>
        <w:jc w:val="left"/>
      </w:pPr>
      <w:r w:rsidRPr="000063FC">
        <w:br w:type="page"/>
      </w:r>
    </w:p>
    <w:p w:rsidR="00BC341E" w:rsidRPr="000063FC" w:rsidRDefault="00F56931">
      <w:pPr>
        <w:pStyle w:val="Heading2"/>
      </w:pPr>
      <w:bookmarkStart w:id="101" w:name="_Toc254010183"/>
      <w:r w:rsidRPr="000063FC">
        <w:rPr>
          <w:caps w:val="0"/>
        </w:rPr>
        <w:lastRenderedPageBreak/>
        <w:t>ODREĐIVANJE EMISIJA CO</w:t>
      </w:r>
      <w:r w:rsidRPr="000063FC">
        <w:rPr>
          <w:caps w:val="0"/>
          <w:vertAlign w:val="subscript"/>
        </w:rPr>
        <w:t xml:space="preserve">2 </w:t>
      </w:r>
      <w:r w:rsidRPr="000063FC">
        <w:rPr>
          <w:caps w:val="0"/>
        </w:rPr>
        <w:t>GRADA ZAGREBA ZA SEKTORE JAVNE RASVJETE, ZGRADARSTVA I PROMETA</w:t>
      </w:r>
      <w:bookmarkEnd w:id="101"/>
    </w:p>
    <w:p w:rsidR="00BC341E" w:rsidRPr="000063FC" w:rsidRDefault="00FE3B96">
      <w:pPr>
        <w:rPr>
          <w:lang w:eastAsia="hr-HR"/>
        </w:rPr>
      </w:pPr>
      <w:r w:rsidRPr="000063FC">
        <w:rPr>
          <w:rFonts w:cs="Arial"/>
          <w:szCs w:val="22"/>
        </w:rPr>
        <w:t xml:space="preserve">U skladu s preporukama Europske komisije, sektori energetske potrošnje Grada </w:t>
      </w:r>
      <w:r w:rsidR="00AC64A5" w:rsidRPr="000063FC">
        <w:rPr>
          <w:rFonts w:cs="Arial"/>
          <w:szCs w:val="22"/>
        </w:rPr>
        <w:t xml:space="preserve">Zagreba </w:t>
      </w:r>
      <w:r w:rsidRPr="000063FC">
        <w:rPr>
          <w:rFonts w:cs="Arial"/>
          <w:szCs w:val="22"/>
        </w:rPr>
        <w:t>podijeljeni su na tri osnovna sektora:</w:t>
      </w:r>
      <w:r w:rsidR="00E06697" w:rsidRPr="000063FC">
        <w:rPr>
          <w:rFonts w:cs="Arial"/>
          <w:szCs w:val="22"/>
        </w:rPr>
        <w:t xml:space="preserve"> javnu rasvjetu, zgradarstvo i promet. Osnovni sektori ovisno o broju obuhvaćenih objekata i njihovoj složenosti podijeljeni su na podsektore, </w:t>
      </w:r>
      <w:r w:rsidR="00AC64A5" w:rsidRPr="000063FC">
        <w:rPr>
          <w:rFonts w:cs="Arial"/>
          <w:szCs w:val="22"/>
        </w:rPr>
        <w:t xml:space="preserve">a </w:t>
      </w:r>
      <w:r w:rsidR="00E06697" w:rsidRPr="000063FC">
        <w:rPr>
          <w:rFonts w:cs="Arial"/>
          <w:szCs w:val="22"/>
        </w:rPr>
        <w:t xml:space="preserve">podsektori na kategorije i potkategorije. </w:t>
      </w:r>
      <w:r w:rsidR="00AC64A5" w:rsidRPr="000063FC">
        <w:rPr>
          <w:rFonts w:cs="Arial"/>
          <w:szCs w:val="22"/>
        </w:rPr>
        <w:t>Na osnovu prikupljenih podataka</w:t>
      </w:r>
      <w:r w:rsidR="00E06697" w:rsidRPr="000063FC">
        <w:rPr>
          <w:rFonts w:cs="Arial"/>
          <w:szCs w:val="22"/>
        </w:rPr>
        <w:t xml:space="preserve"> o potrošnji energenata i ostalim karakteristikama za svaki pojedini </w:t>
      </w:r>
      <w:r w:rsidR="00AC64A5" w:rsidRPr="000063FC">
        <w:rPr>
          <w:rFonts w:cs="Arial"/>
          <w:szCs w:val="22"/>
        </w:rPr>
        <w:t>sektor, podsektor i kategoriju, izrađen je Referentni i</w:t>
      </w:r>
      <w:r w:rsidR="00E06697" w:rsidRPr="000063FC">
        <w:rPr>
          <w:rFonts w:cs="Arial"/>
          <w:szCs w:val="22"/>
        </w:rPr>
        <w:t>nventar emisija CO</w:t>
      </w:r>
      <w:r w:rsidR="00E06697" w:rsidRPr="000063FC">
        <w:rPr>
          <w:rFonts w:cs="Arial"/>
          <w:szCs w:val="22"/>
          <w:vertAlign w:val="subscript"/>
        </w:rPr>
        <w:t>2</w:t>
      </w:r>
      <w:r w:rsidR="00E06697" w:rsidRPr="000063FC">
        <w:rPr>
          <w:rFonts w:cs="Arial"/>
          <w:szCs w:val="22"/>
        </w:rPr>
        <w:t xml:space="preserve"> </w:t>
      </w:r>
      <w:r w:rsidR="00AC64A5" w:rsidRPr="000063FC">
        <w:rPr>
          <w:rFonts w:cs="Arial"/>
          <w:szCs w:val="22"/>
        </w:rPr>
        <w:t>Grada Zagreba za 2008. godinu</w:t>
      </w:r>
      <w:r w:rsidR="00E06697" w:rsidRPr="000063FC">
        <w:rPr>
          <w:rFonts w:cs="Arial"/>
          <w:szCs w:val="22"/>
        </w:rPr>
        <w:t>.</w:t>
      </w:r>
    </w:p>
    <w:p w:rsidR="006970AF" w:rsidRPr="000063FC" w:rsidRDefault="004034ED">
      <w:pPr>
        <w:pStyle w:val="Heading3"/>
      </w:pPr>
      <w:bookmarkStart w:id="102" w:name="_Toc254010184"/>
      <w:r w:rsidRPr="000063FC">
        <w:t xml:space="preserve">EMISIJE </w:t>
      </w:r>
      <w:r w:rsidR="00AC64A5" w:rsidRPr="000063FC">
        <w:rPr>
          <w:caps/>
        </w:rPr>
        <w:t>CO</w:t>
      </w:r>
      <w:r w:rsidR="00AC64A5" w:rsidRPr="000063FC">
        <w:rPr>
          <w:caps/>
          <w:vertAlign w:val="subscript"/>
        </w:rPr>
        <w:t xml:space="preserve">2 </w:t>
      </w:r>
      <w:r w:rsidR="00AC64A5" w:rsidRPr="000063FC">
        <w:rPr>
          <w:caps/>
        </w:rPr>
        <w:t xml:space="preserve">GRADA ZAGREBA </w:t>
      </w:r>
      <w:r w:rsidR="00AC64A5" w:rsidRPr="000063FC">
        <w:t>ZA SEKTOR JAVNE</w:t>
      </w:r>
      <w:r w:rsidRPr="000063FC">
        <w:t xml:space="preserve"> </w:t>
      </w:r>
      <w:r w:rsidR="007B0169" w:rsidRPr="000063FC">
        <w:t>RASVJET</w:t>
      </w:r>
      <w:r w:rsidR="00AC64A5" w:rsidRPr="000063FC">
        <w:t>E</w:t>
      </w:r>
      <w:bookmarkEnd w:id="102"/>
    </w:p>
    <w:p w:rsidR="00AC64A5" w:rsidRPr="000063FC" w:rsidRDefault="004034ED">
      <w:pPr>
        <w:spacing w:line="276" w:lineRule="auto"/>
        <w:rPr>
          <w:szCs w:val="22"/>
        </w:rPr>
      </w:pPr>
      <w:r w:rsidRPr="000063FC">
        <w:rPr>
          <w:szCs w:val="22"/>
        </w:rPr>
        <w:t xml:space="preserve">Emisije </w:t>
      </w:r>
      <w:r w:rsidR="00AC64A5" w:rsidRPr="000063FC">
        <w:rPr>
          <w:szCs w:val="22"/>
        </w:rPr>
        <w:t>CO</w:t>
      </w:r>
      <w:r w:rsidR="00AC64A5" w:rsidRPr="000063FC">
        <w:rPr>
          <w:szCs w:val="22"/>
          <w:vertAlign w:val="subscript"/>
        </w:rPr>
        <w:t>2</w:t>
      </w:r>
      <w:r w:rsidR="00AC64A5" w:rsidRPr="000063FC">
        <w:rPr>
          <w:szCs w:val="22"/>
        </w:rPr>
        <w:t xml:space="preserve"> iz sektora javne rasvjete Grada Zagreba</w:t>
      </w:r>
      <w:r w:rsidRPr="000063FC">
        <w:rPr>
          <w:szCs w:val="22"/>
        </w:rPr>
        <w:t xml:space="preserve"> obuhvaćaju izravnu i neizravnu emisiju CO</w:t>
      </w:r>
      <w:r w:rsidRPr="000063FC">
        <w:rPr>
          <w:szCs w:val="22"/>
          <w:vertAlign w:val="subscript"/>
        </w:rPr>
        <w:t>2</w:t>
      </w:r>
      <w:r w:rsidRPr="000063FC">
        <w:rPr>
          <w:szCs w:val="22"/>
        </w:rPr>
        <w:t>. Neizravna emisija CO</w:t>
      </w:r>
      <w:r w:rsidRPr="000063FC">
        <w:rPr>
          <w:szCs w:val="22"/>
          <w:vertAlign w:val="subscript"/>
        </w:rPr>
        <w:t>2</w:t>
      </w:r>
      <w:r w:rsidRPr="000063FC">
        <w:rPr>
          <w:szCs w:val="22"/>
        </w:rPr>
        <w:t xml:space="preserve"> </w:t>
      </w:r>
      <w:r w:rsidR="00AC64A5" w:rsidRPr="000063FC">
        <w:rPr>
          <w:szCs w:val="22"/>
        </w:rPr>
        <w:t xml:space="preserve">određuje se pomoću </w:t>
      </w:r>
      <w:r w:rsidRPr="000063FC">
        <w:rPr>
          <w:szCs w:val="22"/>
        </w:rPr>
        <w:t xml:space="preserve">emisijskog faktora </w:t>
      </w:r>
      <w:r w:rsidR="00AC64A5" w:rsidRPr="000063FC">
        <w:rPr>
          <w:szCs w:val="22"/>
        </w:rPr>
        <w:t xml:space="preserve">koji na nacionalnoj razini </w:t>
      </w:r>
      <w:r w:rsidRPr="000063FC">
        <w:rPr>
          <w:szCs w:val="22"/>
        </w:rPr>
        <w:t>iznosi 323 g/kWh (</w:t>
      </w:r>
      <w:r w:rsidR="00AC64A5" w:rsidRPr="000063FC">
        <w:rPr>
          <w:szCs w:val="22"/>
        </w:rPr>
        <w:t>poglavlje</w:t>
      </w:r>
      <w:r w:rsidRPr="000063FC">
        <w:rPr>
          <w:szCs w:val="22"/>
        </w:rPr>
        <w:t xml:space="preserve"> </w:t>
      </w:r>
      <w:r w:rsidR="00FA6537" w:rsidRPr="000063FC">
        <w:rPr>
          <w:szCs w:val="22"/>
        </w:rPr>
        <w:t>2.3.2</w:t>
      </w:r>
      <w:r w:rsidRPr="000063FC">
        <w:rPr>
          <w:szCs w:val="22"/>
        </w:rPr>
        <w:t xml:space="preserve">). </w:t>
      </w:r>
    </w:p>
    <w:p w:rsidR="00B23695" w:rsidRPr="000063FC" w:rsidRDefault="004034ED">
      <w:pPr>
        <w:spacing w:line="276" w:lineRule="auto"/>
        <w:rPr>
          <w:szCs w:val="22"/>
        </w:rPr>
      </w:pPr>
      <w:r w:rsidRPr="000063FC">
        <w:rPr>
          <w:szCs w:val="22"/>
        </w:rPr>
        <w:t xml:space="preserve">U tablici </w:t>
      </w:r>
      <w:r w:rsidR="008E1FA8" w:rsidRPr="000063FC">
        <w:rPr>
          <w:szCs w:val="22"/>
        </w:rPr>
        <w:t>2.9</w:t>
      </w:r>
      <w:r w:rsidRPr="000063FC">
        <w:rPr>
          <w:szCs w:val="22"/>
        </w:rPr>
        <w:t xml:space="preserve"> prikazana je potrošnja</w:t>
      </w:r>
      <w:r w:rsidR="008E1FA8" w:rsidRPr="000063FC">
        <w:rPr>
          <w:szCs w:val="22"/>
        </w:rPr>
        <w:t xml:space="preserve"> električne energije</w:t>
      </w:r>
      <w:r w:rsidR="00AC64A5" w:rsidRPr="000063FC">
        <w:rPr>
          <w:szCs w:val="22"/>
        </w:rPr>
        <w:t xml:space="preserve"> </w:t>
      </w:r>
      <w:r w:rsidR="00B1382D" w:rsidRPr="000063FC">
        <w:rPr>
          <w:szCs w:val="22"/>
        </w:rPr>
        <w:t>i pripadajuća neizravna emisija CO</w:t>
      </w:r>
      <w:r w:rsidR="00B1382D" w:rsidRPr="000063FC">
        <w:rPr>
          <w:szCs w:val="22"/>
          <w:vertAlign w:val="subscript"/>
        </w:rPr>
        <w:t xml:space="preserve">2 </w:t>
      </w:r>
      <w:r w:rsidR="00AC64A5" w:rsidRPr="000063FC">
        <w:rPr>
          <w:szCs w:val="22"/>
        </w:rPr>
        <w:t xml:space="preserve">a </w:t>
      </w:r>
      <w:r w:rsidR="008E1FA8" w:rsidRPr="000063FC">
        <w:rPr>
          <w:szCs w:val="22"/>
        </w:rPr>
        <w:t xml:space="preserve">u tablici 2.10 </w:t>
      </w:r>
      <w:r w:rsidR="00B1382D" w:rsidRPr="000063FC">
        <w:rPr>
          <w:szCs w:val="22"/>
        </w:rPr>
        <w:t>potrošnja plina i pripadajuća</w:t>
      </w:r>
      <w:r w:rsidRPr="000063FC">
        <w:rPr>
          <w:szCs w:val="22"/>
        </w:rPr>
        <w:t xml:space="preserve"> emisija CO</w:t>
      </w:r>
      <w:r w:rsidRPr="000063FC">
        <w:rPr>
          <w:szCs w:val="22"/>
          <w:vertAlign w:val="subscript"/>
        </w:rPr>
        <w:t>2</w:t>
      </w:r>
      <w:r w:rsidR="00B1382D" w:rsidRPr="000063FC">
        <w:rPr>
          <w:szCs w:val="22"/>
        </w:rPr>
        <w:t xml:space="preserve"> za sektor javne rasvjete Grada Zagreba.</w:t>
      </w:r>
    </w:p>
    <w:p w:rsidR="00B23695" w:rsidRPr="000063FC" w:rsidRDefault="00B23695">
      <w:pPr>
        <w:spacing w:line="276" w:lineRule="auto"/>
        <w:rPr>
          <w:szCs w:val="22"/>
        </w:rPr>
      </w:pPr>
    </w:p>
    <w:p w:rsidR="00BC341E" w:rsidRPr="000063FC" w:rsidRDefault="004034ED" w:rsidP="00B33E2F">
      <w:pPr>
        <w:pStyle w:val="Heading6"/>
      </w:pPr>
      <w:bookmarkStart w:id="103" w:name="_Toc254010238"/>
      <w:r w:rsidRPr="000063FC">
        <w:t xml:space="preserve">Tablica </w:t>
      </w:r>
      <w:r w:rsidR="00091508" w:rsidRPr="000063FC">
        <w:t>2.9</w:t>
      </w:r>
      <w:r w:rsidRPr="000063FC">
        <w:t xml:space="preserve">: </w:t>
      </w:r>
      <w:r w:rsidR="00B1382D" w:rsidRPr="000063FC">
        <w:t>Potrošnja električne energije i</w:t>
      </w:r>
      <w:r w:rsidRPr="000063FC">
        <w:t xml:space="preserve"> neizravna emisije CO</w:t>
      </w:r>
      <w:r w:rsidR="00B1382D" w:rsidRPr="000063FC">
        <w:rPr>
          <w:vertAlign w:val="subscript"/>
        </w:rPr>
        <w:t>2</w:t>
      </w:r>
      <w:r w:rsidR="00B1382D" w:rsidRPr="000063FC">
        <w:t xml:space="preserve"> za sektor javne rasvjete</w:t>
      </w:r>
      <w:bookmarkEnd w:id="103"/>
    </w:p>
    <w:tbl>
      <w:tblPr>
        <w:tblW w:w="9072" w:type="dxa"/>
        <w:tblInd w:w="108" w:type="dxa"/>
        <w:tblBorders>
          <w:top w:val="single" w:sz="6" w:space="0" w:color="4BACC6"/>
          <w:left w:val="single" w:sz="6" w:space="0" w:color="4BACC6"/>
          <w:bottom w:val="single" w:sz="6" w:space="0" w:color="4BACC6"/>
          <w:right w:val="single" w:sz="6" w:space="0" w:color="4BACC6"/>
          <w:insideH w:val="single" w:sz="6" w:space="0" w:color="4BACC6"/>
          <w:insideV w:val="single" w:sz="6" w:space="0" w:color="4BACC6"/>
        </w:tblBorders>
        <w:tblLook w:val="00A0" w:firstRow="1" w:lastRow="0" w:firstColumn="1" w:lastColumn="0" w:noHBand="0" w:noVBand="0"/>
      </w:tblPr>
      <w:tblGrid>
        <w:gridCol w:w="3686"/>
        <w:gridCol w:w="2126"/>
        <w:gridCol w:w="1701"/>
        <w:gridCol w:w="1559"/>
      </w:tblGrid>
      <w:tr w:rsidR="004034ED" w:rsidRPr="000063FC" w:rsidTr="00946FAD">
        <w:trPr>
          <w:trHeight w:val="227"/>
        </w:trPr>
        <w:tc>
          <w:tcPr>
            <w:tcW w:w="3686" w:type="dxa"/>
            <w:vMerge w:val="restart"/>
            <w:tcBorders>
              <w:bottom w:val="single" w:sz="6" w:space="0" w:color="FFFFFF"/>
              <w:right w:val="single" w:sz="6" w:space="0" w:color="FFFFFF"/>
            </w:tcBorders>
            <w:shd w:val="clear" w:color="auto" w:fill="4BACC6"/>
            <w:vAlign w:val="center"/>
          </w:tcPr>
          <w:p w:rsidR="00BC341E" w:rsidRPr="000063FC" w:rsidRDefault="00BC341E">
            <w:pPr>
              <w:spacing w:line="276" w:lineRule="auto"/>
              <w:jc w:val="center"/>
              <w:rPr>
                <w:rFonts w:cs="Arial"/>
                <w:b/>
                <w:i/>
                <w:color w:val="FFFFFF"/>
                <w:sz w:val="20"/>
                <w:lang w:eastAsia="hr-HR"/>
              </w:rPr>
            </w:pPr>
          </w:p>
        </w:tc>
        <w:tc>
          <w:tcPr>
            <w:tcW w:w="2126" w:type="dxa"/>
            <w:tcBorders>
              <w:left w:val="single" w:sz="6" w:space="0" w:color="FFFFFF"/>
              <w:bottom w:val="single" w:sz="6" w:space="0" w:color="FFFFFF"/>
              <w:right w:val="single" w:sz="6" w:space="0" w:color="FFFFFF"/>
            </w:tcBorders>
            <w:shd w:val="clear" w:color="auto" w:fill="4BACC6"/>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Potrošnja električne energije</w:t>
            </w:r>
          </w:p>
        </w:tc>
        <w:tc>
          <w:tcPr>
            <w:tcW w:w="1701" w:type="dxa"/>
            <w:tcBorders>
              <w:left w:val="single" w:sz="6" w:space="0" w:color="FFFFFF"/>
              <w:bottom w:val="single" w:sz="6" w:space="0" w:color="FFFFFF"/>
              <w:right w:val="single" w:sz="6" w:space="0" w:color="FFFFFF"/>
            </w:tcBorders>
            <w:shd w:val="clear" w:color="auto" w:fill="4BACC6"/>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Emisijski faktor</w:t>
            </w:r>
          </w:p>
        </w:tc>
        <w:tc>
          <w:tcPr>
            <w:tcW w:w="1559" w:type="dxa"/>
            <w:tcBorders>
              <w:left w:val="single" w:sz="6" w:space="0" w:color="FFFFFF"/>
              <w:bottom w:val="single" w:sz="6" w:space="0" w:color="FFFFFF"/>
            </w:tcBorders>
            <w:shd w:val="clear" w:color="auto" w:fill="4BACC6"/>
            <w:noWrap/>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Emisija</w:t>
            </w:r>
          </w:p>
        </w:tc>
      </w:tr>
      <w:tr w:rsidR="004034ED" w:rsidRPr="000063FC" w:rsidTr="00946FAD">
        <w:trPr>
          <w:trHeight w:val="227"/>
        </w:trPr>
        <w:tc>
          <w:tcPr>
            <w:tcW w:w="3686" w:type="dxa"/>
            <w:vMerge/>
            <w:tcBorders>
              <w:top w:val="single" w:sz="6" w:space="0" w:color="FFFFFF"/>
              <w:right w:val="single" w:sz="6" w:space="0" w:color="FFFFFF"/>
            </w:tcBorders>
            <w:shd w:val="clear" w:color="auto" w:fill="4BACC6"/>
            <w:vAlign w:val="center"/>
          </w:tcPr>
          <w:p w:rsidR="00B23695" w:rsidRPr="000063FC" w:rsidRDefault="00B23695">
            <w:pPr>
              <w:spacing w:line="276" w:lineRule="auto"/>
              <w:jc w:val="center"/>
              <w:rPr>
                <w:rFonts w:cs="Arial"/>
                <w:b/>
                <w:color w:val="FFFFFF"/>
                <w:sz w:val="20"/>
                <w:lang w:eastAsia="hr-HR"/>
              </w:rPr>
            </w:pPr>
          </w:p>
        </w:tc>
        <w:tc>
          <w:tcPr>
            <w:tcW w:w="2126" w:type="dxa"/>
            <w:tcBorders>
              <w:top w:val="single" w:sz="6" w:space="0" w:color="FFFFFF"/>
              <w:left w:val="single" w:sz="6" w:space="0" w:color="FFFFFF"/>
              <w:bottom w:val="single" w:sz="4" w:space="0" w:color="4BACC6"/>
              <w:right w:val="single" w:sz="6" w:space="0" w:color="FFFFFF"/>
            </w:tcBorders>
            <w:shd w:val="clear" w:color="auto" w:fill="4BACC6"/>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MWh</w:t>
            </w:r>
          </w:p>
        </w:tc>
        <w:tc>
          <w:tcPr>
            <w:tcW w:w="1701" w:type="dxa"/>
            <w:tcBorders>
              <w:top w:val="single" w:sz="6" w:space="0" w:color="FFFFFF"/>
              <w:left w:val="single" w:sz="6" w:space="0" w:color="FFFFFF"/>
              <w:bottom w:val="single" w:sz="4" w:space="0" w:color="4BACC6"/>
              <w:right w:val="single" w:sz="6" w:space="0" w:color="FFFFFF"/>
            </w:tcBorders>
            <w:shd w:val="clear" w:color="auto" w:fill="4BACC6"/>
            <w:noWrap/>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t CO</w:t>
            </w:r>
            <w:r w:rsidRPr="000063FC">
              <w:rPr>
                <w:rFonts w:cs="Arial"/>
                <w:b/>
                <w:color w:val="FFFFFF"/>
                <w:sz w:val="20"/>
                <w:vertAlign w:val="subscript"/>
                <w:lang w:eastAsia="hr-HR"/>
              </w:rPr>
              <w:t>2</w:t>
            </w:r>
            <w:r w:rsidRPr="000063FC">
              <w:rPr>
                <w:rFonts w:cs="Arial"/>
                <w:b/>
                <w:color w:val="FFFFFF"/>
                <w:sz w:val="20"/>
                <w:lang w:eastAsia="hr-HR"/>
              </w:rPr>
              <w:t>/MWh</w:t>
            </w:r>
          </w:p>
        </w:tc>
        <w:tc>
          <w:tcPr>
            <w:tcW w:w="1559" w:type="dxa"/>
            <w:tcBorders>
              <w:top w:val="single" w:sz="6" w:space="0" w:color="FFFFFF"/>
              <w:left w:val="single" w:sz="6" w:space="0" w:color="FFFFFF"/>
            </w:tcBorders>
            <w:shd w:val="clear" w:color="auto" w:fill="4BACC6"/>
            <w:noWrap/>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t CO</w:t>
            </w:r>
            <w:r w:rsidRPr="000063FC">
              <w:rPr>
                <w:rFonts w:cs="Arial"/>
                <w:b/>
                <w:color w:val="FFFFFF"/>
                <w:sz w:val="20"/>
                <w:vertAlign w:val="subscript"/>
                <w:lang w:eastAsia="hr-HR"/>
              </w:rPr>
              <w:t>2</w:t>
            </w:r>
          </w:p>
        </w:tc>
      </w:tr>
      <w:tr w:rsidR="004034ED" w:rsidRPr="000063FC" w:rsidTr="00946FAD">
        <w:trPr>
          <w:trHeight w:val="227"/>
        </w:trPr>
        <w:tc>
          <w:tcPr>
            <w:tcW w:w="3686" w:type="dxa"/>
            <w:noWrap/>
            <w:vAlign w:val="bottom"/>
          </w:tcPr>
          <w:p w:rsidR="00B23695" w:rsidRPr="000063FC" w:rsidRDefault="004034ED">
            <w:pPr>
              <w:spacing w:line="276" w:lineRule="auto"/>
              <w:rPr>
                <w:rFonts w:cs="Arial"/>
                <w:color w:val="000000"/>
                <w:sz w:val="20"/>
                <w:lang w:eastAsia="hr-HR"/>
              </w:rPr>
            </w:pPr>
            <w:r w:rsidRPr="000063FC">
              <w:rPr>
                <w:rFonts w:cs="Arial"/>
                <w:color w:val="000000"/>
                <w:sz w:val="20"/>
                <w:lang w:eastAsia="hr-HR"/>
              </w:rPr>
              <w:t>Javna rasvjeta - električna energija</w:t>
            </w:r>
          </w:p>
        </w:tc>
        <w:tc>
          <w:tcPr>
            <w:tcW w:w="2126" w:type="dxa"/>
            <w:noWrap/>
            <w:vAlign w:val="bottom"/>
          </w:tcPr>
          <w:p w:rsidR="00B23695" w:rsidRPr="000063FC" w:rsidRDefault="004034ED">
            <w:pPr>
              <w:spacing w:line="276" w:lineRule="auto"/>
              <w:jc w:val="center"/>
              <w:rPr>
                <w:rFonts w:cs="Arial"/>
                <w:color w:val="000000"/>
                <w:sz w:val="20"/>
              </w:rPr>
            </w:pPr>
            <w:r w:rsidRPr="000063FC">
              <w:rPr>
                <w:rFonts w:cs="Arial"/>
                <w:color w:val="000000"/>
                <w:sz w:val="20"/>
              </w:rPr>
              <w:t>90.100</w:t>
            </w:r>
          </w:p>
        </w:tc>
        <w:tc>
          <w:tcPr>
            <w:tcW w:w="1701" w:type="dxa"/>
            <w:tcBorders>
              <w:bottom w:val="single" w:sz="4" w:space="0" w:color="4BACC6"/>
            </w:tcBorders>
            <w:noWrap/>
            <w:vAlign w:val="center"/>
          </w:tcPr>
          <w:p w:rsidR="00B23695" w:rsidRPr="000063FC" w:rsidRDefault="004034ED">
            <w:pPr>
              <w:spacing w:line="276" w:lineRule="auto"/>
              <w:jc w:val="center"/>
              <w:rPr>
                <w:rFonts w:cs="Arial"/>
                <w:color w:val="000000"/>
                <w:sz w:val="20"/>
              </w:rPr>
            </w:pPr>
            <w:r w:rsidRPr="000063FC">
              <w:rPr>
                <w:rFonts w:cs="Arial"/>
                <w:color w:val="000000"/>
                <w:sz w:val="20"/>
              </w:rPr>
              <w:t>0,323</w:t>
            </w:r>
          </w:p>
        </w:tc>
        <w:tc>
          <w:tcPr>
            <w:tcW w:w="1559" w:type="dxa"/>
            <w:noWrap/>
            <w:vAlign w:val="bottom"/>
          </w:tcPr>
          <w:p w:rsidR="00B23695" w:rsidRPr="000063FC" w:rsidRDefault="004034ED">
            <w:pPr>
              <w:spacing w:line="276" w:lineRule="auto"/>
              <w:jc w:val="center"/>
              <w:rPr>
                <w:rFonts w:cs="Arial"/>
                <w:color w:val="000000"/>
                <w:sz w:val="20"/>
              </w:rPr>
            </w:pPr>
            <w:r w:rsidRPr="000063FC">
              <w:rPr>
                <w:rFonts w:cs="Arial"/>
                <w:color w:val="000000"/>
                <w:sz w:val="20"/>
              </w:rPr>
              <w:t>29.102,3</w:t>
            </w:r>
          </w:p>
        </w:tc>
      </w:tr>
    </w:tbl>
    <w:p w:rsidR="00B23695" w:rsidRPr="000063FC" w:rsidRDefault="00B23695">
      <w:pPr>
        <w:spacing w:line="276" w:lineRule="auto"/>
      </w:pPr>
    </w:p>
    <w:p w:rsidR="00B1382D" w:rsidRPr="000063FC" w:rsidRDefault="004034ED" w:rsidP="00B33E2F">
      <w:pPr>
        <w:pStyle w:val="Heading6"/>
      </w:pPr>
      <w:bookmarkStart w:id="104" w:name="_Toc254010239"/>
      <w:r w:rsidRPr="000063FC">
        <w:t xml:space="preserve">Tablica </w:t>
      </w:r>
      <w:r w:rsidR="00091508" w:rsidRPr="000063FC">
        <w:t>2.10</w:t>
      </w:r>
      <w:r w:rsidRPr="000063FC">
        <w:t xml:space="preserve">: </w:t>
      </w:r>
      <w:r w:rsidR="00B1382D" w:rsidRPr="000063FC">
        <w:t>Potrošnja plina i emisija CO</w:t>
      </w:r>
      <w:r w:rsidR="00B1382D" w:rsidRPr="000063FC">
        <w:rPr>
          <w:vertAlign w:val="subscript"/>
        </w:rPr>
        <w:t xml:space="preserve">2 </w:t>
      </w:r>
      <w:r w:rsidR="00B1382D" w:rsidRPr="000063FC">
        <w:t>za sektor javne rasvjete</w:t>
      </w:r>
      <w:bookmarkEnd w:id="104"/>
    </w:p>
    <w:tbl>
      <w:tblPr>
        <w:tblW w:w="9214" w:type="dxa"/>
        <w:tblInd w:w="108" w:type="dxa"/>
        <w:tblBorders>
          <w:top w:val="single" w:sz="6" w:space="0" w:color="4BACC6"/>
          <w:left w:val="single" w:sz="6" w:space="0" w:color="4BACC6"/>
          <w:bottom w:val="single" w:sz="6" w:space="0" w:color="4BACC6"/>
          <w:right w:val="single" w:sz="6" w:space="0" w:color="4BACC6"/>
          <w:insideH w:val="single" w:sz="6" w:space="0" w:color="4BACC6"/>
          <w:insideV w:val="single" w:sz="6" w:space="0" w:color="4BACC6"/>
        </w:tblBorders>
        <w:tblLook w:val="00A0" w:firstRow="1" w:lastRow="0" w:firstColumn="1" w:lastColumn="0" w:noHBand="0" w:noVBand="0"/>
      </w:tblPr>
      <w:tblGrid>
        <w:gridCol w:w="2694"/>
        <w:gridCol w:w="2268"/>
        <w:gridCol w:w="992"/>
        <w:gridCol w:w="1134"/>
        <w:gridCol w:w="992"/>
        <w:gridCol w:w="1134"/>
      </w:tblGrid>
      <w:tr w:rsidR="004034ED" w:rsidRPr="000063FC" w:rsidTr="00946FAD">
        <w:trPr>
          <w:trHeight w:val="227"/>
        </w:trPr>
        <w:tc>
          <w:tcPr>
            <w:tcW w:w="2694" w:type="dxa"/>
            <w:vMerge w:val="restart"/>
            <w:tcBorders>
              <w:bottom w:val="single" w:sz="6" w:space="0" w:color="FFFFFF"/>
              <w:right w:val="single" w:sz="4" w:space="0" w:color="FFFFFF"/>
            </w:tcBorders>
            <w:shd w:val="clear" w:color="auto" w:fill="4BACC6"/>
            <w:vAlign w:val="center"/>
          </w:tcPr>
          <w:p w:rsidR="00BC341E" w:rsidRPr="000063FC" w:rsidRDefault="00BC341E">
            <w:pPr>
              <w:spacing w:line="276" w:lineRule="auto"/>
              <w:jc w:val="center"/>
              <w:rPr>
                <w:rFonts w:cs="Arial"/>
                <w:b/>
                <w:i/>
                <w:color w:val="FFFFFF"/>
                <w:sz w:val="20"/>
                <w:lang w:eastAsia="hr-HR"/>
              </w:rPr>
            </w:pPr>
          </w:p>
        </w:tc>
        <w:tc>
          <w:tcPr>
            <w:tcW w:w="2268" w:type="dxa"/>
            <w:vMerge w:val="restart"/>
            <w:tcBorders>
              <w:left w:val="single" w:sz="4" w:space="0" w:color="FFFFFF"/>
              <w:bottom w:val="single" w:sz="6" w:space="0" w:color="FFFFFF"/>
              <w:right w:val="single" w:sz="6" w:space="0" w:color="FFFFFF"/>
            </w:tcBorders>
            <w:shd w:val="clear" w:color="auto" w:fill="4BACC6"/>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Potrošnja prirodnog plina, TJ</w:t>
            </w:r>
          </w:p>
        </w:tc>
        <w:tc>
          <w:tcPr>
            <w:tcW w:w="4252" w:type="dxa"/>
            <w:gridSpan w:val="4"/>
            <w:tcBorders>
              <w:left w:val="single" w:sz="6" w:space="0" w:color="FFFFFF"/>
              <w:bottom w:val="single" w:sz="6" w:space="0" w:color="FFFFFF"/>
            </w:tcBorders>
            <w:shd w:val="clear" w:color="auto" w:fill="4BACC6"/>
            <w:noWrap/>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Emisija, t</w:t>
            </w:r>
          </w:p>
        </w:tc>
      </w:tr>
      <w:tr w:rsidR="004034ED" w:rsidRPr="000063FC" w:rsidTr="00946FAD">
        <w:trPr>
          <w:trHeight w:val="227"/>
        </w:trPr>
        <w:tc>
          <w:tcPr>
            <w:tcW w:w="2694" w:type="dxa"/>
            <w:vMerge/>
            <w:tcBorders>
              <w:top w:val="single" w:sz="6" w:space="0" w:color="FFFFFF"/>
              <w:right w:val="single" w:sz="4" w:space="0" w:color="FFFFFF"/>
            </w:tcBorders>
            <w:shd w:val="clear" w:color="auto" w:fill="4BACC6"/>
            <w:vAlign w:val="center"/>
          </w:tcPr>
          <w:p w:rsidR="00B23695" w:rsidRPr="000063FC" w:rsidRDefault="00B23695">
            <w:pPr>
              <w:spacing w:line="276" w:lineRule="auto"/>
              <w:jc w:val="center"/>
              <w:rPr>
                <w:rFonts w:cs="Arial"/>
                <w:b/>
                <w:color w:val="FFFFFF"/>
                <w:sz w:val="20"/>
                <w:lang w:eastAsia="hr-HR"/>
              </w:rPr>
            </w:pPr>
          </w:p>
        </w:tc>
        <w:tc>
          <w:tcPr>
            <w:tcW w:w="2268" w:type="dxa"/>
            <w:vMerge/>
            <w:tcBorders>
              <w:top w:val="single" w:sz="6" w:space="0" w:color="FFFFFF"/>
              <w:left w:val="single" w:sz="4" w:space="0" w:color="FFFFFF"/>
              <w:right w:val="single" w:sz="6" w:space="0" w:color="FFFFFF"/>
            </w:tcBorders>
            <w:shd w:val="clear" w:color="auto" w:fill="4BACC6"/>
            <w:vAlign w:val="center"/>
          </w:tcPr>
          <w:p w:rsidR="00B23695" w:rsidRPr="000063FC" w:rsidRDefault="00B23695">
            <w:pPr>
              <w:spacing w:line="276" w:lineRule="auto"/>
              <w:jc w:val="center"/>
              <w:rPr>
                <w:rFonts w:cs="Arial"/>
                <w:b/>
                <w:color w:val="FFFFFF"/>
                <w:sz w:val="20"/>
                <w:lang w:eastAsia="hr-HR"/>
              </w:rPr>
            </w:pPr>
          </w:p>
        </w:tc>
        <w:tc>
          <w:tcPr>
            <w:tcW w:w="992" w:type="dxa"/>
            <w:tcBorders>
              <w:top w:val="single" w:sz="6" w:space="0" w:color="FFFFFF"/>
              <w:left w:val="single" w:sz="6" w:space="0" w:color="FFFFFF"/>
              <w:right w:val="single" w:sz="6" w:space="0" w:color="FFFFFF"/>
            </w:tcBorders>
            <w:shd w:val="clear" w:color="auto" w:fill="4BACC6"/>
            <w:noWrap/>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CO</w:t>
            </w:r>
            <w:r w:rsidRPr="000063FC">
              <w:rPr>
                <w:rFonts w:cs="Arial"/>
                <w:b/>
                <w:color w:val="FFFFFF"/>
                <w:sz w:val="20"/>
                <w:vertAlign w:val="subscript"/>
                <w:lang w:eastAsia="hr-HR"/>
              </w:rPr>
              <w:t>2</w:t>
            </w:r>
          </w:p>
        </w:tc>
        <w:tc>
          <w:tcPr>
            <w:tcW w:w="1134" w:type="dxa"/>
            <w:tcBorders>
              <w:top w:val="single" w:sz="6" w:space="0" w:color="FFFFFF"/>
              <w:left w:val="single" w:sz="6" w:space="0" w:color="FFFFFF"/>
              <w:right w:val="single" w:sz="6" w:space="0" w:color="FFFFFF"/>
            </w:tcBorders>
            <w:shd w:val="clear" w:color="auto" w:fill="4BACC6"/>
            <w:noWrap/>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CH</w:t>
            </w:r>
            <w:r w:rsidRPr="000063FC">
              <w:rPr>
                <w:rFonts w:cs="Arial"/>
                <w:b/>
                <w:color w:val="FFFFFF"/>
                <w:sz w:val="20"/>
                <w:vertAlign w:val="subscript"/>
                <w:lang w:eastAsia="hr-HR"/>
              </w:rPr>
              <w:t>4</w:t>
            </w:r>
          </w:p>
        </w:tc>
        <w:tc>
          <w:tcPr>
            <w:tcW w:w="992" w:type="dxa"/>
            <w:tcBorders>
              <w:top w:val="single" w:sz="6" w:space="0" w:color="FFFFFF"/>
              <w:left w:val="single" w:sz="6" w:space="0" w:color="FFFFFF"/>
              <w:right w:val="single" w:sz="6" w:space="0" w:color="FFFFFF"/>
            </w:tcBorders>
            <w:shd w:val="clear" w:color="auto" w:fill="4BACC6"/>
            <w:noWrap/>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N</w:t>
            </w:r>
            <w:r w:rsidRPr="000063FC">
              <w:rPr>
                <w:rFonts w:cs="Arial"/>
                <w:b/>
                <w:color w:val="FFFFFF"/>
                <w:sz w:val="20"/>
                <w:vertAlign w:val="subscript"/>
                <w:lang w:eastAsia="hr-HR"/>
              </w:rPr>
              <w:t>2</w:t>
            </w:r>
            <w:r w:rsidRPr="000063FC">
              <w:rPr>
                <w:rFonts w:cs="Arial"/>
                <w:b/>
                <w:color w:val="FFFFFF"/>
                <w:sz w:val="20"/>
                <w:lang w:eastAsia="hr-HR"/>
              </w:rPr>
              <w:t>O</w:t>
            </w:r>
          </w:p>
        </w:tc>
        <w:tc>
          <w:tcPr>
            <w:tcW w:w="1134" w:type="dxa"/>
            <w:tcBorders>
              <w:top w:val="single" w:sz="6" w:space="0" w:color="FFFFFF"/>
              <w:left w:val="single" w:sz="6" w:space="0" w:color="FFFFFF"/>
            </w:tcBorders>
            <w:shd w:val="clear" w:color="auto" w:fill="4BACC6"/>
            <w:noWrap/>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CO</w:t>
            </w:r>
            <w:r w:rsidRPr="000063FC">
              <w:rPr>
                <w:rFonts w:cs="Arial"/>
                <w:b/>
                <w:color w:val="FFFFFF"/>
                <w:sz w:val="20"/>
                <w:vertAlign w:val="subscript"/>
                <w:lang w:eastAsia="hr-HR"/>
              </w:rPr>
              <w:t>2</w:t>
            </w:r>
            <w:r w:rsidRPr="000063FC">
              <w:rPr>
                <w:rFonts w:cs="Arial"/>
                <w:b/>
                <w:color w:val="FFFFFF"/>
                <w:sz w:val="20"/>
                <w:lang w:eastAsia="hr-HR"/>
              </w:rPr>
              <w:t>-ekv</w:t>
            </w:r>
          </w:p>
        </w:tc>
      </w:tr>
      <w:tr w:rsidR="004034ED" w:rsidRPr="000063FC" w:rsidTr="00946FAD">
        <w:trPr>
          <w:trHeight w:val="227"/>
        </w:trPr>
        <w:tc>
          <w:tcPr>
            <w:tcW w:w="2694" w:type="dxa"/>
            <w:tcBorders>
              <w:right w:val="single" w:sz="4" w:space="0" w:color="4BACC6"/>
            </w:tcBorders>
            <w:noWrap/>
            <w:vAlign w:val="center"/>
          </w:tcPr>
          <w:p w:rsidR="00B23695" w:rsidRPr="000063FC" w:rsidRDefault="004034ED">
            <w:pPr>
              <w:spacing w:line="276" w:lineRule="auto"/>
              <w:rPr>
                <w:rFonts w:cs="Arial"/>
                <w:sz w:val="20"/>
                <w:lang w:eastAsia="hr-HR"/>
              </w:rPr>
            </w:pPr>
            <w:r w:rsidRPr="000063FC">
              <w:rPr>
                <w:rFonts w:cs="Arial"/>
                <w:sz w:val="20"/>
                <w:lang w:eastAsia="hr-HR"/>
              </w:rPr>
              <w:t>Javna rasvjeta</w:t>
            </w:r>
            <w:r w:rsidR="00B1382D" w:rsidRPr="000063FC">
              <w:rPr>
                <w:rFonts w:cs="Arial"/>
                <w:sz w:val="20"/>
                <w:lang w:eastAsia="hr-HR"/>
              </w:rPr>
              <w:t xml:space="preserve"> </w:t>
            </w:r>
            <w:r w:rsidRPr="000063FC">
              <w:rPr>
                <w:rFonts w:cs="Arial"/>
                <w:sz w:val="20"/>
                <w:lang w:eastAsia="hr-HR"/>
              </w:rPr>
              <w:t>-</w:t>
            </w:r>
            <w:r w:rsidR="00B1382D" w:rsidRPr="000063FC">
              <w:rPr>
                <w:rFonts w:cs="Arial"/>
                <w:sz w:val="20"/>
                <w:lang w:eastAsia="hr-HR"/>
              </w:rPr>
              <w:t xml:space="preserve"> </w:t>
            </w:r>
            <w:r w:rsidRPr="000063FC">
              <w:rPr>
                <w:rFonts w:cs="Arial"/>
                <w:sz w:val="20"/>
                <w:lang w:eastAsia="hr-HR"/>
              </w:rPr>
              <w:t>prirodni plin</w:t>
            </w:r>
          </w:p>
        </w:tc>
        <w:tc>
          <w:tcPr>
            <w:tcW w:w="2268" w:type="dxa"/>
            <w:tcBorders>
              <w:left w:val="single" w:sz="4" w:space="0" w:color="4BACC6"/>
            </w:tcBorders>
            <w:vAlign w:val="center"/>
          </w:tcPr>
          <w:p w:rsidR="00B23695" w:rsidRPr="000063FC" w:rsidRDefault="004034ED">
            <w:pPr>
              <w:spacing w:line="276" w:lineRule="auto"/>
              <w:jc w:val="center"/>
              <w:rPr>
                <w:rFonts w:cs="Arial"/>
                <w:sz w:val="20"/>
                <w:lang w:eastAsia="hr-HR"/>
              </w:rPr>
            </w:pPr>
            <w:r w:rsidRPr="000063FC">
              <w:rPr>
                <w:rFonts w:cs="Arial"/>
                <w:sz w:val="20"/>
                <w:lang w:eastAsia="hr-HR"/>
              </w:rPr>
              <w:t>1,31</w:t>
            </w:r>
          </w:p>
        </w:tc>
        <w:tc>
          <w:tcPr>
            <w:tcW w:w="992" w:type="dxa"/>
            <w:noWrap/>
            <w:vAlign w:val="center"/>
          </w:tcPr>
          <w:p w:rsidR="00B23695" w:rsidRPr="000063FC" w:rsidRDefault="004034ED">
            <w:pPr>
              <w:spacing w:line="276" w:lineRule="auto"/>
              <w:jc w:val="center"/>
              <w:rPr>
                <w:rFonts w:cs="Arial"/>
                <w:sz w:val="20"/>
                <w:lang w:eastAsia="hr-HR"/>
              </w:rPr>
            </w:pPr>
            <w:r w:rsidRPr="000063FC">
              <w:rPr>
                <w:rFonts w:cs="Arial"/>
                <w:sz w:val="20"/>
                <w:lang w:eastAsia="hr-HR"/>
              </w:rPr>
              <w:t>73,26</w:t>
            </w:r>
          </w:p>
        </w:tc>
        <w:tc>
          <w:tcPr>
            <w:tcW w:w="1134" w:type="dxa"/>
            <w:noWrap/>
            <w:vAlign w:val="center"/>
          </w:tcPr>
          <w:p w:rsidR="00B23695" w:rsidRPr="000063FC" w:rsidRDefault="004034ED">
            <w:pPr>
              <w:spacing w:line="276" w:lineRule="auto"/>
              <w:jc w:val="center"/>
              <w:rPr>
                <w:rFonts w:cs="Arial"/>
                <w:sz w:val="20"/>
                <w:lang w:eastAsia="hr-HR"/>
              </w:rPr>
            </w:pPr>
            <w:r w:rsidRPr="000063FC">
              <w:rPr>
                <w:rFonts w:cs="Arial"/>
                <w:sz w:val="20"/>
                <w:lang w:eastAsia="hr-HR"/>
              </w:rPr>
              <w:t>0,0066</w:t>
            </w:r>
          </w:p>
        </w:tc>
        <w:tc>
          <w:tcPr>
            <w:tcW w:w="992" w:type="dxa"/>
            <w:noWrap/>
            <w:vAlign w:val="center"/>
          </w:tcPr>
          <w:p w:rsidR="00B23695" w:rsidRPr="000063FC" w:rsidRDefault="004034ED">
            <w:pPr>
              <w:spacing w:line="276" w:lineRule="auto"/>
              <w:jc w:val="center"/>
              <w:rPr>
                <w:rFonts w:cs="Arial"/>
                <w:sz w:val="20"/>
                <w:lang w:eastAsia="hr-HR"/>
              </w:rPr>
            </w:pPr>
            <w:r w:rsidRPr="000063FC">
              <w:rPr>
                <w:rFonts w:cs="Arial"/>
                <w:sz w:val="20"/>
                <w:lang w:eastAsia="hr-HR"/>
              </w:rPr>
              <w:t>0,0001</w:t>
            </w:r>
          </w:p>
        </w:tc>
        <w:tc>
          <w:tcPr>
            <w:tcW w:w="1134" w:type="dxa"/>
            <w:noWrap/>
            <w:vAlign w:val="center"/>
          </w:tcPr>
          <w:p w:rsidR="00B23695" w:rsidRPr="000063FC" w:rsidRDefault="004034ED">
            <w:pPr>
              <w:spacing w:line="276" w:lineRule="auto"/>
              <w:jc w:val="center"/>
              <w:rPr>
                <w:rFonts w:cs="Arial"/>
                <w:sz w:val="20"/>
                <w:lang w:eastAsia="hr-HR"/>
              </w:rPr>
            </w:pPr>
            <w:r w:rsidRPr="000063FC">
              <w:rPr>
                <w:rFonts w:cs="Arial"/>
                <w:sz w:val="20"/>
                <w:lang w:eastAsia="hr-HR"/>
              </w:rPr>
              <w:t>73,44</w:t>
            </w:r>
          </w:p>
        </w:tc>
      </w:tr>
    </w:tbl>
    <w:p w:rsidR="00B23695" w:rsidRPr="000063FC" w:rsidRDefault="00B23695">
      <w:pPr>
        <w:spacing w:line="276" w:lineRule="auto"/>
      </w:pPr>
    </w:p>
    <w:p w:rsidR="00B1382D" w:rsidRPr="000063FC" w:rsidRDefault="00B1382D" w:rsidP="00B1382D">
      <w:pPr>
        <w:spacing w:line="276" w:lineRule="auto"/>
        <w:rPr>
          <w:szCs w:val="22"/>
        </w:rPr>
      </w:pPr>
      <w:r w:rsidRPr="000063FC">
        <w:rPr>
          <w:szCs w:val="22"/>
        </w:rPr>
        <w:t>Potrošnja prirodnog plina za javnu rasvjetu Gornjeg Grada u 2008. godini iznosila je 38 616 m³, a za određivanje pripadajućih emisija stakleničkih plinova korišteni su sljedeći podaci:</w:t>
      </w:r>
    </w:p>
    <w:tbl>
      <w:tblPr>
        <w:tblW w:w="5526" w:type="dxa"/>
        <w:tblInd w:w="1951" w:type="dxa"/>
        <w:tblLook w:val="00A0" w:firstRow="1" w:lastRow="0" w:firstColumn="1" w:lastColumn="0" w:noHBand="0" w:noVBand="0"/>
      </w:tblPr>
      <w:tblGrid>
        <w:gridCol w:w="2835"/>
        <w:gridCol w:w="1418"/>
        <w:gridCol w:w="1273"/>
      </w:tblGrid>
      <w:tr w:rsidR="00B1382D" w:rsidRPr="000063FC" w:rsidTr="00B1382D">
        <w:trPr>
          <w:trHeight w:val="300"/>
        </w:trPr>
        <w:tc>
          <w:tcPr>
            <w:tcW w:w="2835" w:type="dxa"/>
            <w:tcBorders>
              <w:top w:val="nil"/>
              <w:left w:val="nil"/>
              <w:bottom w:val="nil"/>
              <w:right w:val="nil"/>
            </w:tcBorders>
            <w:noWrap/>
            <w:vAlign w:val="bottom"/>
          </w:tcPr>
          <w:p w:rsidR="00B1382D" w:rsidRPr="000063FC" w:rsidRDefault="00B1382D" w:rsidP="00B1382D">
            <w:pPr>
              <w:spacing w:line="276" w:lineRule="auto"/>
              <w:rPr>
                <w:rFonts w:cs="Arial"/>
                <w:color w:val="000000"/>
                <w:szCs w:val="22"/>
                <w:lang w:eastAsia="hr-HR"/>
              </w:rPr>
            </w:pPr>
            <w:r w:rsidRPr="000063FC">
              <w:rPr>
                <w:rFonts w:cs="Arial"/>
                <w:color w:val="000000"/>
                <w:szCs w:val="22"/>
                <w:lang w:eastAsia="hr-HR"/>
              </w:rPr>
              <w:t>Potrošnja prirodnog plina,</w:t>
            </w:r>
          </w:p>
        </w:tc>
        <w:tc>
          <w:tcPr>
            <w:tcW w:w="1418" w:type="dxa"/>
            <w:tcBorders>
              <w:top w:val="nil"/>
              <w:left w:val="nil"/>
              <w:bottom w:val="nil"/>
              <w:right w:val="nil"/>
            </w:tcBorders>
            <w:vAlign w:val="center"/>
          </w:tcPr>
          <w:p w:rsidR="00B1382D" w:rsidRPr="000063FC" w:rsidRDefault="00B1382D" w:rsidP="00B1382D">
            <w:pPr>
              <w:spacing w:line="276" w:lineRule="auto"/>
              <w:rPr>
                <w:rFonts w:cs="Arial"/>
                <w:color w:val="000000"/>
                <w:szCs w:val="22"/>
                <w:lang w:eastAsia="hr-HR"/>
              </w:rPr>
            </w:pPr>
            <w:r w:rsidRPr="000063FC">
              <w:rPr>
                <w:rFonts w:cs="Arial"/>
                <w:color w:val="000000"/>
                <w:szCs w:val="22"/>
                <w:lang w:eastAsia="hr-HR"/>
              </w:rPr>
              <w:t>m</w:t>
            </w:r>
            <w:r w:rsidRPr="000063FC">
              <w:rPr>
                <w:rFonts w:cs="Arial"/>
                <w:color w:val="000000"/>
                <w:szCs w:val="22"/>
                <w:vertAlign w:val="superscript"/>
                <w:lang w:eastAsia="hr-HR"/>
              </w:rPr>
              <w:t>3</w:t>
            </w:r>
          </w:p>
        </w:tc>
        <w:tc>
          <w:tcPr>
            <w:tcW w:w="1273" w:type="dxa"/>
            <w:tcBorders>
              <w:top w:val="nil"/>
              <w:left w:val="nil"/>
              <w:bottom w:val="nil"/>
              <w:right w:val="nil"/>
            </w:tcBorders>
            <w:noWrap/>
            <w:vAlign w:val="bottom"/>
          </w:tcPr>
          <w:p w:rsidR="00B1382D" w:rsidRPr="000063FC" w:rsidRDefault="00B1382D" w:rsidP="00B1382D">
            <w:pPr>
              <w:spacing w:line="276" w:lineRule="auto"/>
              <w:jc w:val="center"/>
              <w:rPr>
                <w:rFonts w:cs="Arial"/>
                <w:color w:val="000000"/>
                <w:szCs w:val="22"/>
                <w:lang w:eastAsia="hr-HR"/>
              </w:rPr>
            </w:pPr>
            <w:r w:rsidRPr="000063FC">
              <w:rPr>
                <w:rFonts w:cs="Arial"/>
                <w:color w:val="000000"/>
                <w:szCs w:val="22"/>
                <w:lang w:eastAsia="hr-HR"/>
              </w:rPr>
              <w:t>38616</w:t>
            </w:r>
          </w:p>
        </w:tc>
      </w:tr>
      <w:tr w:rsidR="00B1382D" w:rsidRPr="000063FC" w:rsidTr="00B1382D">
        <w:trPr>
          <w:trHeight w:val="300"/>
        </w:trPr>
        <w:tc>
          <w:tcPr>
            <w:tcW w:w="2835" w:type="dxa"/>
            <w:tcBorders>
              <w:top w:val="nil"/>
              <w:left w:val="nil"/>
              <w:bottom w:val="nil"/>
              <w:right w:val="nil"/>
            </w:tcBorders>
            <w:noWrap/>
            <w:vAlign w:val="bottom"/>
          </w:tcPr>
          <w:p w:rsidR="00B1382D" w:rsidRPr="000063FC" w:rsidRDefault="00B1382D" w:rsidP="00B1382D">
            <w:pPr>
              <w:spacing w:line="276" w:lineRule="auto"/>
              <w:rPr>
                <w:rFonts w:cs="Arial"/>
                <w:color w:val="000000"/>
                <w:szCs w:val="22"/>
                <w:lang w:eastAsia="hr-HR"/>
              </w:rPr>
            </w:pPr>
            <w:r w:rsidRPr="000063FC">
              <w:rPr>
                <w:rFonts w:cs="Arial"/>
                <w:color w:val="000000"/>
                <w:szCs w:val="22"/>
                <w:lang w:eastAsia="hr-HR"/>
              </w:rPr>
              <w:t>Ogrjevna vrijednost,</w:t>
            </w:r>
            <w:r w:rsidRPr="000063FC">
              <w:rPr>
                <w:rStyle w:val="FootnoteReference"/>
                <w:rFonts w:cs="Arial"/>
                <w:color w:val="000000"/>
                <w:szCs w:val="22"/>
                <w:lang w:eastAsia="hr-HR"/>
              </w:rPr>
              <w:footnoteReference w:id="9"/>
            </w:r>
            <w:r w:rsidRPr="000063FC">
              <w:rPr>
                <w:rFonts w:cs="Arial"/>
                <w:color w:val="000000"/>
                <w:szCs w:val="22"/>
                <w:lang w:eastAsia="hr-HR"/>
              </w:rPr>
              <w:t xml:space="preserve"> </w:t>
            </w:r>
          </w:p>
        </w:tc>
        <w:tc>
          <w:tcPr>
            <w:tcW w:w="1418" w:type="dxa"/>
            <w:tcBorders>
              <w:top w:val="nil"/>
              <w:left w:val="nil"/>
              <w:bottom w:val="nil"/>
              <w:right w:val="nil"/>
            </w:tcBorders>
            <w:vAlign w:val="center"/>
          </w:tcPr>
          <w:p w:rsidR="00B1382D" w:rsidRPr="000063FC" w:rsidRDefault="00B1382D" w:rsidP="00B1382D">
            <w:pPr>
              <w:spacing w:line="276" w:lineRule="auto"/>
              <w:rPr>
                <w:rFonts w:cs="Arial"/>
                <w:color w:val="000000"/>
                <w:szCs w:val="22"/>
                <w:lang w:eastAsia="hr-HR"/>
              </w:rPr>
            </w:pPr>
            <w:r w:rsidRPr="000063FC">
              <w:rPr>
                <w:rFonts w:cs="Arial"/>
                <w:color w:val="000000"/>
                <w:szCs w:val="22"/>
                <w:lang w:eastAsia="hr-HR"/>
              </w:rPr>
              <w:t>MJ/m</w:t>
            </w:r>
            <w:r w:rsidRPr="000063FC">
              <w:rPr>
                <w:rFonts w:cs="Arial"/>
                <w:color w:val="000000"/>
                <w:szCs w:val="22"/>
                <w:vertAlign w:val="superscript"/>
                <w:lang w:eastAsia="hr-HR"/>
              </w:rPr>
              <w:t>3</w:t>
            </w:r>
          </w:p>
        </w:tc>
        <w:tc>
          <w:tcPr>
            <w:tcW w:w="1273" w:type="dxa"/>
            <w:tcBorders>
              <w:top w:val="nil"/>
              <w:left w:val="nil"/>
              <w:bottom w:val="nil"/>
              <w:right w:val="nil"/>
            </w:tcBorders>
            <w:noWrap/>
            <w:vAlign w:val="bottom"/>
          </w:tcPr>
          <w:p w:rsidR="00B1382D" w:rsidRPr="000063FC" w:rsidRDefault="00B1382D" w:rsidP="00B1382D">
            <w:pPr>
              <w:spacing w:line="276" w:lineRule="auto"/>
              <w:jc w:val="center"/>
              <w:rPr>
                <w:rFonts w:cs="Arial"/>
                <w:color w:val="000000"/>
                <w:szCs w:val="22"/>
                <w:lang w:eastAsia="hr-HR"/>
              </w:rPr>
            </w:pPr>
            <w:r w:rsidRPr="000063FC">
              <w:rPr>
                <w:rFonts w:cs="Arial"/>
                <w:color w:val="000000"/>
                <w:szCs w:val="22"/>
                <w:lang w:eastAsia="hr-HR"/>
              </w:rPr>
              <w:t>34,0</w:t>
            </w:r>
          </w:p>
        </w:tc>
      </w:tr>
      <w:tr w:rsidR="00B1382D" w:rsidRPr="000063FC" w:rsidTr="00B1382D">
        <w:trPr>
          <w:trHeight w:val="300"/>
        </w:trPr>
        <w:tc>
          <w:tcPr>
            <w:tcW w:w="2835" w:type="dxa"/>
            <w:tcBorders>
              <w:top w:val="nil"/>
              <w:left w:val="nil"/>
              <w:bottom w:val="nil"/>
              <w:right w:val="nil"/>
            </w:tcBorders>
            <w:noWrap/>
            <w:vAlign w:val="bottom"/>
          </w:tcPr>
          <w:p w:rsidR="00B1382D" w:rsidRPr="000063FC" w:rsidRDefault="00B1382D" w:rsidP="00B1382D">
            <w:pPr>
              <w:spacing w:line="276" w:lineRule="auto"/>
              <w:rPr>
                <w:rFonts w:cs="Arial"/>
                <w:color w:val="000000"/>
                <w:szCs w:val="22"/>
                <w:lang w:eastAsia="hr-HR"/>
              </w:rPr>
            </w:pPr>
            <w:r w:rsidRPr="000063FC">
              <w:rPr>
                <w:rFonts w:cs="Arial"/>
                <w:color w:val="000000"/>
                <w:szCs w:val="22"/>
                <w:lang w:eastAsia="hr-HR"/>
              </w:rPr>
              <w:t>Emisijski faktori,</w:t>
            </w:r>
            <w:r w:rsidRPr="000063FC">
              <w:rPr>
                <w:rStyle w:val="FootnoteReference"/>
                <w:rFonts w:cs="Arial"/>
                <w:color w:val="000000"/>
                <w:szCs w:val="22"/>
                <w:lang w:eastAsia="hr-HR"/>
              </w:rPr>
              <w:footnoteReference w:id="10"/>
            </w:r>
            <w:r w:rsidRPr="000063FC">
              <w:rPr>
                <w:rFonts w:cs="Arial"/>
                <w:color w:val="000000"/>
                <w:szCs w:val="22"/>
                <w:lang w:eastAsia="hr-HR"/>
              </w:rPr>
              <w:t xml:space="preserve">  </w:t>
            </w:r>
          </w:p>
        </w:tc>
        <w:tc>
          <w:tcPr>
            <w:tcW w:w="1418" w:type="dxa"/>
            <w:tcBorders>
              <w:top w:val="nil"/>
              <w:left w:val="nil"/>
              <w:bottom w:val="nil"/>
              <w:right w:val="nil"/>
            </w:tcBorders>
            <w:vAlign w:val="center"/>
          </w:tcPr>
          <w:p w:rsidR="00B1382D" w:rsidRPr="000063FC" w:rsidRDefault="00B1382D" w:rsidP="00B1382D">
            <w:pPr>
              <w:spacing w:line="276" w:lineRule="auto"/>
              <w:rPr>
                <w:rFonts w:cs="Arial"/>
                <w:color w:val="000000"/>
                <w:szCs w:val="22"/>
                <w:lang w:eastAsia="hr-HR"/>
              </w:rPr>
            </w:pPr>
            <w:r w:rsidRPr="000063FC">
              <w:rPr>
                <w:rFonts w:cs="Arial"/>
                <w:color w:val="000000"/>
                <w:szCs w:val="22"/>
                <w:lang w:eastAsia="hr-HR"/>
              </w:rPr>
              <w:t>t CO</w:t>
            </w:r>
            <w:r w:rsidRPr="000063FC">
              <w:rPr>
                <w:rFonts w:cs="Arial"/>
                <w:color w:val="000000"/>
                <w:szCs w:val="22"/>
                <w:vertAlign w:val="subscript"/>
                <w:lang w:eastAsia="hr-HR"/>
              </w:rPr>
              <w:t>2</w:t>
            </w:r>
            <w:r w:rsidRPr="000063FC">
              <w:rPr>
                <w:rFonts w:cs="Arial"/>
                <w:color w:val="000000"/>
                <w:szCs w:val="22"/>
                <w:lang w:eastAsia="hr-HR"/>
              </w:rPr>
              <w:t>/TJ</w:t>
            </w:r>
          </w:p>
        </w:tc>
        <w:tc>
          <w:tcPr>
            <w:tcW w:w="1273" w:type="dxa"/>
            <w:tcBorders>
              <w:top w:val="nil"/>
              <w:left w:val="nil"/>
              <w:bottom w:val="nil"/>
              <w:right w:val="nil"/>
            </w:tcBorders>
            <w:noWrap/>
            <w:vAlign w:val="bottom"/>
          </w:tcPr>
          <w:p w:rsidR="00B1382D" w:rsidRPr="000063FC" w:rsidRDefault="00B1382D" w:rsidP="00B1382D">
            <w:pPr>
              <w:spacing w:line="276" w:lineRule="auto"/>
              <w:jc w:val="center"/>
              <w:rPr>
                <w:rFonts w:cs="Arial"/>
                <w:color w:val="000000"/>
                <w:szCs w:val="22"/>
                <w:lang w:eastAsia="hr-HR"/>
              </w:rPr>
            </w:pPr>
            <w:r w:rsidRPr="000063FC">
              <w:rPr>
                <w:rFonts w:cs="Arial"/>
                <w:color w:val="000000"/>
                <w:szCs w:val="22"/>
                <w:lang w:eastAsia="hr-HR"/>
              </w:rPr>
              <w:t>55,8</w:t>
            </w:r>
          </w:p>
        </w:tc>
      </w:tr>
      <w:tr w:rsidR="00B1382D" w:rsidRPr="000063FC" w:rsidTr="00B1382D">
        <w:trPr>
          <w:trHeight w:val="300"/>
        </w:trPr>
        <w:tc>
          <w:tcPr>
            <w:tcW w:w="2835" w:type="dxa"/>
            <w:tcBorders>
              <w:top w:val="nil"/>
              <w:left w:val="nil"/>
              <w:bottom w:val="nil"/>
              <w:right w:val="nil"/>
            </w:tcBorders>
            <w:noWrap/>
            <w:vAlign w:val="bottom"/>
          </w:tcPr>
          <w:p w:rsidR="00B1382D" w:rsidRPr="000063FC" w:rsidRDefault="00B1382D" w:rsidP="00B1382D">
            <w:pPr>
              <w:spacing w:line="276" w:lineRule="auto"/>
              <w:ind w:left="1876"/>
              <w:rPr>
                <w:rFonts w:cs="Arial"/>
                <w:color w:val="000000"/>
                <w:szCs w:val="22"/>
                <w:lang w:eastAsia="hr-HR"/>
              </w:rPr>
            </w:pPr>
          </w:p>
        </w:tc>
        <w:tc>
          <w:tcPr>
            <w:tcW w:w="1418" w:type="dxa"/>
            <w:tcBorders>
              <w:top w:val="nil"/>
              <w:left w:val="nil"/>
              <w:bottom w:val="nil"/>
              <w:right w:val="nil"/>
            </w:tcBorders>
            <w:vAlign w:val="center"/>
          </w:tcPr>
          <w:p w:rsidR="00B1382D" w:rsidRPr="000063FC" w:rsidRDefault="00B1382D" w:rsidP="00B1382D">
            <w:pPr>
              <w:spacing w:line="276" w:lineRule="auto"/>
              <w:rPr>
                <w:rFonts w:cs="Arial"/>
                <w:color w:val="000000"/>
                <w:szCs w:val="22"/>
                <w:lang w:eastAsia="hr-HR"/>
              </w:rPr>
            </w:pPr>
            <w:r w:rsidRPr="000063FC">
              <w:rPr>
                <w:rFonts w:cs="Arial"/>
                <w:color w:val="000000"/>
                <w:szCs w:val="22"/>
                <w:lang w:eastAsia="hr-HR"/>
              </w:rPr>
              <w:t>t CH</w:t>
            </w:r>
            <w:r w:rsidRPr="000063FC">
              <w:rPr>
                <w:rFonts w:cs="Arial"/>
                <w:color w:val="000000"/>
                <w:szCs w:val="22"/>
                <w:vertAlign w:val="subscript"/>
                <w:lang w:eastAsia="hr-HR"/>
              </w:rPr>
              <w:t>4</w:t>
            </w:r>
            <w:r w:rsidRPr="000063FC">
              <w:rPr>
                <w:rFonts w:cs="Arial"/>
                <w:color w:val="000000"/>
                <w:szCs w:val="22"/>
                <w:lang w:eastAsia="hr-HR"/>
              </w:rPr>
              <w:t>/TJ</w:t>
            </w:r>
          </w:p>
        </w:tc>
        <w:tc>
          <w:tcPr>
            <w:tcW w:w="1273" w:type="dxa"/>
            <w:tcBorders>
              <w:top w:val="nil"/>
              <w:left w:val="nil"/>
              <w:bottom w:val="nil"/>
              <w:right w:val="nil"/>
            </w:tcBorders>
            <w:noWrap/>
            <w:vAlign w:val="bottom"/>
          </w:tcPr>
          <w:p w:rsidR="00B1382D" w:rsidRPr="000063FC" w:rsidRDefault="00B1382D" w:rsidP="00B1382D">
            <w:pPr>
              <w:spacing w:line="276" w:lineRule="auto"/>
              <w:jc w:val="center"/>
              <w:rPr>
                <w:rFonts w:cs="Arial"/>
                <w:color w:val="000000"/>
                <w:szCs w:val="22"/>
                <w:lang w:eastAsia="hr-HR"/>
              </w:rPr>
            </w:pPr>
            <w:r w:rsidRPr="000063FC">
              <w:rPr>
                <w:rFonts w:cs="Arial"/>
                <w:color w:val="000000"/>
                <w:szCs w:val="22"/>
                <w:lang w:eastAsia="hr-HR"/>
              </w:rPr>
              <w:t>0,005</w:t>
            </w:r>
          </w:p>
        </w:tc>
      </w:tr>
      <w:tr w:rsidR="00B1382D" w:rsidRPr="000063FC" w:rsidTr="00B1382D">
        <w:trPr>
          <w:trHeight w:val="300"/>
        </w:trPr>
        <w:tc>
          <w:tcPr>
            <w:tcW w:w="2835" w:type="dxa"/>
            <w:tcBorders>
              <w:top w:val="nil"/>
              <w:left w:val="nil"/>
              <w:bottom w:val="nil"/>
              <w:right w:val="nil"/>
            </w:tcBorders>
            <w:noWrap/>
            <w:vAlign w:val="bottom"/>
          </w:tcPr>
          <w:p w:rsidR="00B1382D" w:rsidRPr="000063FC" w:rsidRDefault="00B1382D" w:rsidP="00B1382D">
            <w:pPr>
              <w:spacing w:line="276" w:lineRule="auto"/>
              <w:ind w:left="1876"/>
              <w:rPr>
                <w:rFonts w:cs="Arial"/>
                <w:color w:val="000000"/>
                <w:szCs w:val="22"/>
                <w:lang w:eastAsia="hr-HR"/>
              </w:rPr>
            </w:pPr>
          </w:p>
        </w:tc>
        <w:tc>
          <w:tcPr>
            <w:tcW w:w="1418" w:type="dxa"/>
            <w:tcBorders>
              <w:top w:val="nil"/>
              <w:left w:val="nil"/>
              <w:bottom w:val="nil"/>
              <w:right w:val="nil"/>
            </w:tcBorders>
            <w:vAlign w:val="center"/>
          </w:tcPr>
          <w:p w:rsidR="00B1382D" w:rsidRPr="000063FC" w:rsidRDefault="00B1382D" w:rsidP="00B1382D">
            <w:pPr>
              <w:spacing w:line="276" w:lineRule="auto"/>
              <w:rPr>
                <w:rFonts w:cs="Arial"/>
                <w:color w:val="000000"/>
                <w:szCs w:val="22"/>
                <w:lang w:eastAsia="hr-HR"/>
              </w:rPr>
            </w:pPr>
            <w:r w:rsidRPr="000063FC">
              <w:rPr>
                <w:rFonts w:cs="Arial"/>
                <w:color w:val="000000"/>
                <w:szCs w:val="22"/>
                <w:lang w:eastAsia="hr-HR"/>
              </w:rPr>
              <w:t>t N</w:t>
            </w:r>
            <w:r w:rsidRPr="000063FC">
              <w:rPr>
                <w:rFonts w:cs="Arial"/>
                <w:color w:val="000000"/>
                <w:szCs w:val="22"/>
                <w:vertAlign w:val="subscript"/>
                <w:lang w:eastAsia="hr-HR"/>
              </w:rPr>
              <w:t>2</w:t>
            </w:r>
            <w:r w:rsidRPr="000063FC">
              <w:rPr>
                <w:rFonts w:cs="Arial"/>
                <w:color w:val="000000"/>
                <w:szCs w:val="22"/>
                <w:lang w:eastAsia="hr-HR"/>
              </w:rPr>
              <w:t>O/TJ</w:t>
            </w:r>
          </w:p>
        </w:tc>
        <w:tc>
          <w:tcPr>
            <w:tcW w:w="1273" w:type="dxa"/>
            <w:tcBorders>
              <w:top w:val="nil"/>
              <w:left w:val="nil"/>
              <w:bottom w:val="nil"/>
              <w:right w:val="nil"/>
            </w:tcBorders>
            <w:noWrap/>
            <w:vAlign w:val="bottom"/>
          </w:tcPr>
          <w:p w:rsidR="00B1382D" w:rsidRPr="000063FC" w:rsidRDefault="00B1382D" w:rsidP="00B1382D">
            <w:pPr>
              <w:spacing w:line="276" w:lineRule="auto"/>
              <w:jc w:val="center"/>
              <w:rPr>
                <w:rFonts w:cs="Arial"/>
                <w:color w:val="000000"/>
                <w:szCs w:val="22"/>
                <w:lang w:eastAsia="hr-HR"/>
              </w:rPr>
            </w:pPr>
            <w:r w:rsidRPr="000063FC">
              <w:rPr>
                <w:rFonts w:cs="Arial"/>
                <w:color w:val="000000"/>
                <w:szCs w:val="22"/>
                <w:lang w:eastAsia="hr-HR"/>
              </w:rPr>
              <w:t>0,0001</w:t>
            </w:r>
          </w:p>
        </w:tc>
      </w:tr>
    </w:tbl>
    <w:p w:rsidR="00B1382D" w:rsidRPr="000063FC" w:rsidRDefault="00B1382D">
      <w:pPr>
        <w:spacing w:line="276" w:lineRule="auto"/>
        <w:rPr>
          <w:szCs w:val="22"/>
        </w:rPr>
      </w:pPr>
    </w:p>
    <w:p w:rsidR="00B23695" w:rsidRPr="000063FC" w:rsidRDefault="004034ED">
      <w:pPr>
        <w:spacing w:line="276" w:lineRule="auto"/>
        <w:rPr>
          <w:szCs w:val="22"/>
        </w:rPr>
      </w:pPr>
      <w:r w:rsidRPr="000063FC">
        <w:rPr>
          <w:szCs w:val="22"/>
        </w:rPr>
        <w:t xml:space="preserve">Ukupna emisija </w:t>
      </w:r>
      <w:r w:rsidR="00B1382D" w:rsidRPr="000063FC">
        <w:rPr>
          <w:szCs w:val="22"/>
        </w:rPr>
        <w:t>CO</w:t>
      </w:r>
      <w:r w:rsidR="00B1382D" w:rsidRPr="000063FC">
        <w:rPr>
          <w:szCs w:val="22"/>
          <w:vertAlign w:val="subscript"/>
        </w:rPr>
        <w:t>2</w:t>
      </w:r>
      <w:r w:rsidR="00B1382D" w:rsidRPr="000063FC">
        <w:rPr>
          <w:szCs w:val="22"/>
        </w:rPr>
        <w:t xml:space="preserve"> </w:t>
      </w:r>
      <w:r w:rsidRPr="000063FC">
        <w:rPr>
          <w:szCs w:val="22"/>
        </w:rPr>
        <w:t>sektora</w:t>
      </w:r>
      <w:r w:rsidR="00B1382D" w:rsidRPr="000063FC">
        <w:rPr>
          <w:szCs w:val="22"/>
        </w:rPr>
        <w:t xml:space="preserve"> javne rasvjete u 2008. godini</w:t>
      </w:r>
      <w:r w:rsidRPr="000063FC">
        <w:rPr>
          <w:szCs w:val="22"/>
        </w:rPr>
        <w:t xml:space="preserve"> iznosi </w:t>
      </w:r>
      <w:r w:rsidRPr="000063FC">
        <w:rPr>
          <w:rFonts w:cs="Arial"/>
          <w:color w:val="000000"/>
          <w:szCs w:val="22"/>
          <w:lang w:eastAsia="hr-HR"/>
        </w:rPr>
        <w:t xml:space="preserve">29.175,56 </w:t>
      </w:r>
      <w:r w:rsidRPr="000063FC">
        <w:rPr>
          <w:szCs w:val="22"/>
        </w:rPr>
        <w:t>t CO</w:t>
      </w:r>
      <w:r w:rsidRPr="000063FC">
        <w:rPr>
          <w:szCs w:val="22"/>
          <w:vertAlign w:val="subscript"/>
        </w:rPr>
        <w:t>2</w:t>
      </w:r>
      <w:r w:rsidR="00B1382D" w:rsidRPr="000063FC">
        <w:rPr>
          <w:szCs w:val="22"/>
        </w:rPr>
        <w:t>, pri čemu je udio e</w:t>
      </w:r>
      <w:r w:rsidRPr="000063FC">
        <w:rPr>
          <w:szCs w:val="22"/>
        </w:rPr>
        <w:t xml:space="preserve">misija </w:t>
      </w:r>
      <w:r w:rsidR="00B1382D" w:rsidRPr="000063FC">
        <w:rPr>
          <w:szCs w:val="22"/>
        </w:rPr>
        <w:t xml:space="preserve">iz </w:t>
      </w:r>
      <w:r w:rsidRPr="000063FC">
        <w:rPr>
          <w:szCs w:val="22"/>
        </w:rPr>
        <w:t>prirodnog plina 0,4%</w:t>
      </w:r>
      <w:r w:rsidR="00B1382D" w:rsidRPr="000063FC">
        <w:rPr>
          <w:szCs w:val="22"/>
        </w:rPr>
        <w:t xml:space="preserve">. </w:t>
      </w:r>
      <w:r w:rsidRPr="000063FC">
        <w:rPr>
          <w:szCs w:val="22"/>
        </w:rPr>
        <w:t>Ukupna emisija CO</w:t>
      </w:r>
      <w:r w:rsidRPr="000063FC">
        <w:rPr>
          <w:szCs w:val="22"/>
          <w:vertAlign w:val="subscript"/>
        </w:rPr>
        <w:t>2</w:t>
      </w:r>
      <w:r w:rsidR="004D7DBA" w:rsidRPr="000063FC">
        <w:rPr>
          <w:szCs w:val="22"/>
        </w:rPr>
        <w:t>-ekv za sektor j</w:t>
      </w:r>
      <w:r w:rsidRPr="000063FC">
        <w:rPr>
          <w:szCs w:val="22"/>
        </w:rPr>
        <w:t xml:space="preserve">avne rasvjete </w:t>
      </w:r>
      <w:r w:rsidR="004D7DBA" w:rsidRPr="000063FC">
        <w:rPr>
          <w:szCs w:val="22"/>
        </w:rPr>
        <w:t xml:space="preserve">Grada Zagreba </w:t>
      </w:r>
      <w:r w:rsidRPr="000063FC">
        <w:rPr>
          <w:szCs w:val="22"/>
        </w:rPr>
        <w:t xml:space="preserve">iznosi </w:t>
      </w:r>
      <w:r w:rsidRPr="000063FC">
        <w:rPr>
          <w:rFonts w:cs="Arial"/>
          <w:color w:val="000000"/>
          <w:szCs w:val="22"/>
          <w:lang w:eastAsia="hr-HR"/>
        </w:rPr>
        <w:t xml:space="preserve">29.175,74 </w:t>
      </w:r>
      <w:r w:rsidRPr="000063FC">
        <w:rPr>
          <w:szCs w:val="22"/>
        </w:rPr>
        <w:t>t CO</w:t>
      </w:r>
      <w:r w:rsidRPr="000063FC">
        <w:rPr>
          <w:szCs w:val="22"/>
          <w:vertAlign w:val="subscript"/>
        </w:rPr>
        <w:t>2</w:t>
      </w:r>
      <w:r w:rsidRPr="000063FC">
        <w:rPr>
          <w:szCs w:val="22"/>
        </w:rPr>
        <w:t>-ekv.</w:t>
      </w:r>
    </w:p>
    <w:p w:rsidR="00B23695" w:rsidRPr="000063FC" w:rsidRDefault="00B23695">
      <w:pPr>
        <w:spacing w:line="276" w:lineRule="auto"/>
        <w:rPr>
          <w:b/>
          <w:bCs/>
          <w:kern w:val="32"/>
          <w:szCs w:val="22"/>
        </w:rPr>
      </w:pPr>
    </w:p>
    <w:p w:rsidR="006970AF" w:rsidRPr="000063FC" w:rsidRDefault="004034ED">
      <w:pPr>
        <w:pStyle w:val="Heading3"/>
      </w:pPr>
      <w:bookmarkStart w:id="105" w:name="_Toc254010185"/>
      <w:r w:rsidRPr="000063FC">
        <w:lastRenderedPageBreak/>
        <w:t xml:space="preserve">EMISIJE </w:t>
      </w:r>
      <w:r w:rsidR="004D7DBA" w:rsidRPr="000063FC">
        <w:rPr>
          <w:caps/>
        </w:rPr>
        <w:t>CO</w:t>
      </w:r>
      <w:r w:rsidR="004D7DBA" w:rsidRPr="000063FC">
        <w:rPr>
          <w:caps/>
          <w:vertAlign w:val="subscript"/>
        </w:rPr>
        <w:t xml:space="preserve">2 </w:t>
      </w:r>
      <w:r w:rsidR="004D7DBA" w:rsidRPr="000063FC">
        <w:rPr>
          <w:caps/>
        </w:rPr>
        <w:t xml:space="preserve"> GRADA ZAGREBA </w:t>
      </w:r>
      <w:r w:rsidR="004D7DBA" w:rsidRPr="000063FC">
        <w:t>ZA SEKTOR</w:t>
      </w:r>
      <w:r w:rsidRPr="000063FC">
        <w:t xml:space="preserve"> </w:t>
      </w:r>
      <w:r w:rsidR="007B0169" w:rsidRPr="000063FC">
        <w:t>ZGRADARSTV</w:t>
      </w:r>
      <w:r w:rsidR="004D7DBA" w:rsidRPr="000063FC">
        <w:t>A</w:t>
      </w:r>
      <w:bookmarkEnd w:id="105"/>
    </w:p>
    <w:p w:rsidR="0079143D" w:rsidRPr="000063FC" w:rsidRDefault="00524DEF" w:rsidP="00524DEF">
      <w:pPr>
        <w:pStyle w:val="NoSpacing"/>
        <w:jc w:val="both"/>
      </w:pPr>
      <w:r w:rsidRPr="000063FC">
        <w:t>Emisije CO</w:t>
      </w:r>
      <w:r w:rsidRPr="000063FC">
        <w:rPr>
          <w:vertAlign w:val="subscript"/>
        </w:rPr>
        <w:t>2</w:t>
      </w:r>
      <w:r w:rsidRPr="000063FC">
        <w:t xml:space="preserve"> iz sektora zgradarstva Grada Zagreba obuhvaćaju emisije iz potrošnje električne i toplinske energije, te emisije iz izgaranja goriva. Emisije iz izgaranja goriva proračunavaju se preko standardnih emisijskih faktora</w:t>
      </w:r>
      <w:r w:rsidR="00067A83" w:rsidRPr="000063FC">
        <w:t xml:space="preserve"> (prva razina proračuna IPCC metodologije</w:t>
      </w:r>
      <w:r w:rsidR="00067A83" w:rsidRPr="000063FC">
        <w:rPr>
          <w:rStyle w:val="FootnoteReference"/>
        </w:rPr>
        <w:footnoteReference w:id="11"/>
      </w:r>
      <w:r w:rsidR="00067A83" w:rsidRPr="000063FC">
        <w:t>)</w:t>
      </w:r>
      <w:r w:rsidRPr="000063FC">
        <w:t>, dok su za proračun emisija iz potrošnje električne i toplinske energije određeni specifični emisijski faktori</w:t>
      </w:r>
      <w:r w:rsidR="00067A83" w:rsidRPr="000063FC">
        <w:t xml:space="preserve"> (</w:t>
      </w:r>
      <w:r w:rsidR="00D11AD4" w:rsidRPr="000063FC">
        <w:t>tablica 2.4</w:t>
      </w:r>
      <w:r w:rsidR="00067A83" w:rsidRPr="000063FC">
        <w:t>). U tablici 2.11 dane su karakteristične vrijednosti korištenog goriva</w:t>
      </w:r>
      <w:r w:rsidR="00D11AD4" w:rsidRPr="000063FC">
        <w:t>.</w:t>
      </w:r>
    </w:p>
    <w:p w:rsidR="00D11AD4" w:rsidRPr="000063FC" w:rsidRDefault="00D11AD4" w:rsidP="00524DEF">
      <w:pPr>
        <w:pStyle w:val="NoSpacing"/>
        <w:jc w:val="both"/>
      </w:pPr>
    </w:p>
    <w:p w:rsidR="00BC341E" w:rsidRPr="000063FC" w:rsidRDefault="004034ED" w:rsidP="00B33E2F">
      <w:pPr>
        <w:pStyle w:val="Heading6"/>
      </w:pPr>
      <w:bookmarkStart w:id="106" w:name="_Toc254010240"/>
      <w:r w:rsidRPr="000063FC">
        <w:t xml:space="preserve">Tablica </w:t>
      </w:r>
      <w:r w:rsidR="00091508" w:rsidRPr="000063FC">
        <w:t>2</w:t>
      </w:r>
      <w:r w:rsidRPr="000063FC">
        <w:t>.</w:t>
      </w:r>
      <w:r w:rsidR="00091508" w:rsidRPr="000063FC">
        <w:t>1</w:t>
      </w:r>
      <w:r w:rsidRPr="000063FC">
        <w:t xml:space="preserve">1: </w:t>
      </w:r>
      <w:r w:rsidR="00067A83" w:rsidRPr="000063FC">
        <w:t>Karakteristične vrijednosti korištenog goriva</w:t>
      </w:r>
      <w:bookmarkEnd w:id="106"/>
    </w:p>
    <w:tbl>
      <w:tblPr>
        <w:tblW w:w="9226" w:type="dxa"/>
        <w:tblInd w:w="96" w:type="dxa"/>
        <w:tblBorders>
          <w:top w:val="single" w:sz="6" w:space="0" w:color="4BACC6"/>
          <w:left w:val="single" w:sz="6" w:space="0" w:color="4BACC6"/>
          <w:bottom w:val="single" w:sz="6" w:space="0" w:color="4BACC6"/>
          <w:right w:val="single" w:sz="6" w:space="0" w:color="4BACC6"/>
          <w:insideH w:val="single" w:sz="6" w:space="0" w:color="4BACC6"/>
          <w:insideV w:val="single" w:sz="6" w:space="0" w:color="4BACC6"/>
        </w:tblBorders>
        <w:tblLook w:val="00A0" w:firstRow="1" w:lastRow="0" w:firstColumn="1" w:lastColumn="0" w:noHBand="0" w:noVBand="0"/>
      </w:tblPr>
      <w:tblGrid>
        <w:gridCol w:w="2989"/>
        <w:gridCol w:w="2977"/>
        <w:gridCol w:w="3260"/>
      </w:tblGrid>
      <w:tr w:rsidR="004034ED" w:rsidRPr="000063FC" w:rsidTr="00FA4B2E">
        <w:trPr>
          <w:trHeight w:val="281"/>
        </w:trPr>
        <w:tc>
          <w:tcPr>
            <w:tcW w:w="2989" w:type="dxa"/>
            <w:vMerge w:val="restart"/>
            <w:tcBorders>
              <w:bottom w:val="single" w:sz="6" w:space="0" w:color="FFFFFF"/>
              <w:right w:val="single" w:sz="6" w:space="0" w:color="FFFFFF"/>
            </w:tcBorders>
            <w:shd w:val="clear" w:color="auto" w:fill="4BACC6"/>
            <w:noWrap/>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Vrsta goriva</w:t>
            </w:r>
          </w:p>
        </w:tc>
        <w:tc>
          <w:tcPr>
            <w:tcW w:w="2977" w:type="dxa"/>
            <w:vMerge w:val="restart"/>
            <w:tcBorders>
              <w:left w:val="single" w:sz="6" w:space="0" w:color="FFFFFF"/>
              <w:bottom w:val="single" w:sz="6" w:space="0" w:color="FFFFFF"/>
              <w:right w:val="single" w:sz="6" w:space="0" w:color="FFFFFF"/>
            </w:tcBorders>
            <w:shd w:val="clear" w:color="auto" w:fill="4BACC6"/>
            <w:noWrap/>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Gustoća</w:t>
            </w:r>
            <w:r w:rsidRPr="000063FC">
              <w:rPr>
                <w:rStyle w:val="FootnoteReference"/>
                <w:rFonts w:cs="Arial"/>
                <w:b/>
                <w:color w:val="FFFFFF"/>
                <w:sz w:val="20"/>
                <w:lang w:eastAsia="hr-HR"/>
              </w:rPr>
              <w:footnoteReference w:id="12"/>
            </w:r>
            <w:r w:rsidRPr="000063FC">
              <w:rPr>
                <w:rFonts w:cs="Arial"/>
                <w:b/>
                <w:color w:val="FFFFFF"/>
                <w:sz w:val="20"/>
                <w:lang w:eastAsia="hr-HR"/>
              </w:rPr>
              <w:t>, kg/m</w:t>
            </w:r>
            <w:r w:rsidRPr="000063FC">
              <w:rPr>
                <w:rFonts w:cs="Arial"/>
                <w:b/>
                <w:color w:val="FFFFFF"/>
                <w:sz w:val="20"/>
                <w:vertAlign w:val="superscript"/>
                <w:lang w:eastAsia="hr-HR"/>
              </w:rPr>
              <w:t>3</w:t>
            </w:r>
          </w:p>
        </w:tc>
        <w:tc>
          <w:tcPr>
            <w:tcW w:w="3260" w:type="dxa"/>
            <w:vMerge w:val="restart"/>
            <w:tcBorders>
              <w:left w:val="single" w:sz="6" w:space="0" w:color="FFFFFF"/>
              <w:bottom w:val="single" w:sz="6" w:space="0" w:color="FFFFFF"/>
              <w:right w:val="single" w:sz="4" w:space="0" w:color="4BACC6"/>
            </w:tcBorders>
            <w:shd w:val="clear" w:color="auto" w:fill="4BACC6"/>
            <w:vAlign w:val="center"/>
          </w:tcPr>
          <w:p w:rsidR="00B23695" w:rsidRPr="000063FC" w:rsidRDefault="004034ED">
            <w:pPr>
              <w:spacing w:line="276" w:lineRule="auto"/>
              <w:jc w:val="center"/>
              <w:rPr>
                <w:rFonts w:cs="Arial"/>
                <w:b/>
                <w:color w:val="FFFFFF"/>
                <w:sz w:val="20"/>
                <w:lang w:eastAsia="hr-HR"/>
              </w:rPr>
            </w:pPr>
            <w:r w:rsidRPr="000063FC">
              <w:rPr>
                <w:rFonts w:cs="Arial"/>
                <w:b/>
                <w:color w:val="FFFFFF"/>
                <w:sz w:val="20"/>
                <w:lang w:eastAsia="hr-HR"/>
              </w:rPr>
              <w:t>Ogrjevna vrijednost, MJ/m</w:t>
            </w:r>
            <w:r w:rsidRPr="000063FC">
              <w:rPr>
                <w:rFonts w:cs="Arial"/>
                <w:b/>
                <w:color w:val="FFFFFF"/>
                <w:sz w:val="20"/>
                <w:vertAlign w:val="superscript"/>
                <w:lang w:eastAsia="hr-HR"/>
              </w:rPr>
              <w:t xml:space="preserve">3 </w:t>
            </w:r>
            <w:r w:rsidRPr="000063FC">
              <w:rPr>
                <w:rFonts w:cs="Arial"/>
                <w:b/>
                <w:color w:val="FFFFFF"/>
                <w:sz w:val="20"/>
                <w:lang w:eastAsia="hr-HR"/>
              </w:rPr>
              <w:t>(kg)</w:t>
            </w:r>
          </w:p>
        </w:tc>
      </w:tr>
      <w:tr w:rsidR="004034ED" w:rsidRPr="000063FC" w:rsidTr="00FA4B2E">
        <w:trPr>
          <w:trHeight w:val="281"/>
        </w:trPr>
        <w:tc>
          <w:tcPr>
            <w:tcW w:w="2989" w:type="dxa"/>
            <w:vMerge/>
            <w:tcBorders>
              <w:top w:val="single" w:sz="6" w:space="0" w:color="FFFFFF"/>
              <w:right w:val="single" w:sz="6" w:space="0" w:color="FFFFFF"/>
            </w:tcBorders>
            <w:shd w:val="clear" w:color="auto" w:fill="4BACC6"/>
            <w:vAlign w:val="center"/>
          </w:tcPr>
          <w:p w:rsidR="00B23695" w:rsidRPr="000063FC" w:rsidRDefault="00B23695">
            <w:pPr>
              <w:spacing w:line="276" w:lineRule="auto"/>
              <w:jc w:val="center"/>
              <w:rPr>
                <w:rFonts w:cs="Arial"/>
                <w:b/>
                <w:color w:val="FFFFFF"/>
                <w:sz w:val="20"/>
                <w:lang w:eastAsia="hr-HR"/>
              </w:rPr>
            </w:pPr>
          </w:p>
        </w:tc>
        <w:tc>
          <w:tcPr>
            <w:tcW w:w="2977" w:type="dxa"/>
            <w:vMerge/>
            <w:tcBorders>
              <w:top w:val="single" w:sz="6" w:space="0" w:color="FFFFFF"/>
              <w:left w:val="single" w:sz="6" w:space="0" w:color="FFFFFF"/>
              <w:right w:val="single" w:sz="6" w:space="0" w:color="FFFFFF"/>
            </w:tcBorders>
            <w:shd w:val="clear" w:color="auto" w:fill="4BACC6"/>
            <w:vAlign w:val="center"/>
          </w:tcPr>
          <w:p w:rsidR="00B23695" w:rsidRPr="000063FC" w:rsidRDefault="00B23695">
            <w:pPr>
              <w:spacing w:line="276" w:lineRule="auto"/>
              <w:jc w:val="center"/>
              <w:rPr>
                <w:rFonts w:cs="Arial"/>
                <w:b/>
                <w:color w:val="FFFFFF"/>
                <w:sz w:val="20"/>
                <w:lang w:eastAsia="hr-HR"/>
              </w:rPr>
            </w:pPr>
          </w:p>
        </w:tc>
        <w:tc>
          <w:tcPr>
            <w:tcW w:w="3260" w:type="dxa"/>
            <w:vMerge/>
            <w:tcBorders>
              <w:top w:val="single" w:sz="6" w:space="0" w:color="FFFFFF"/>
              <w:left w:val="single" w:sz="6" w:space="0" w:color="FFFFFF"/>
              <w:right w:val="single" w:sz="4" w:space="0" w:color="4BACC6"/>
            </w:tcBorders>
            <w:shd w:val="clear" w:color="auto" w:fill="4BACC6"/>
            <w:vAlign w:val="center"/>
          </w:tcPr>
          <w:p w:rsidR="00B23695" w:rsidRPr="000063FC" w:rsidRDefault="00B23695">
            <w:pPr>
              <w:spacing w:line="276" w:lineRule="auto"/>
              <w:jc w:val="center"/>
              <w:rPr>
                <w:rFonts w:cs="Arial"/>
                <w:b/>
                <w:color w:val="FFFFFF"/>
                <w:sz w:val="20"/>
                <w:lang w:eastAsia="hr-HR"/>
              </w:rPr>
            </w:pPr>
          </w:p>
        </w:tc>
      </w:tr>
      <w:tr w:rsidR="004034ED" w:rsidRPr="000063FC" w:rsidTr="00FA4B2E">
        <w:trPr>
          <w:trHeight w:val="227"/>
        </w:trPr>
        <w:tc>
          <w:tcPr>
            <w:tcW w:w="2989" w:type="dxa"/>
            <w:noWrap/>
            <w:vAlign w:val="bottom"/>
          </w:tcPr>
          <w:p w:rsidR="00B23695" w:rsidRPr="000063FC" w:rsidRDefault="004034ED">
            <w:pPr>
              <w:spacing w:line="276" w:lineRule="auto"/>
              <w:rPr>
                <w:rFonts w:cs="Arial"/>
                <w:sz w:val="20"/>
                <w:lang w:eastAsia="hr-HR"/>
              </w:rPr>
            </w:pPr>
            <w:r w:rsidRPr="000063FC">
              <w:rPr>
                <w:rFonts w:cs="Arial"/>
                <w:sz w:val="20"/>
                <w:lang w:eastAsia="hr-HR"/>
              </w:rPr>
              <w:t>Prirodni plin</w:t>
            </w:r>
          </w:p>
        </w:tc>
        <w:tc>
          <w:tcPr>
            <w:tcW w:w="2977" w:type="dxa"/>
            <w:noWrap/>
            <w:vAlign w:val="center"/>
          </w:tcPr>
          <w:p w:rsidR="00B23695" w:rsidRPr="000063FC" w:rsidRDefault="004034ED">
            <w:pPr>
              <w:spacing w:line="276" w:lineRule="auto"/>
              <w:jc w:val="center"/>
              <w:rPr>
                <w:rFonts w:cs="Arial"/>
                <w:sz w:val="20"/>
                <w:lang w:eastAsia="hr-HR"/>
              </w:rPr>
            </w:pPr>
            <w:r w:rsidRPr="000063FC">
              <w:rPr>
                <w:rFonts w:cs="Arial"/>
                <w:sz w:val="20"/>
                <w:lang w:eastAsia="hr-HR"/>
              </w:rPr>
              <w:t xml:space="preserve">0,700 </w:t>
            </w:r>
          </w:p>
        </w:tc>
        <w:tc>
          <w:tcPr>
            <w:tcW w:w="3260" w:type="dxa"/>
            <w:noWrap/>
            <w:vAlign w:val="center"/>
          </w:tcPr>
          <w:p w:rsidR="00B23695" w:rsidRPr="000063FC" w:rsidRDefault="004034ED">
            <w:pPr>
              <w:spacing w:line="276" w:lineRule="auto"/>
              <w:jc w:val="center"/>
              <w:rPr>
                <w:rFonts w:cs="Arial"/>
                <w:sz w:val="20"/>
                <w:lang w:eastAsia="hr-HR"/>
              </w:rPr>
            </w:pPr>
            <w:r w:rsidRPr="000063FC">
              <w:rPr>
                <w:rFonts w:cs="Arial"/>
                <w:sz w:val="20"/>
                <w:lang w:eastAsia="hr-HR"/>
              </w:rPr>
              <w:t>34,0</w:t>
            </w:r>
          </w:p>
        </w:tc>
      </w:tr>
      <w:tr w:rsidR="004034ED" w:rsidRPr="000063FC" w:rsidTr="00FA4B2E">
        <w:trPr>
          <w:trHeight w:val="227"/>
        </w:trPr>
        <w:tc>
          <w:tcPr>
            <w:tcW w:w="2989" w:type="dxa"/>
            <w:noWrap/>
            <w:vAlign w:val="bottom"/>
          </w:tcPr>
          <w:p w:rsidR="00B23695" w:rsidRPr="000063FC" w:rsidRDefault="004034ED">
            <w:pPr>
              <w:spacing w:line="276" w:lineRule="auto"/>
              <w:rPr>
                <w:rFonts w:cs="Arial"/>
                <w:sz w:val="20"/>
                <w:lang w:eastAsia="hr-HR"/>
              </w:rPr>
            </w:pPr>
            <w:r w:rsidRPr="000063FC">
              <w:rPr>
                <w:rFonts w:cs="Arial"/>
                <w:sz w:val="20"/>
                <w:lang w:eastAsia="hr-HR"/>
              </w:rPr>
              <w:t>Loživo ulje</w:t>
            </w:r>
          </w:p>
        </w:tc>
        <w:tc>
          <w:tcPr>
            <w:tcW w:w="2977" w:type="dxa"/>
            <w:noWrap/>
            <w:vAlign w:val="center"/>
          </w:tcPr>
          <w:p w:rsidR="00B23695" w:rsidRPr="000063FC" w:rsidRDefault="004034ED">
            <w:pPr>
              <w:spacing w:line="276" w:lineRule="auto"/>
              <w:jc w:val="center"/>
              <w:rPr>
                <w:rFonts w:cs="Arial"/>
                <w:sz w:val="20"/>
                <w:lang w:eastAsia="hr-HR"/>
              </w:rPr>
            </w:pPr>
            <w:r w:rsidRPr="000063FC">
              <w:rPr>
                <w:rFonts w:cs="Arial"/>
                <w:sz w:val="20"/>
                <w:lang w:eastAsia="hr-HR"/>
              </w:rPr>
              <w:t>860</w:t>
            </w:r>
          </w:p>
        </w:tc>
        <w:tc>
          <w:tcPr>
            <w:tcW w:w="3260" w:type="dxa"/>
            <w:noWrap/>
            <w:vAlign w:val="center"/>
          </w:tcPr>
          <w:p w:rsidR="00B23695" w:rsidRPr="000063FC" w:rsidRDefault="00FF6C71">
            <w:pPr>
              <w:spacing w:line="276" w:lineRule="auto"/>
              <w:jc w:val="center"/>
              <w:rPr>
                <w:rFonts w:cs="Arial"/>
                <w:sz w:val="20"/>
                <w:lang w:eastAsia="hr-HR"/>
              </w:rPr>
            </w:pPr>
            <w:r w:rsidRPr="000063FC">
              <w:rPr>
                <w:rFonts w:cs="Arial"/>
                <w:sz w:val="20"/>
                <w:lang w:eastAsia="hr-HR"/>
              </w:rPr>
              <w:t>42</w:t>
            </w:r>
            <w:r w:rsidR="004034ED" w:rsidRPr="000063FC">
              <w:rPr>
                <w:rFonts w:cs="Arial"/>
                <w:sz w:val="20"/>
                <w:lang w:eastAsia="hr-HR"/>
              </w:rPr>
              <w:t>,</w:t>
            </w:r>
            <w:r w:rsidRPr="000063FC">
              <w:rPr>
                <w:rFonts w:cs="Arial"/>
                <w:sz w:val="20"/>
                <w:lang w:eastAsia="hr-HR"/>
              </w:rPr>
              <w:t>71</w:t>
            </w:r>
          </w:p>
        </w:tc>
      </w:tr>
    </w:tbl>
    <w:p w:rsidR="0079143D" w:rsidRPr="000063FC" w:rsidRDefault="0079143D" w:rsidP="0079143D">
      <w:pPr>
        <w:spacing w:line="240" w:lineRule="auto"/>
      </w:pPr>
    </w:p>
    <w:p w:rsidR="0079143D" w:rsidRPr="000063FC" w:rsidRDefault="00D11AD4" w:rsidP="0079143D">
      <w:pPr>
        <w:pStyle w:val="NoSpacing"/>
        <w:jc w:val="both"/>
      </w:pPr>
      <w:r w:rsidRPr="000063FC">
        <w:t>Tablica 2.12</w:t>
      </w:r>
      <w:r w:rsidR="0079143D" w:rsidRPr="000063FC">
        <w:t xml:space="preserve"> i slika 2.2 daju detaljan prikaz emisija CO</w:t>
      </w:r>
      <w:r w:rsidR="0079143D" w:rsidRPr="000063FC">
        <w:rPr>
          <w:vertAlign w:val="subscript"/>
        </w:rPr>
        <w:t>2</w:t>
      </w:r>
      <w:r w:rsidR="0079143D" w:rsidRPr="000063FC">
        <w:t xml:space="preserve"> po podsektorima sektora zgradarstva Grada Zagreba.</w:t>
      </w:r>
    </w:p>
    <w:p w:rsidR="00C1761D" w:rsidRPr="000063FC" w:rsidRDefault="00C1761D">
      <w:pPr>
        <w:tabs>
          <w:tab w:val="clear" w:pos="720"/>
          <w:tab w:val="clear" w:pos="6912"/>
        </w:tabs>
        <w:spacing w:line="240" w:lineRule="auto"/>
        <w:jc w:val="left"/>
        <w:rPr>
          <w:rFonts w:cs="Arial"/>
          <w:szCs w:val="22"/>
        </w:rPr>
      </w:pPr>
    </w:p>
    <w:p w:rsidR="00BC341E" w:rsidRDefault="004034ED" w:rsidP="00B33E2F">
      <w:pPr>
        <w:pStyle w:val="Heading6"/>
      </w:pPr>
      <w:bookmarkStart w:id="107" w:name="_Toc254010241"/>
      <w:r w:rsidRPr="000063FC">
        <w:t xml:space="preserve">Tablica </w:t>
      </w:r>
      <w:r w:rsidR="00D11AD4" w:rsidRPr="000063FC">
        <w:t>2.12</w:t>
      </w:r>
      <w:r w:rsidRPr="000063FC">
        <w:t xml:space="preserve">: </w:t>
      </w:r>
      <w:r w:rsidR="00067A83" w:rsidRPr="000063FC">
        <w:t>Detaljan prikaz e</w:t>
      </w:r>
      <w:r w:rsidRPr="000063FC">
        <w:t>misij</w:t>
      </w:r>
      <w:r w:rsidR="00067A83" w:rsidRPr="000063FC">
        <w:t>a</w:t>
      </w:r>
      <w:r w:rsidRPr="000063FC">
        <w:t xml:space="preserve"> CO</w:t>
      </w:r>
      <w:r w:rsidR="0079143D" w:rsidRPr="000063FC">
        <w:rPr>
          <w:vertAlign w:val="subscript"/>
        </w:rPr>
        <w:t>2</w:t>
      </w:r>
      <w:r w:rsidRPr="000063FC">
        <w:t xml:space="preserve"> </w:t>
      </w:r>
      <w:r w:rsidR="00067A83" w:rsidRPr="000063FC">
        <w:t xml:space="preserve">iz </w:t>
      </w:r>
      <w:r w:rsidRPr="000063FC">
        <w:t>sektora zgradarstv</w:t>
      </w:r>
      <w:r w:rsidR="00067A83" w:rsidRPr="000063FC">
        <w:t>a</w:t>
      </w:r>
      <w:r w:rsidR="0079143D" w:rsidRPr="000063FC">
        <w:t xml:space="preserve"> Grada Zagreba</w:t>
      </w:r>
      <w:bookmarkEnd w:id="107"/>
    </w:p>
    <w:tbl>
      <w:tblPr>
        <w:tblW w:w="9226" w:type="dxa"/>
        <w:tblInd w:w="96" w:type="dxa"/>
        <w:tblLook w:val="00A0" w:firstRow="1" w:lastRow="0" w:firstColumn="1" w:lastColumn="0" w:noHBand="0" w:noVBand="0"/>
      </w:tblPr>
      <w:tblGrid>
        <w:gridCol w:w="1572"/>
        <w:gridCol w:w="1134"/>
        <w:gridCol w:w="1134"/>
        <w:gridCol w:w="1134"/>
        <w:gridCol w:w="1031"/>
        <w:gridCol w:w="1000"/>
        <w:gridCol w:w="1028"/>
        <w:gridCol w:w="1276"/>
      </w:tblGrid>
      <w:tr w:rsidR="00E91269" w:rsidRPr="00E91269" w:rsidTr="00E91269">
        <w:trPr>
          <w:trHeight w:val="328"/>
        </w:trPr>
        <w:tc>
          <w:tcPr>
            <w:tcW w:w="1572" w:type="dxa"/>
            <w:vMerge w:val="restart"/>
            <w:tcBorders>
              <w:top w:val="single" w:sz="4" w:space="0" w:color="4BACC6"/>
              <w:left w:val="single" w:sz="4" w:space="0" w:color="4BACC6"/>
              <w:bottom w:val="single" w:sz="4" w:space="0" w:color="4BACC6"/>
              <w:right w:val="single" w:sz="4" w:space="0" w:color="FFFFFF"/>
            </w:tcBorders>
            <w:shd w:val="clear" w:color="000000" w:fill="4BACC6"/>
            <w:noWrap/>
            <w:vAlign w:val="center"/>
          </w:tcPr>
          <w:p w:rsidR="00E91269" w:rsidRPr="00E91269" w:rsidRDefault="00E91269" w:rsidP="00E91269">
            <w:pPr>
              <w:spacing w:line="240" w:lineRule="auto"/>
              <w:jc w:val="center"/>
              <w:rPr>
                <w:rFonts w:asciiTheme="minorHAnsi" w:hAnsiTheme="minorHAnsi" w:cs="Arial"/>
                <w:b/>
                <w:bCs/>
                <w:color w:val="FFFFFF"/>
                <w:sz w:val="20"/>
                <w:lang w:eastAsia="hr-HR"/>
              </w:rPr>
            </w:pPr>
            <w:r w:rsidRPr="00E91269">
              <w:rPr>
                <w:rFonts w:asciiTheme="minorHAnsi" w:hAnsiTheme="minorHAnsi" w:cs="Arial"/>
                <w:b/>
                <w:bCs/>
                <w:color w:val="FFFFFF"/>
                <w:sz w:val="20"/>
                <w:lang w:eastAsia="hr-HR"/>
              </w:rPr>
              <w:t>KATEGORIJA</w:t>
            </w:r>
          </w:p>
        </w:tc>
        <w:tc>
          <w:tcPr>
            <w:tcW w:w="7654" w:type="dxa"/>
            <w:gridSpan w:val="7"/>
            <w:tcBorders>
              <w:top w:val="single" w:sz="4" w:space="0" w:color="4BACC6"/>
              <w:left w:val="nil"/>
              <w:bottom w:val="single" w:sz="4" w:space="0" w:color="FFFFFF"/>
              <w:right w:val="single" w:sz="4" w:space="0" w:color="4BACC6"/>
            </w:tcBorders>
            <w:shd w:val="clear" w:color="000000" w:fill="4BACC6"/>
            <w:noWrap/>
            <w:vAlign w:val="center"/>
          </w:tcPr>
          <w:p w:rsidR="00E91269" w:rsidRPr="00E91269" w:rsidRDefault="00E91269" w:rsidP="00E91269">
            <w:pPr>
              <w:spacing w:line="240" w:lineRule="auto"/>
              <w:jc w:val="center"/>
              <w:rPr>
                <w:rFonts w:asciiTheme="minorHAnsi" w:hAnsiTheme="minorHAnsi" w:cs="Arial"/>
                <w:b/>
                <w:bCs/>
                <w:color w:val="FFFFFF"/>
                <w:sz w:val="20"/>
                <w:lang w:eastAsia="hr-HR"/>
              </w:rPr>
            </w:pPr>
            <w:r w:rsidRPr="00E91269">
              <w:rPr>
                <w:rFonts w:asciiTheme="minorHAnsi" w:hAnsiTheme="minorHAnsi" w:cs="Arial"/>
                <w:b/>
                <w:bCs/>
                <w:color w:val="FFFFFF"/>
                <w:sz w:val="20"/>
                <w:lang w:eastAsia="hr-HR"/>
              </w:rPr>
              <w:t>Emisija, t CO</w:t>
            </w:r>
            <w:r w:rsidRPr="00E91269">
              <w:rPr>
                <w:rFonts w:asciiTheme="minorHAnsi" w:hAnsiTheme="minorHAnsi" w:cs="Arial"/>
                <w:b/>
                <w:bCs/>
                <w:color w:val="FFFFFF"/>
                <w:sz w:val="20"/>
                <w:vertAlign w:val="subscript"/>
                <w:lang w:eastAsia="hr-HR"/>
              </w:rPr>
              <w:t>2</w:t>
            </w:r>
          </w:p>
        </w:tc>
      </w:tr>
      <w:tr w:rsidR="00E91269" w:rsidRPr="00E91269" w:rsidTr="00E91269">
        <w:trPr>
          <w:trHeight w:val="670"/>
        </w:trPr>
        <w:tc>
          <w:tcPr>
            <w:tcW w:w="1572" w:type="dxa"/>
            <w:vMerge/>
            <w:tcBorders>
              <w:top w:val="single" w:sz="4" w:space="0" w:color="4BACC6"/>
              <w:left w:val="single" w:sz="4" w:space="0" w:color="4BACC6"/>
              <w:bottom w:val="single" w:sz="4" w:space="0" w:color="4BACC6"/>
              <w:right w:val="single" w:sz="4" w:space="0" w:color="FFFFFF"/>
            </w:tcBorders>
            <w:vAlign w:val="center"/>
          </w:tcPr>
          <w:p w:rsidR="00E91269" w:rsidRPr="00E91269" w:rsidRDefault="00E91269" w:rsidP="00E91269">
            <w:pPr>
              <w:spacing w:line="240" w:lineRule="auto"/>
              <w:jc w:val="center"/>
              <w:rPr>
                <w:rFonts w:asciiTheme="minorHAnsi" w:hAnsiTheme="minorHAnsi" w:cs="Arial"/>
                <w:b/>
                <w:bCs/>
                <w:color w:val="FFFFFF"/>
                <w:sz w:val="20"/>
                <w:lang w:eastAsia="hr-HR"/>
              </w:rPr>
            </w:pPr>
          </w:p>
        </w:tc>
        <w:tc>
          <w:tcPr>
            <w:tcW w:w="1134" w:type="dxa"/>
            <w:tcBorders>
              <w:top w:val="nil"/>
              <w:left w:val="nil"/>
              <w:bottom w:val="single" w:sz="4" w:space="0" w:color="4BACC6"/>
              <w:right w:val="single" w:sz="4" w:space="0" w:color="FFFFFF"/>
            </w:tcBorders>
            <w:shd w:val="clear" w:color="000000" w:fill="4BACC6"/>
            <w:vAlign w:val="center"/>
          </w:tcPr>
          <w:p w:rsidR="00E91269" w:rsidRPr="00E91269" w:rsidRDefault="00E91269" w:rsidP="00E91269">
            <w:pPr>
              <w:spacing w:line="240" w:lineRule="auto"/>
              <w:jc w:val="center"/>
              <w:rPr>
                <w:rFonts w:asciiTheme="minorHAnsi" w:hAnsiTheme="minorHAnsi" w:cs="Arial"/>
                <w:bCs/>
                <w:color w:val="FFFFFF"/>
                <w:sz w:val="20"/>
                <w:lang w:eastAsia="hr-HR"/>
              </w:rPr>
            </w:pPr>
            <w:r w:rsidRPr="00E91269">
              <w:rPr>
                <w:rFonts w:asciiTheme="minorHAnsi" w:hAnsiTheme="minorHAnsi" w:cs="Arial"/>
                <w:bCs/>
                <w:color w:val="FFFFFF"/>
                <w:sz w:val="20"/>
                <w:lang w:eastAsia="hr-HR"/>
              </w:rPr>
              <w:t>iz potrošnje el. en.</w:t>
            </w:r>
          </w:p>
        </w:tc>
        <w:tc>
          <w:tcPr>
            <w:tcW w:w="1134" w:type="dxa"/>
            <w:tcBorders>
              <w:top w:val="nil"/>
              <w:left w:val="nil"/>
              <w:bottom w:val="single" w:sz="4" w:space="0" w:color="4BACC6"/>
              <w:right w:val="single" w:sz="4" w:space="0" w:color="FFFFFF"/>
            </w:tcBorders>
            <w:shd w:val="clear" w:color="000000" w:fill="4BACC6"/>
            <w:vAlign w:val="center"/>
          </w:tcPr>
          <w:p w:rsidR="00E91269" w:rsidRPr="00E91269" w:rsidRDefault="00E91269" w:rsidP="00E91269">
            <w:pPr>
              <w:spacing w:line="240" w:lineRule="auto"/>
              <w:jc w:val="center"/>
              <w:rPr>
                <w:rFonts w:asciiTheme="minorHAnsi" w:hAnsiTheme="minorHAnsi" w:cs="Arial"/>
                <w:bCs/>
                <w:color w:val="FFFFFF"/>
                <w:sz w:val="20"/>
                <w:lang w:eastAsia="hr-HR"/>
              </w:rPr>
            </w:pPr>
            <w:r w:rsidRPr="00E91269">
              <w:rPr>
                <w:rFonts w:asciiTheme="minorHAnsi" w:hAnsiTheme="minorHAnsi" w:cs="Arial"/>
                <w:bCs/>
                <w:color w:val="FFFFFF"/>
                <w:sz w:val="20"/>
                <w:lang w:eastAsia="hr-HR"/>
              </w:rPr>
              <w:t>iz potrošnje topline</w:t>
            </w:r>
          </w:p>
        </w:tc>
        <w:tc>
          <w:tcPr>
            <w:tcW w:w="1134" w:type="dxa"/>
            <w:tcBorders>
              <w:top w:val="nil"/>
              <w:left w:val="nil"/>
              <w:bottom w:val="single" w:sz="4" w:space="0" w:color="4BACC6"/>
              <w:right w:val="single" w:sz="4" w:space="0" w:color="FFFFFF"/>
            </w:tcBorders>
            <w:shd w:val="clear" w:color="000000" w:fill="4BACC6"/>
            <w:vAlign w:val="center"/>
          </w:tcPr>
          <w:p w:rsidR="00E91269" w:rsidRPr="00E91269" w:rsidRDefault="00E91269" w:rsidP="00E91269">
            <w:pPr>
              <w:spacing w:line="240" w:lineRule="auto"/>
              <w:jc w:val="center"/>
              <w:rPr>
                <w:rFonts w:asciiTheme="minorHAnsi" w:hAnsiTheme="minorHAnsi" w:cs="Arial"/>
                <w:bCs/>
                <w:color w:val="FFFFFF"/>
                <w:sz w:val="20"/>
                <w:lang w:eastAsia="hr-HR"/>
              </w:rPr>
            </w:pPr>
            <w:r w:rsidRPr="00E91269">
              <w:rPr>
                <w:rFonts w:asciiTheme="minorHAnsi" w:hAnsiTheme="minorHAnsi" w:cs="Arial"/>
                <w:bCs/>
                <w:color w:val="FFFFFF"/>
                <w:sz w:val="20"/>
                <w:lang w:eastAsia="hr-HR"/>
              </w:rPr>
              <w:t>iz potrošnje prirodnog plina</w:t>
            </w:r>
          </w:p>
        </w:tc>
        <w:tc>
          <w:tcPr>
            <w:tcW w:w="992" w:type="dxa"/>
            <w:tcBorders>
              <w:top w:val="nil"/>
              <w:left w:val="nil"/>
              <w:bottom w:val="single" w:sz="4" w:space="0" w:color="4BACC6"/>
              <w:right w:val="single" w:sz="4" w:space="0" w:color="FFFFFF"/>
            </w:tcBorders>
            <w:shd w:val="clear" w:color="000000" w:fill="4BACC6"/>
            <w:vAlign w:val="center"/>
          </w:tcPr>
          <w:p w:rsidR="00E91269" w:rsidRPr="00E91269" w:rsidRDefault="00E91269" w:rsidP="00E91269">
            <w:pPr>
              <w:spacing w:line="240" w:lineRule="auto"/>
              <w:jc w:val="center"/>
              <w:rPr>
                <w:rFonts w:asciiTheme="minorHAnsi" w:hAnsiTheme="minorHAnsi" w:cs="Arial"/>
                <w:bCs/>
                <w:color w:val="FFFFFF"/>
                <w:sz w:val="20"/>
                <w:lang w:eastAsia="hr-HR"/>
              </w:rPr>
            </w:pPr>
            <w:r w:rsidRPr="00E91269">
              <w:rPr>
                <w:rFonts w:asciiTheme="minorHAnsi" w:hAnsiTheme="minorHAnsi" w:cs="Arial"/>
                <w:bCs/>
                <w:color w:val="FFFFFF"/>
                <w:sz w:val="20"/>
                <w:lang w:eastAsia="hr-HR"/>
              </w:rPr>
              <w:t>iz potrošnje lož ulja</w:t>
            </w:r>
          </w:p>
        </w:tc>
        <w:tc>
          <w:tcPr>
            <w:tcW w:w="992" w:type="dxa"/>
            <w:tcBorders>
              <w:top w:val="nil"/>
              <w:left w:val="single" w:sz="4" w:space="0" w:color="FFFFFF"/>
              <w:bottom w:val="single" w:sz="4" w:space="0" w:color="4BACC6"/>
              <w:right w:val="single" w:sz="4" w:space="0" w:color="FFFFFF"/>
            </w:tcBorders>
            <w:shd w:val="clear" w:color="000000" w:fill="4BACC6"/>
            <w:vAlign w:val="center"/>
          </w:tcPr>
          <w:p w:rsidR="00E91269" w:rsidRPr="00E91269" w:rsidRDefault="00E91269" w:rsidP="00E91269">
            <w:pPr>
              <w:spacing w:line="240" w:lineRule="auto"/>
              <w:jc w:val="center"/>
              <w:rPr>
                <w:rFonts w:asciiTheme="minorHAnsi" w:hAnsiTheme="minorHAnsi" w:cs="Arial"/>
                <w:bCs/>
                <w:color w:val="FFFFFF"/>
                <w:sz w:val="20"/>
                <w:lang w:eastAsia="hr-HR"/>
              </w:rPr>
            </w:pPr>
            <w:r w:rsidRPr="00E91269">
              <w:rPr>
                <w:rFonts w:asciiTheme="minorHAnsi" w:hAnsiTheme="minorHAnsi" w:cs="Arial"/>
                <w:bCs/>
                <w:color w:val="FFFFFF"/>
                <w:sz w:val="20"/>
                <w:lang w:eastAsia="hr-HR"/>
              </w:rPr>
              <w:t>Iz potrošnje LPG-a</w:t>
            </w:r>
          </w:p>
        </w:tc>
        <w:tc>
          <w:tcPr>
            <w:tcW w:w="992" w:type="dxa"/>
            <w:tcBorders>
              <w:top w:val="nil"/>
              <w:left w:val="nil"/>
              <w:bottom w:val="single" w:sz="4" w:space="0" w:color="4BACC6"/>
              <w:right w:val="single" w:sz="4" w:space="0" w:color="FFFFFF"/>
            </w:tcBorders>
            <w:shd w:val="clear" w:color="000000" w:fill="4BACC6"/>
            <w:vAlign w:val="center"/>
          </w:tcPr>
          <w:p w:rsidR="00E91269" w:rsidRPr="00E91269" w:rsidRDefault="00E91269" w:rsidP="00E91269">
            <w:pPr>
              <w:spacing w:line="240" w:lineRule="auto"/>
              <w:jc w:val="center"/>
              <w:rPr>
                <w:rFonts w:asciiTheme="minorHAnsi" w:hAnsiTheme="minorHAnsi" w:cs="Arial"/>
                <w:bCs/>
                <w:color w:val="FFFFFF"/>
                <w:sz w:val="20"/>
                <w:lang w:eastAsia="hr-HR"/>
              </w:rPr>
            </w:pPr>
            <w:r w:rsidRPr="00E91269">
              <w:rPr>
                <w:rFonts w:asciiTheme="minorHAnsi" w:hAnsiTheme="minorHAnsi" w:cs="Arial"/>
                <w:bCs/>
                <w:color w:val="FFFFFF"/>
                <w:sz w:val="20"/>
                <w:lang w:eastAsia="hr-HR"/>
              </w:rPr>
              <w:t>iz potrošnje ogrjevnog drva</w:t>
            </w:r>
          </w:p>
        </w:tc>
        <w:tc>
          <w:tcPr>
            <w:tcW w:w="1276" w:type="dxa"/>
            <w:tcBorders>
              <w:top w:val="nil"/>
              <w:left w:val="nil"/>
              <w:bottom w:val="single" w:sz="4" w:space="0" w:color="4BACC6"/>
              <w:right w:val="single" w:sz="4" w:space="0" w:color="4BACC6"/>
            </w:tcBorders>
            <w:shd w:val="clear" w:color="000000" w:fill="4BACC6"/>
            <w:vAlign w:val="center"/>
          </w:tcPr>
          <w:p w:rsidR="00E91269" w:rsidRPr="00E91269" w:rsidRDefault="00E91269" w:rsidP="00E91269">
            <w:pPr>
              <w:spacing w:line="240" w:lineRule="auto"/>
              <w:jc w:val="center"/>
              <w:rPr>
                <w:rFonts w:asciiTheme="minorHAnsi" w:hAnsiTheme="minorHAnsi" w:cs="Arial"/>
                <w:bCs/>
                <w:color w:val="FFFFFF"/>
                <w:sz w:val="20"/>
                <w:lang w:eastAsia="hr-HR"/>
              </w:rPr>
            </w:pPr>
            <w:r w:rsidRPr="00E91269">
              <w:rPr>
                <w:rFonts w:asciiTheme="minorHAnsi" w:hAnsiTheme="minorHAnsi" w:cs="Arial"/>
                <w:bCs/>
                <w:color w:val="FFFFFF"/>
                <w:sz w:val="20"/>
                <w:lang w:eastAsia="hr-HR"/>
              </w:rPr>
              <w:t>iz svih izvora</w:t>
            </w:r>
          </w:p>
        </w:tc>
      </w:tr>
      <w:tr w:rsidR="00E91269" w:rsidRPr="00E91269" w:rsidTr="00E91269">
        <w:trPr>
          <w:trHeight w:val="340"/>
        </w:trPr>
        <w:tc>
          <w:tcPr>
            <w:tcW w:w="7950" w:type="dxa"/>
            <w:gridSpan w:val="7"/>
            <w:tcBorders>
              <w:top w:val="single" w:sz="4" w:space="0" w:color="4BACC6"/>
              <w:left w:val="single" w:sz="4" w:space="0" w:color="4BACC6"/>
              <w:bottom w:val="single" w:sz="4" w:space="0" w:color="4BACC6"/>
              <w:right w:val="single" w:sz="4" w:space="0" w:color="4BACC6"/>
            </w:tcBorders>
            <w:shd w:val="clear" w:color="000000" w:fill="DBEEF3"/>
            <w:noWrap/>
            <w:vAlign w:val="center"/>
          </w:tcPr>
          <w:p w:rsidR="00E91269" w:rsidRPr="00E91269" w:rsidRDefault="00E91269" w:rsidP="00E91269">
            <w:pPr>
              <w:spacing w:line="240" w:lineRule="auto"/>
              <w:rPr>
                <w:rFonts w:asciiTheme="minorHAnsi" w:hAnsiTheme="minorHAnsi" w:cs="Arial"/>
                <w:b/>
                <w:bCs/>
                <w:color w:val="000000"/>
                <w:sz w:val="20"/>
                <w:lang w:eastAsia="hr-HR"/>
              </w:rPr>
            </w:pPr>
            <w:r w:rsidRPr="00E91269">
              <w:rPr>
                <w:rFonts w:asciiTheme="minorHAnsi" w:hAnsiTheme="minorHAnsi" w:cs="Arial"/>
                <w:b/>
                <w:bCs/>
                <w:color w:val="000000"/>
                <w:sz w:val="20"/>
                <w:lang w:eastAsia="hr-HR"/>
              </w:rPr>
              <w:t>STAMBENE I JAVNE ZGRADE U VLASNIŠTVU GRADA</w:t>
            </w:r>
          </w:p>
        </w:tc>
        <w:tc>
          <w:tcPr>
            <w:tcW w:w="1276" w:type="dxa"/>
            <w:tcBorders>
              <w:top w:val="nil"/>
              <w:left w:val="nil"/>
              <w:bottom w:val="single" w:sz="4" w:space="0" w:color="4BACC6"/>
              <w:right w:val="single" w:sz="4" w:space="0" w:color="4BACC6"/>
            </w:tcBorders>
            <w:shd w:val="clear" w:color="000000" w:fill="DBEEF3"/>
            <w:noWrap/>
            <w:vAlign w:val="center"/>
          </w:tcPr>
          <w:p w:rsidR="00E91269" w:rsidRPr="00E91269" w:rsidRDefault="00E91269" w:rsidP="00E91269">
            <w:pPr>
              <w:spacing w:line="240" w:lineRule="auto"/>
              <w:jc w:val="center"/>
              <w:rPr>
                <w:rFonts w:asciiTheme="minorHAnsi" w:hAnsiTheme="minorHAnsi" w:cs="Arial"/>
                <w:b/>
                <w:color w:val="000000"/>
                <w:sz w:val="20"/>
                <w:lang w:eastAsia="hr-HR"/>
              </w:rPr>
            </w:pPr>
          </w:p>
        </w:tc>
      </w:tr>
      <w:tr w:rsidR="00E91269" w:rsidRPr="00E91269" w:rsidTr="00E91269">
        <w:trPr>
          <w:trHeight w:val="284"/>
        </w:trPr>
        <w:tc>
          <w:tcPr>
            <w:tcW w:w="1572" w:type="dxa"/>
            <w:tcBorders>
              <w:top w:val="nil"/>
              <w:left w:val="single" w:sz="4" w:space="0" w:color="4BACC6"/>
              <w:bottom w:val="single" w:sz="4" w:space="0" w:color="4BACC6"/>
              <w:right w:val="single" w:sz="4" w:space="0" w:color="4BACC6"/>
            </w:tcBorders>
            <w:noWrap/>
            <w:vAlign w:val="center"/>
          </w:tcPr>
          <w:p w:rsidR="00E91269" w:rsidRPr="00E91269" w:rsidRDefault="00E91269" w:rsidP="00E91269">
            <w:pPr>
              <w:spacing w:line="240" w:lineRule="auto"/>
              <w:rPr>
                <w:rFonts w:asciiTheme="minorHAnsi" w:hAnsiTheme="minorHAnsi" w:cs="Arial"/>
                <w:color w:val="000000"/>
                <w:sz w:val="20"/>
                <w:lang w:eastAsia="hr-HR"/>
              </w:rPr>
            </w:pPr>
            <w:r w:rsidRPr="00E91269">
              <w:rPr>
                <w:rFonts w:asciiTheme="minorHAnsi" w:hAnsiTheme="minorHAnsi" w:cs="Arial"/>
                <w:color w:val="000000"/>
                <w:sz w:val="20"/>
                <w:lang w:eastAsia="hr-HR"/>
              </w:rPr>
              <w:t xml:space="preserve">     Školstvo</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7.784,4</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14.229,9</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9.895,4</w:t>
            </w:r>
          </w:p>
        </w:tc>
        <w:tc>
          <w:tcPr>
            <w:tcW w:w="992"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11.226,7</w:t>
            </w:r>
          </w:p>
        </w:tc>
        <w:tc>
          <w:tcPr>
            <w:tcW w:w="992" w:type="dxa"/>
            <w:tcBorders>
              <w:top w:val="nil"/>
              <w:left w:val="single" w:sz="4" w:space="0" w:color="4BACC6"/>
              <w:bottom w:val="single" w:sz="4" w:space="0" w:color="4BACC6"/>
              <w:right w:val="single" w:sz="4" w:space="0" w:color="4BACC6"/>
            </w:tcBorders>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0,0</w:t>
            </w:r>
          </w:p>
        </w:tc>
        <w:tc>
          <w:tcPr>
            <w:tcW w:w="992" w:type="dxa"/>
            <w:vMerge w:val="restart"/>
            <w:tcBorders>
              <w:top w:val="nil"/>
              <w:left w:val="nil"/>
              <w:right w:val="single" w:sz="4" w:space="0" w:color="4BACC6"/>
            </w:tcBorders>
            <w:noWrap/>
            <w:vAlign w:val="center"/>
          </w:tcPr>
          <w:p w:rsidR="00E91269" w:rsidRPr="00E91269" w:rsidRDefault="00E91269" w:rsidP="00E91269">
            <w:pPr>
              <w:spacing w:line="240" w:lineRule="auto"/>
              <w:jc w:val="center"/>
              <w:rPr>
                <w:rFonts w:asciiTheme="minorHAnsi" w:hAnsiTheme="minorHAnsi" w:cs="Arial"/>
                <w:color w:val="000000"/>
                <w:sz w:val="20"/>
                <w:lang w:eastAsia="hr-HR"/>
              </w:rPr>
            </w:pPr>
          </w:p>
        </w:tc>
        <w:tc>
          <w:tcPr>
            <w:tcW w:w="1276"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43.136,3</w:t>
            </w:r>
          </w:p>
        </w:tc>
      </w:tr>
      <w:tr w:rsidR="00E91269" w:rsidRPr="00E91269" w:rsidTr="00E91269">
        <w:trPr>
          <w:trHeight w:val="284"/>
        </w:trPr>
        <w:tc>
          <w:tcPr>
            <w:tcW w:w="1572" w:type="dxa"/>
            <w:tcBorders>
              <w:top w:val="nil"/>
              <w:left w:val="single" w:sz="4" w:space="0" w:color="4BACC6"/>
              <w:bottom w:val="single" w:sz="4" w:space="0" w:color="4BACC6"/>
              <w:right w:val="single" w:sz="4" w:space="0" w:color="4BACC6"/>
            </w:tcBorders>
            <w:noWrap/>
            <w:vAlign w:val="center"/>
          </w:tcPr>
          <w:p w:rsidR="00E91269" w:rsidRPr="00E91269" w:rsidRDefault="00E91269" w:rsidP="00E91269">
            <w:pPr>
              <w:spacing w:line="240" w:lineRule="auto"/>
              <w:rPr>
                <w:rFonts w:asciiTheme="minorHAnsi" w:hAnsiTheme="minorHAnsi" w:cs="Arial"/>
                <w:color w:val="000000"/>
                <w:sz w:val="20"/>
                <w:lang w:eastAsia="hr-HR"/>
              </w:rPr>
            </w:pPr>
            <w:r w:rsidRPr="00E91269">
              <w:rPr>
                <w:rFonts w:asciiTheme="minorHAnsi" w:hAnsiTheme="minorHAnsi" w:cs="Arial"/>
                <w:color w:val="000000"/>
                <w:sz w:val="20"/>
                <w:lang w:eastAsia="hr-HR"/>
              </w:rPr>
              <w:t xml:space="preserve">     Zdravstvo</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6.277,3</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10.809,2</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9.832,6</w:t>
            </w:r>
          </w:p>
        </w:tc>
        <w:tc>
          <w:tcPr>
            <w:tcW w:w="992"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47,0</w:t>
            </w:r>
          </w:p>
        </w:tc>
        <w:tc>
          <w:tcPr>
            <w:tcW w:w="992" w:type="dxa"/>
            <w:tcBorders>
              <w:top w:val="nil"/>
              <w:left w:val="single" w:sz="4" w:space="0" w:color="4BACC6"/>
              <w:bottom w:val="single" w:sz="4" w:space="0" w:color="4BACC6"/>
              <w:right w:val="single" w:sz="4" w:space="0" w:color="4BACC6"/>
            </w:tcBorders>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0,0</w:t>
            </w:r>
          </w:p>
        </w:tc>
        <w:tc>
          <w:tcPr>
            <w:tcW w:w="992" w:type="dxa"/>
            <w:vMerge/>
            <w:tcBorders>
              <w:left w:val="nil"/>
              <w:right w:val="single" w:sz="4" w:space="0" w:color="4BACC6"/>
            </w:tcBorders>
            <w:noWrap/>
            <w:vAlign w:val="center"/>
          </w:tcPr>
          <w:p w:rsidR="00E91269" w:rsidRPr="00E91269" w:rsidRDefault="00E91269" w:rsidP="00E91269">
            <w:pPr>
              <w:spacing w:line="240" w:lineRule="auto"/>
              <w:jc w:val="center"/>
              <w:rPr>
                <w:rFonts w:asciiTheme="minorHAnsi" w:hAnsiTheme="minorHAnsi" w:cs="Arial"/>
                <w:color w:val="000000"/>
                <w:sz w:val="20"/>
                <w:lang w:eastAsia="hr-HR"/>
              </w:rPr>
            </w:pPr>
          </w:p>
        </w:tc>
        <w:tc>
          <w:tcPr>
            <w:tcW w:w="1276"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26.966,0</w:t>
            </w:r>
          </w:p>
        </w:tc>
      </w:tr>
      <w:tr w:rsidR="00E91269" w:rsidRPr="00E91269" w:rsidTr="00E91269">
        <w:trPr>
          <w:trHeight w:val="284"/>
        </w:trPr>
        <w:tc>
          <w:tcPr>
            <w:tcW w:w="1572" w:type="dxa"/>
            <w:tcBorders>
              <w:top w:val="nil"/>
              <w:left w:val="single" w:sz="4" w:space="0" w:color="4BACC6"/>
              <w:bottom w:val="single" w:sz="4" w:space="0" w:color="4BACC6"/>
              <w:right w:val="single" w:sz="4" w:space="0" w:color="4BACC6"/>
            </w:tcBorders>
            <w:noWrap/>
            <w:vAlign w:val="center"/>
          </w:tcPr>
          <w:p w:rsidR="00E91269" w:rsidRPr="00E91269" w:rsidRDefault="00E91269" w:rsidP="00E91269">
            <w:pPr>
              <w:spacing w:line="240" w:lineRule="auto"/>
              <w:rPr>
                <w:rFonts w:asciiTheme="minorHAnsi" w:hAnsiTheme="minorHAnsi" w:cs="Arial"/>
                <w:color w:val="000000"/>
                <w:sz w:val="20"/>
                <w:lang w:eastAsia="hr-HR"/>
              </w:rPr>
            </w:pPr>
            <w:r w:rsidRPr="00E91269">
              <w:rPr>
                <w:rFonts w:asciiTheme="minorHAnsi" w:hAnsiTheme="minorHAnsi" w:cs="Arial"/>
                <w:color w:val="000000"/>
                <w:sz w:val="20"/>
                <w:lang w:eastAsia="hr-HR"/>
              </w:rPr>
              <w:t xml:space="preserve">     Uprava</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1.856,1</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1.930,8</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1.249,8</w:t>
            </w:r>
          </w:p>
        </w:tc>
        <w:tc>
          <w:tcPr>
            <w:tcW w:w="992"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1.299,9</w:t>
            </w:r>
          </w:p>
        </w:tc>
        <w:tc>
          <w:tcPr>
            <w:tcW w:w="992" w:type="dxa"/>
            <w:tcBorders>
              <w:top w:val="nil"/>
              <w:left w:val="single" w:sz="4" w:space="0" w:color="4BACC6"/>
              <w:bottom w:val="single" w:sz="4" w:space="0" w:color="4BACC6"/>
              <w:right w:val="single" w:sz="4" w:space="0" w:color="4BACC6"/>
            </w:tcBorders>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0,0</w:t>
            </w:r>
          </w:p>
        </w:tc>
        <w:tc>
          <w:tcPr>
            <w:tcW w:w="992" w:type="dxa"/>
            <w:vMerge/>
            <w:tcBorders>
              <w:left w:val="nil"/>
              <w:right w:val="single" w:sz="4" w:space="0" w:color="4BACC6"/>
            </w:tcBorders>
            <w:noWrap/>
            <w:vAlign w:val="center"/>
          </w:tcPr>
          <w:p w:rsidR="00E91269" w:rsidRPr="00E91269" w:rsidRDefault="00E91269" w:rsidP="00E91269">
            <w:pPr>
              <w:spacing w:line="240" w:lineRule="auto"/>
              <w:jc w:val="center"/>
              <w:rPr>
                <w:rFonts w:asciiTheme="minorHAnsi" w:hAnsiTheme="minorHAnsi" w:cs="Arial"/>
                <w:color w:val="000000"/>
                <w:sz w:val="20"/>
                <w:lang w:eastAsia="hr-HR"/>
              </w:rPr>
            </w:pPr>
          </w:p>
        </w:tc>
        <w:tc>
          <w:tcPr>
            <w:tcW w:w="1276"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6.336,7</w:t>
            </w:r>
          </w:p>
        </w:tc>
      </w:tr>
      <w:tr w:rsidR="00E91269" w:rsidRPr="00E91269" w:rsidTr="00E91269">
        <w:trPr>
          <w:trHeight w:val="284"/>
        </w:trPr>
        <w:tc>
          <w:tcPr>
            <w:tcW w:w="1572" w:type="dxa"/>
            <w:tcBorders>
              <w:top w:val="nil"/>
              <w:left w:val="single" w:sz="4" w:space="0" w:color="4BACC6"/>
              <w:bottom w:val="single" w:sz="4" w:space="0" w:color="4BACC6"/>
              <w:right w:val="single" w:sz="4" w:space="0" w:color="4BACC6"/>
            </w:tcBorders>
            <w:noWrap/>
            <w:vAlign w:val="center"/>
          </w:tcPr>
          <w:p w:rsidR="00E91269" w:rsidRPr="00E91269" w:rsidRDefault="00E91269" w:rsidP="00E91269">
            <w:pPr>
              <w:spacing w:line="240" w:lineRule="auto"/>
              <w:rPr>
                <w:rFonts w:asciiTheme="minorHAnsi" w:hAnsiTheme="minorHAnsi" w:cs="Arial"/>
                <w:color w:val="000000"/>
                <w:sz w:val="20"/>
                <w:lang w:eastAsia="hr-HR"/>
              </w:rPr>
            </w:pPr>
            <w:r w:rsidRPr="00E91269">
              <w:rPr>
                <w:rFonts w:asciiTheme="minorHAnsi" w:hAnsiTheme="minorHAnsi" w:cs="Arial"/>
                <w:color w:val="000000"/>
                <w:sz w:val="20"/>
                <w:lang w:eastAsia="hr-HR"/>
              </w:rPr>
              <w:t xml:space="preserve">     Kultura</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2.190,5</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18,8</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4.124,4</w:t>
            </w:r>
          </w:p>
        </w:tc>
        <w:tc>
          <w:tcPr>
            <w:tcW w:w="992"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0,0</w:t>
            </w:r>
          </w:p>
        </w:tc>
        <w:tc>
          <w:tcPr>
            <w:tcW w:w="992" w:type="dxa"/>
            <w:tcBorders>
              <w:top w:val="nil"/>
              <w:left w:val="single" w:sz="4" w:space="0" w:color="4BACC6"/>
              <w:bottom w:val="single" w:sz="4" w:space="0" w:color="4BACC6"/>
              <w:right w:val="single" w:sz="4" w:space="0" w:color="4BACC6"/>
            </w:tcBorders>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0,0</w:t>
            </w:r>
          </w:p>
        </w:tc>
        <w:tc>
          <w:tcPr>
            <w:tcW w:w="992" w:type="dxa"/>
            <w:vMerge/>
            <w:tcBorders>
              <w:left w:val="nil"/>
              <w:right w:val="single" w:sz="4" w:space="0" w:color="4BACC6"/>
            </w:tcBorders>
            <w:noWrap/>
            <w:vAlign w:val="center"/>
          </w:tcPr>
          <w:p w:rsidR="00E91269" w:rsidRPr="00E91269" w:rsidRDefault="00E91269" w:rsidP="00E91269">
            <w:pPr>
              <w:spacing w:line="240" w:lineRule="auto"/>
              <w:jc w:val="center"/>
              <w:rPr>
                <w:rFonts w:asciiTheme="minorHAnsi" w:hAnsiTheme="minorHAnsi" w:cs="Arial"/>
                <w:color w:val="000000"/>
                <w:sz w:val="20"/>
                <w:lang w:eastAsia="hr-HR"/>
              </w:rPr>
            </w:pPr>
          </w:p>
        </w:tc>
        <w:tc>
          <w:tcPr>
            <w:tcW w:w="1276"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6.333,6</w:t>
            </w:r>
          </w:p>
        </w:tc>
      </w:tr>
      <w:tr w:rsidR="00E91269" w:rsidRPr="00E91269" w:rsidTr="00E91269">
        <w:trPr>
          <w:trHeight w:val="513"/>
        </w:trPr>
        <w:tc>
          <w:tcPr>
            <w:tcW w:w="1572" w:type="dxa"/>
            <w:tcBorders>
              <w:top w:val="nil"/>
              <w:left w:val="single" w:sz="4" w:space="0" w:color="4BACC6"/>
              <w:bottom w:val="single" w:sz="4" w:space="0" w:color="4BACC6"/>
              <w:right w:val="single" w:sz="4" w:space="0" w:color="4BACC6"/>
            </w:tcBorders>
            <w:vAlign w:val="center"/>
          </w:tcPr>
          <w:p w:rsidR="00E91269" w:rsidRPr="00E91269" w:rsidRDefault="00E91269" w:rsidP="00E91269">
            <w:pPr>
              <w:spacing w:line="240" w:lineRule="auto"/>
              <w:ind w:left="330" w:hanging="284"/>
              <w:rPr>
                <w:rFonts w:asciiTheme="minorHAnsi" w:hAnsiTheme="minorHAnsi" w:cs="Arial"/>
                <w:color w:val="000000"/>
                <w:sz w:val="20"/>
                <w:lang w:eastAsia="hr-HR"/>
              </w:rPr>
            </w:pPr>
            <w:r w:rsidRPr="00E91269">
              <w:rPr>
                <w:rFonts w:asciiTheme="minorHAnsi" w:hAnsiTheme="minorHAnsi" w:cs="Arial"/>
                <w:color w:val="000000"/>
                <w:sz w:val="20"/>
                <w:lang w:eastAsia="hr-HR"/>
              </w:rPr>
              <w:t xml:space="preserve">     Poslovni prostori i stanovi </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5.925,2</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4.909,5</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4.854,7</w:t>
            </w:r>
          </w:p>
        </w:tc>
        <w:tc>
          <w:tcPr>
            <w:tcW w:w="992"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0,0</w:t>
            </w:r>
          </w:p>
        </w:tc>
        <w:tc>
          <w:tcPr>
            <w:tcW w:w="992" w:type="dxa"/>
            <w:tcBorders>
              <w:top w:val="nil"/>
              <w:left w:val="single" w:sz="4" w:space="0" w:color="4BACC6"/>
              <w:bottom w:val="single" w:sz="4" w:space="0" w:color="4BACC6"/>
              <w:right w:val="single" w:sz="4" w:space="0" w:color="4BACC6"/>
            </w:tcBorders>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0,0</w:t>
            </w:r>
          </w:p>
        </w:tc>
        <w:tc>
          <w:tcPr>
            <w:tcW w:w="992" w:type="dxa"/>
            <w:vMerge/>
            <w:tcBorders>
              <w:left w:val="nil"/>
              <w:bottom w:val="single" w:sz="4" w:space="0" w:color="4BACC6"/>
              <w:right w:val="single" w:sz="4" w:space="0" w:color="4BACC6"/>
            </w:tcBorders>
            <w:noWrap/>
            <w:vAlign w:val="center"/>
          </w:tcPr>
          <w:p w:rsidR="00E91269" w:rsidRPr="00E91269" w:rsidRDefault="00E91269" w:rsidP="00E91269">
            <w:pPr>
              <w:spacing w:line="240" w:lineRule="auto"/>
              <w:jc w:val="center"/>
              <w:rPr>
                <w:rFonts w:asciiTheme="minorHAnsi" w:hAnsiTheme="minorHAnsi" w:cs="Arial"/>
                <w:color w:val="000000"/>
                <w:sz w:val="20"/>
                <w:lang w:eastAsia="hr-HR"/>
              </w:rPr>
            </w:pPr>
          </w:p>
        </w:tc>
        <w:tc>
          <w:tcPr>
            <w:tcW w:w="1276"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15.689,4</w:t>
            </w:r>
          </w:p>
        </w:tc>
      </w:tr>
      <w:tr w:rsidR="00E91269" w:rsidRPr="00E91269" w:rsidTr="00E91269">
        <w:trPr>
          <w:trHeight w:val="563"/>
        </w:trPr>
        <w:tc>
          <w:tcPr>
            <w:tcW w:w="1572" w:type="dxa"/>
            <w:tcBorders>
              <w:top w:val="nil"/>
              <w:left w:val="single" w:sz="4" w:space="0" w:color="4BACC6"/>
              <w:bottom w:val="single" w:sz="4" w:space="0" w:color="4BACC6"/>
              <w:right w:val="single" w:sz="4" w:space="0" w:color="4BACC6"/>
            </w:tcBorders>
            <w:vAlign w:val="center"/>
          </w:tcPr>
          <w:p w:rsidR="00E91269" w:rsidRPr="00E91269" w:rsidRDefault="00E91269" w:rsidP="00E91269">
            <w:pPr>
              <w:spacing w:line="240" w:lineRule="auto"/>
              <w:ind w:left="330" w:hanging="284"/>
              <w:rPr>
                <w:rFonts w:asciiTheme="minorHAnsi" w:hAnsiTheme="minorHAnsi" w:cs="Arial"/>
                <w:color w:val="000000"/>
                <w:sz w:val="20"/>
                <w:lang w:eastAsia="hr-HR"/>
              </w:rPr>
            </w:pPr>
            <w:r w:rsidRPr="00E91269">
              <w:rPr>
                <w:rFonts w:asciiTheme="minorHAnsi" w:hAnsiTheme="minorHAnsi" w:cs="Arial"/>
                <w:color w:val="000000"/>
                <w:sz w:val="20"/>
                <w:lang w:eastAsia="hr-HR"/>
              </w:rPr>
              <w:t xml:space="preserve">     Objekti i uredi gradskih tvrtki</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22.060,9</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10.514,5</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6.891,3</w:t>
            </w:r>
          </w:p>
        </w:tc>
        <w:tc>
          <w:tcPr>
            <w:tcW w:w="992"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1.474,0</w:t>
            </w:r>
          </w:p>
        </w:tc>
        <w:tc>
          <w:tcPr>
            <w:tcW w:w="992" w:type="dxa"/>
            <w:tcBorders>
              <w:top w:val="nil"/>
              <w:left w:val="single" w:sz="4" w:space="0" w:color="4BACC6"/>
              <w:bottom w:val="single" w:sz="4" w:space="0" w:color="4BACC6"/>
              <w:right w:val="single" w:sz="4" w:space="0" w:color="4BACC6"/>
            </w:tcBorders>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58,0</w:t>
            </w:r>
          </w:p>
        </w:tc>
        <w:tc>
          <w:tcPr>
            <w:tcW w:w="992" w:type="dxa"/>
            <w:tcBorders>
              <w:top w:val="single" w:sz="4" w:space="0" w:color="4BACC6"/>
              <w:left w:val="nil"/>
              <w:bottom w:val="single" w:sz="4" w:space="0" w:color="4BACC6"/>
              <w:right w:val="single" w:sz="4" w:space="0" w:color="4BACC6"/>
            </w:tcBorders>
            <w:noWrap/>
            <w:vAlign w:val="center"/>
          </w:tcPr>
          <w:p w:rsidR="00E91269" w:rsidRPr="00E91269" w:rsidRDefault="00E91269" w:rsidP="00E91269">
            <w:pPr>
              <w:spacing w:line="240" w:lineRule="auto"/>
              <w:jc w:val="center"/>
              <w:rPr>
                <w:rFonts w:asciiTheme="minorHAnsi" w:hAnsiTheme="minorHAnsi" w:cs="Arial"/>
                <w:color w:val="000000"/>
                <w:sz w:val="20"/>
                <w:lang w:eastAsia="hr-HR"/>
              </w:rPr>
            </w:pPr>
          </w:p>
        </w:tc>
        <w:tc>
          <w:tcPr>
            <w:tcW w:w="1276"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40.998,7</w:t>
            </w:r>
          </w:p>
        </w:tc>
      </w:tr>
      <w:tr w:rsidR="00E91269" w:rsidRPr="00E91269" w:rsidTr="00E91269">
        <w:trPr>
          <w:trHeight w:val="284"/>
        </w:trPr>
        <w:tc>
          <w:tcPr>
            <w:tcW w:w="1572" w:type="dxa"/>
            <w:tcBorders>
              <w:top w:val="single" w:sz="4" w:space="0" w:color="4BACC6"/>
              <w:left w:val="single" w:sz="4" w:space="0" w:color="4BACC6"/>
              <w:bottom w:val="single" w:sz="4" w:space="0" w:color="4BACC6"/>
              <w:right w:val="single" w:sz="4" w:space="0" w:color="4BACC6"/>
            </w:tcBorders>
            <w:shd w:val="clear" w:color="000000" w:fill="auto"/>
            <w:vAlign w:val="center"/>
          </w:tcPr>
          <w:p w:rsidR="00E91269" w:rsidRPr="00E91269" w:rsidRDefault="00E91269" w:rsidP="00E91269">
            <w:pPr>
              <w:spacing w:line="240" w:lineRule="auto"/>
              <w:rPr>
                <w:rFonts w:asciiTheme="minorHAnsi" w:hAnsiTheme="minorHAnsi" w:cs="Arial"/>
                <w:color w:val="000000"/>
                <w:sz w:val="20"/>
                <w:lang w:eastAsia="hr-HR"/>
              </w:rPr>
            </w:pPr>
            <w:r w:rsidRPr="00E91269">
              <w:rPr>
                <w:rFonts w:asciiTheme="minorHAnsi" w:hAnsiTheme="minorHAnsi" w:cs="Arial"/>
                <w:color w:val="000000"/>
                <w:sz w:val="20"/>
                <w:lang w:eastAsia="hr-HR"/>
              </w:rPr>
              <w:t>UKUPNO</w:t>
            </w:r>
          </w:p>
        </w:tc>
        <w:tc>
          <w:tcPr>
            <w:tcW w:w="1134" w:type="dxa"/>
            <w:tcBorders>
              <w:top w:val="single" w:sz="4" w:space="0" w:color="4BACC6"/>
              <w:left w:val="nil"/>
              <w:bottom w:val="single" w:sz="4" w:space="0" w:color="4BACC6"/>
              <w:right w:val="single" w:sz="4" w:space="0" w:color="4BACC6"/>
            </w:tcBorders>
            <w:shd w:val="clear" w:color="000000" w:fill="auto"/>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46.094,4</w:t>
            </w:r>
          </w:p>
        </w:tc>
        <w:tc>
          <w:tcPr>
            <w:tcW w:w="1134" w:type="dxa"/>
            <w:tcBorders>
              <w:top w:val="single" w:sz="4" w:space="0" w:color="4BACC6"/>
              <w:left w:val="nil"/>
              <w:bottom w:val="single" w:sz="4" w:space="0" w:color="4BACC6"/>
              <w:right w:val="single" w:sz="4" w:space="0" w:color="4BACC6"/>
            </w:tcBorders>
            <w:shd w:val="clear" w:color="000000" w:fill="auto"/>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42.412,7</w:t>
            </w:r>
          </w:p>
        </w:tc>
        <w:tc>
          <w:tcPr>
            <w:tcW w:w="1134" w:type="dxa"/>
            <w:tcBorders>
              <w:top w:val="single" w:sz="4" w:space="0" w:color="4BACC6"/>
              <w:left w:val="nil"/>
              <w:bottom w:val="single" w:sz="4" w:space="0" w:color="4BACC6"/>
              <w:right w:val="single" w:sz="4" w:space="0" w:color="4BACC6"/>
            </w:tcBorders>
            <w:shd w:val="clear" w:color="000000" w:fill="auto"/>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36.848,1</w:t>
            </w:r>
          </w:p>
        </w:tc>
        <w:tc>
          <w:tcPr>
            <w:tcW w:w="992" w:type="dxa"/>
            <w:tcBorders>
              <w:top w:val="single" w:sz="4" w:space="0" w:color="4BACC6"/>
              <w:left w:val="nil"/>
              <w:bottom w:val="single" w:sz="4" w:space="0" w:color="4BACC6"/>
              <w:right w:val="single" w:sz="4" w:space="0" w:color="4BACC6"/>
            </w:tcBorders>
            <w:shd w:val="clear" w:color="000000" w:fill="auto"/>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14.047,6</w:t>
            </w:r>
          </w:p>
        </w:tc>
        <w:tc>
          <w:tcPr>
            <w:tcW w:w="992" w:type="dxa"/>
            <w:tcBorders>
              <w:top w:val="single" w:sz="4" w:space="0" w:color="4BACC6"/>
              <w:left w:val="single" w:sz="4" w:space="0" w:color="4BACC6"/>
              <w:bottom w:val="single" w:sz="4" w:space="0" w:color="4BACC6"/>
              <w:right w:val="single" w:sz="4" w:space="0" w:color="4BACC6"/>
            </w:tcBorders>
            <w:shd w:val="clear" w:color="000000" w:fill="auto"/>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58,0</w:t>
            </w:r>
          </w:p>
        </w:tc>
        <w:tc>
          <w:tcPr>
            <w:tcW w:w="992" w:type="dxa"/>
            <w:tcBorders>
              <w:top w:val="single" w:sz="4" w:space="0" w:color="4BACC6"/>
              <w:left w:val="nil"/>
              <w:bottom w:val="single" w:sz="4" w:space="0" w:color="4BACC6"/>
              <w:right w:val="single" w:sz="4" w:space="0" w:color="4BACC6"/>
            </w:tcBorders>
            <w:shd w:val="clear" w:color="000000" w:fill="auto"/>
            <w:noWrap/>
            <w:vAlign w:val="center"/>
          </w:tcPr>
          <w:p w:rsidR="00E91269" w:rsidRPr="00E91269" w:rsidRDefault="00E91269" w:rsidP="00E91269">
            <w:pPr>
              <w:spacing w:line="240" w:lineRule="auto"/>
              <w:jc w:val="center"/>
              <w:rPr>
                <w:rFonts w:asciiTheme="minorHAnsi" w:hAnsiTheme="minorHAnsi" w:cs="Arial"/>
                <w:color w:val="000000"/>
                <w:sz w:val="20"/>
                <w:lang w:eastAsia="hr-HR"/>
              </w:rPr>
            </w:pPr>
            <w:r w:rsidRPr="00E91269">
              <w:rPr>
                <w:rFonts w:asciiTheme="minorHAnsi" w:hAnsiTheme="minorHAnsi" w:cs="Arial"/>
                <w:color w:val="000000"/>
                <w:sz w:val="20"/>
              </w:rPr>
              <w:t>0,0</w:t>
            </w:r>
          </w:p>
        </w:tc>
        <w:tc>
          <w:tcPr>
            <w:tcW w:w="1276" w:type="dxa"/>
            <w:tcBorders>
              <w:top w:val="single" w:sz="4" w:space="0" w:color="4BACC6"/>
              <w:left w:val="nil"/>
              <w:bottom w:val="single" w:sz="4" w:space="0" w:color="4BACC6"/>
              <w:right w:val="single" w:sz="4" w:space="0" w:color="4BACC6"/>
            </w:tcBorders>
            <w:shd w:val="clear" w:color="000000" w:fill="auto"/>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139.460,8</w:t>
            </w:r>
          </w:p>
        </w:tc>
      </w:tr>
      <w:tr w:rsidR="00E91269" w:rsidRPr="00E91269" w:rsidTr="00E91269">
        <w:trPr>
          <w:trHeight w:val="340"/>
        </w:trPr>
        <w:tc>
          <w:tcPr>
            <w:tcW w:w="7950" w:type="dxa"/>
            <w:gridSpan w:val="7"/>
            <w:tcBorders>
              <w:top w:val="single" w:sz="4" w:space="0" w:color="4BACC6"/>
              <w:left w:val="single" w:sz="4" w:space="0" w:color="4BACC6"/>
              <w:bottom w:val="single" w:sz="4" w:space="0" w:color="4BACC6"/>
              <w:right w:val="single" w:sz="4" w:space="0" w:color="4BACC6"/>
            </w:tcBorders>
            <w:shd w:val="clear" w:color="000000" w:fill="DBEEF3"/>
            <w:vAlign w:val="center"/>
          </w:tcPr>
          <w:p w:rsidR="00E91269" w:rsidRPr="00E91269" w:rsidRDefault="00E91269" w:rsidP="00E91269">
            <w:pPr>
              <w:spacing w:line="240" w:lineRule="auto"/>
              <w:rPr>
                <w:rFonts w:asciiTheme="minorHAnsi" w:hAnsiTheme="minorHAnsi" w:cs="Arial"/>
                <w:b/>
                <w:bCs/>
                <w:color w:val="000000"/>
                <w:sz w:val="20"/>
                <w:lang w:eastAsia="hr-HR"/>
              </w:rPr>
            </w:pPr>
            <w:r w:rsidRPr="00E91269">
              <w:rPr>
                <w:rFonts w:asciiTheme="minorHAnsi" w:hAnsiTheme="minorHAnsi" w:cs="Arial"/>
                <w:b/>
                <w:bCs/>
                <w:color w:val="000000"/>
                <w:sz w:val="20"/>
                <w:lang w:eastAsia="hr-HR"/>
              </w:rPr>
              <w:t>ZGRADE KOMERCIJALNIH I USLUŽNIH DJELATNOSTI</w:t>
            </w:r>
          </w:p>
        </w:tc>
        <w:tc>
          <w:tcPr>
            <w:tcW w:w="1276" w:type="dxa"/>
            <w:tcBorders>
              <w:top w:val="nil"/>
              <w:left w:val="nil"/>
              <w:bottom w:val="single" w:sz="4" w:space="0" w:color="4BACC6"/>
              <w:right w:val="single" w:sz="4" w:space="0" w:color="4BACC6"/>
            </w:tcBorders>
            <w:shd w:val="clear" w:color="000000" w:fill="DBEEF3"/>
            <w:noWrap/>
            <w:vAlign w:val="center"/>
          </w:tcPr>
          <w:p w:rsidR="00E91269" w:rsidRPr="00E91269" w:rsidRDefault="00E91269" w:rsidP="00E91269">
            <w:pPr>
              <w:spacing w:line="240" w:lineRule="auto"/>
              <w:jc w:val="center"/>
              <w:rPr>
                <w:rFonts w:asciiTheme="minorHAnsi" w:hAnsiTheme="minorHAnsi" w:cs="Arial"/>
                <w:b/>
                <w:color w:val="000000"/>
                <w:sz w:val="20"/>
                <w:lang w:eastAsia="hr-HR"/>
              </w:rPr>
            </w:pPr>
          </w:p>
        </w:tc>
      </w:tr>
      <w:tr w:rsidR="00E91269" w:rsidRPr="00E91269" w:rsidTr="00E91269">
        <w:trPr>
          <w:trHeight w:val="281"/>
        </w:trPr>
        <w:tc>
          <w:tcPr>
            <w:tcW w:w="1572" w:type="dxa"/>
            <w:tcBorders>
              <w:top w:val="nil"/>
              <w:left w:val="single" w:sz="4" w:space="0" w:color="4BACC6"/>
              <w:bottom w:val="single" w:sz="4" w:space="0" w:color="4BACC6"/>
              <w:right w:val="single" w:sz="4" w:space="0" w:color="4BACC6"/>
            </w:tcBorders>
            <w:vAlign w:val="center"/>
          </w:tcPr>
          <w:p w:rsidR="00E91269" w:rsidRPr="00E91269" w:rsidRDefault="00E91269" w:rsidP="00E91269">
            <w:pPr>
              <w:spacing w:line="240" w:lineRule="auto"/>
              <w:rPr>
                <w:rFonts w:asciiTheme="minorHAnsi" w:hAnsiTheme="minorHAnsi" w:cs="Arial"/>
                <w:color w:val="000000"/>
                <w:sz w:val="20"/>
                <w:lang w:eastAsia="hr-HR"/>
              </w:rPr>
            </w:pPr>
            <w:r w:rsidRPr="00E91269">
              <w:rPr>
                <w:rFonts w:asciiTheme="minorHAnsi" w:hAnsiTheme="minorHAnsi" w:cs="Arial"/>
                <w:color w:val="000000"/>
                <w:sz w:val="20"/>
                <w:lang w:eastAsia="hr-HR"/>
              </w:rPr>
              <w:t>UKUPNO</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194.800,3</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166.677,3</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137.311,7</w:t>
            </w:r>
          </w:p>
        </w:tc>
        <w:tc>
          <w:tcPr>
            <w:tcW w:w="992"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0,0</w:t>
            </w:r>
          </w:p>
        </w:tc>
        <w:tc>
          <w:tcPr>
            <w:tcW w:w="992" w:type="dxa"/>
            <w:tcBorders>
              <w:top w:val="nil"/>
              <w:left w:val="single" w:sz="4" w:space="0" w:color="4BACC6"/>
              <w:bottom w:val="single" w:sz="4" w:space="0" w:color="4BACC6"/>
              <w:right w:val="single" w:sz="4" w:space="0" w:color="4BACC6"/>
            </w:tcBorders>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rPr>
                <w:rFonts w:asciiTheme="minorHAnsi" w:hAnsiTheme="minorHAnsi" w:cs="Arial"/>
                <w:color w:val="000000"/>
                <w:sz w:val="20"/>
              </w:rPr>
            </w:pPr>
            <w:r w:rsidRPr="00E91269">
              <w:rPr>
                <w:rFonts w:asciiTheme="minorHAnsi" w:hAnsiTheme="minorHAnsi" w:cs="Arial"/>
                <w:color w:val="000000"/>
                <w:sz w:val="20"/>
              </w:rPr>
              <w:t> </w:t>
            </w:r>
          </w:p>
        </w:tc>
        <w:tc>
          <w:tcPr>
            <w:tcW w:w="1276"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498.789,3</w:t>
            </w:r>
          </w:p>
        </w:tc>
      </w:tr>
      <w:tr w:rsidR="00E91269" w:rsidRPr="00E91269" w:rsidTr="00E91269">
        <w:trPr>
          <w:trHeight w:val="340"/>
        </w:trPr>
        <w:tc>
          <w:tcPr>
            <w:tcW w:w="7950" w:type="dxa"/>
            <w:gridSpan w:val="7"/>
            <w:tcBorders>
              <w:top w:val="single" w:sz="4" w:space="0" w:color="4BACC6"/>
              <w:left w:val="single" w:sz="4" w:space="0" w:color="4BACC6"/>
              <w:bottom w:val="single" w:sz="4" w:space="0" w:color="4BACC6"/>
              <w:right w:val="single" w:sz="4" w:space="0" w:color="4BACC6"/>
            </w:tcBorders>
            <w:shd w:val="clear" w:color="000000" w:fill="DBEEF3"/>
            <w:vAlign w:val="center"/>
          </w:tcPr>
          <w:p w:rsidR="00E91269" w:rsidRPr="00E91269" w:rsidRDefault="00E91269" w:rsidP="00E91269">
            <w:pPr>
              <w:spacing w:line="240" w:lineRule="auto"/>
              <w:rPr>
                <w:rFonts w:asciiTheme="minorHAnsi" w:hAnsiTheme="minorHAnsi" w:cs="Arial"/>
                <w:b/>
                <w:bCs/>
                <w:color w:val="000000"/>
                <w:sz w:val="20"/>
                <w:lang w:eastAsia="hr-HR"/>
              </w:rPr>
            </w:pPr>
            <w:r w:rsidRPr="00E91269">
              <w:rPr>
                <w:rFonts w:asciiTheme="minorHAnsi" w:hAnsiTheme="minorHAnsi" w:cs="Arial"/>
                <w:b/>
                <w:bCs/>
                <w:color w:val="000000"/>
                <w:sz w:val="20"/>
                <w:lang w:eastAsia="hr-HR"/>
              </w:rPr>
              <w:t>STAMBENE ZGRADE - KUĆANSTVA</w:t>
            </w:r>
          </w:p>
        </w:tc>
        <w:tc>
          <w:tcPr>
            <w:tcW w:w="1276" w:type="dxa"/>
            <w:tcBorders>
              <w:top w:val="nil"/>
              <w:left w:val="nil"/>
              <w:bottom w:val="single" w:sz="4" w:space="0" w:color="4BACC6"/>
              <w:right w:val="single" w:sz="4" w:space="0" w:color="4BACC6"/>
            </w:tcBorders>
            <w:shd w:val="clear" w:color="000000" w:fill="DBEEF3"/>
            <w:noWrap/>
            <w:vAlign w:val="center"/>
          </w:tcPr>
          <w:p w:rsidR="00E91269" w:rsidRPr="00E91269" w:rsidRDefault="00E91269" w:rsidP="00E91269">
            <w:pPr>
              <w:spacing w:line="240" w:lineRule="auto"/>
              <w:jc w:val="center"/>
              <w:rPr>
                <w:rFonts w:asciiTheme="minorHAnsi" w:hAnsiTheme="minorHAnsi" w:cs="Arial"/>
                <w:b/>
                <w:color w:val="000000"/>
                <w:sz w:val="20"/>
                <w:lang w:eastAsia="hr-HR"/>
              </w:rPr>
            </w:pPr>
          </w:p>
        </w:tc>
      </w:tr>
      <w:tr w:rsidR="00E91269" w:rsidRPr="00E91269" w:rsidTr="00E91269">
        <w:trPr>
          <w:trHeight w:val="284"/>
        </w:trPr>
        <w:tc>
          <w:tcPr>
            <w:tcW w:w="1572" w:type="dxa"/>
            <w:tcBorders>
              <w:top w:val="nil"/>
              <w:left w:val="single" w:sz="4" w:space="0" w:color="4BACC6"/>
              <w:bottom w:val="single" w:sz="4" w:space="0" w:color="4BACC6"/>
              <w:right w:val="single" w:sz="4" w:space="0" w:color="4BACC6"/>
            </w:tcBorders>
            <w:vAlign w:val="center"/>
          </w:tcPr>
          <w:p w:rsidR="00E91269" w:rsidRPr="00E91269" w:rsidRDefault="00E91269" w:rsidP="00E91269">
            <w:pPr>
              <w:spacing w:line="240" w:lineRule="auto"/>
              <w:rPr>
                <w:rFonts w:asciiTheme="minorHAnsi" w:hAnsiTheme="minorHAnsi" w:cs="Arial"/>
                <w:color w:val="000000"/>
                <w:sz w:val="20"/>
                <w:lang w:eastAsia="hr-HR"/>
              </w:rPr>
            </w:pPr>
            <w:r w:rsidRPr="00E91269">
              <w:rPr>
                <w:rFonts w:asciiTheme="minorHAnsi" w:hAnsiTheme="minorHAnsi" w:cs="Arial"/>
                <w:color w:val="000000"/>
                <w:sz w:val="20"/>
                <w:lang w:eastAsia="hr-HR"/>
              </w:rPr>
              <w:t>UKUPNO</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318.745,1</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256.595,1</w:t>
            </w:r>
          </w:p>
        </w:tc>
        <w:tc>
          <w:tcPr>
            <w:tcW w:w="1134"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459.889,4</w:t>
            </w:r>
          </w:p>
        </w:tc>
        <w:tc>
          <w:tcPr>
            <w:tcW w:w="992"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85.952,6</w:t>
            </w:r>
          </w:p>
        </w:tc>
        <w:tc>
          <w:tcPr>
            <w:tcW w:w="992" w:type="dxa"/>
            <w:tcBorders>
              <w:top w:val="nil"/>
              <w:left w:val="single" w:sz="4" w:space="0" w:color="4BACC6"/>
              <w:bottom w:val="single" w:sz="4" w:space="0" w:color="4BACC6"/>
              <w:right w:val="single" w:sz="4" w:space="0" w:color="4BACC6"/>
            </w:tcBorders>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center"/>
              <w:rPr>
                <w:rFonts w:asciiTheme="minorHAnsi" w:hAnsiTheme="minorHAnsi" w:cs="Arial"/>
                <w:color w:val="000000"/>
                <w:sz w:val="20"/>
              </w:rPr>
            </w:pPr>
            <w:r w:rsidRPr="00E91269">
              <w:rPr>
                <w:rFonts w:asciiTheme="minorHAnsi" w:hAnsiTheme="minorHAnsi" w:cs="Arial"/>
                <w:color w:val="000000"/>
                <w:sz w:val="20"/>
              </w:rPr>
              <w:t>0,0</w:t>
            </w:r>
          </w:p>
        </w:tc>
        <w:tc>
          <w:tcPr>
            <w:tcW w:w="1276" w:type="dxa"/>
            <w:tcBorders>
              <w:top w:val="nil"/>
              <w:left w:val="nil"/>
              <w:bottom w:val="single" w:sz="4" w:space="0" w:color="4BACC6"/>
              <w:right w:val="single" w:sz="4" w:space="0" w:color="4BACC6"/>
            </w:tcBorders>
            <w:noWrap/>
            <w:vAlign w:val="bottom"/>
          </w:tcPr>
          <w:p w:rsidR="00E91269" w:rsidRPr="00E91269" w:rsidRDefault="00E91269" w:rsidP="00E91269">
            <w:pPr>
              <w:spacing w:line="240" w:lineRule="auto"/>
              <w:jc w:val="right"/>
              <w:rPr>
                <w:rFonts w:asciiTheme="minorHAnsi" w:hAnsiTheme="minorHAnsi" w:cs="Arial"/>
                <w:color w:val="000000"/>
                <w:sz w:val="20"/>
              </w:rPr>
            </w:pPr>
            <w:r w:rsidRPr="00E91269">
              <w:rPr>
                <w:rFonts w:asciiTheme="minorHAnsi" w:hAnsiTheme="minorHAnsi" w:cs="Arial"/>
                <w:color w:val="000000"/>
                <w:sz w:val="20"/>
              </w:rPr>
              <w:t>1.121.182,2</w:t>
            </w:r>
          </w:p>
        </w:tc>
      </w:tr>
      <w:tr w:rsidR="00E91269" w:rsidRPr="00E91269" w:rsidTr="00E91269">
        <w:trPr>
          <w:trHeight w:val="481"/>
        </w:trPr>
        <w:tc>
          <w:tcPr>
            <w:tcW w:w="1572" w:type="dxa"/>
            <w:tcBorders>
              <w:top w:val="nil"/>
              <w:left w:val="single" w:sz="4" w:space="0" w:color="4BACC6"/>
              <w:bottom w:val="single" w:sz="4" w:space="0" w:color="4BACC6"/>
              <w:right w:val="single" w:sz="4" w:space="0" w:color="FFFFFF"/>
            </w:tcBorders>
            <w:shd w:val="clear" w:color="000000" w:fill="4BACC6"/>
            <w:vAlign w:val="center"/>
          </w:tcPr>
          <w:p w:rsidR="00E91269" w:rsidRPr="00E91269" w:rsidRDefault="00E91269" w:rsidP="00E91269">
            <w:pPr>
              <w:spacing w:line="240" w:lineRule="auto"/>
              <w:jc w:val="center"/>
              <w:rPr>
                <w:rFonts w:asciiTheme="minorHAnsi" w:hAnsiTheme="minorHAnsi" w:cs="Arial"/>
                <w:b/>
                <w:bCs/>
                <w:color w:val="FFFFFF"/>
                <w:sz w:val="20"/>
                <w:lang w:eastAsia="hr-HR"/>
              </w:rPr>
            </w:pPr>
            <w:r w:rsidRPr="00E91269">
              <w:rPr>
                <w:rFonts w:asciiTheme="minorHAnsi" w:hAnsiTheme="minorHAnsi" w:cs="Arial"/>
                <w:b/>
                <w:bCs/>
                <w:color w:val="FFFFFF"/>
                <w:sz w:val="20"/>
                <w:lang w:eastAsia="hr-HR"/>
              </w:rPr>
              <w:t>ZGRADARSTVO UKUPNO</w:t>
            </w:r>
          </w:p>
        </w:tc>
        <w:tc>
          <w:tcPr>
            <w:tcW w:w="1134" w:type="dxa"/>
            <w:tcBorders>
              <w:top w:val="nil"/>
              <w:left w:val="nil"/>
              <w:bottom w:val="single" w:sz="4" w:space="0" w:color="4BACC6"/>
              <w:right w:val="single" w:sz="4" w:space="0" w:color="FFFFFF"/>
            </w:tcBorders>
            <w:shd w:val="clear" w:color="000000" w:fill="4BACC6"/>
            <w:noWrap/>
            <w:vAlign w:val="center"/>
          </w:tcPr>
          <w:p w:rsidR="00E91269" w:rsidRPr="00E91269" w:rsidRDefault="00E91269" w:rsidP="00E91269">
            <w:pPr>
              <w:spacing w:line="240" w:lineRule="auto"/>
              <w:jc w:val="center"/>
              <w:rPr>
                <w:rFonts w:asciiTheme="minorHAnsi" w:hAnsiTheme="minorHAnsi" w:cs="Arial"/>
                <w:b/>
                <w:bCs/>
                <w:color w:val="FFFFFF"/>
                <w:sz w:val="20"/>
              </w:rPr>
            </w:pPr>
            <w:r w:rsidRPr="00E91269">
              <w:rPr>
                <w:rFonts w:asciiTheme="minorHAnsi" w:hAnsiTheme="minorHAnsi" w:cs="Arial"/>
                <w:b/>
                <w:bCs/>
                <w:color w:val="FFFFFF"/>
                <w:sz w:val="20"/>
              </w:rPr>
              <w:t>559.639,7</w:t>
            </w:r>
          </w:p>
        </w:tc>
        <w:tc>
          <w:tcPr>
            <w:tcW w:w="1134" w:type="dxa"/>
            <w:tcBorders>
              <w:top w:val="nil"/>
              <w:left w:val="nil"/>
              <w:bottom w:val="single" w:sz="4" w:space="0" w:color="4BACC6"/>
              <w:right w:val="single" w:sz="4" w:space="0" w:color="FFFFFF"/>
            </w:tcBorders>
            <w:shd w:val="clear" w:color="000000" w:fill="4BACC6"/>
            <w:noWrap/>
            <w:vAlign w:val="center"/>
          </w:tcPr>
          <w:p w:rsidR="00E91269" w:rsidRPr="00E91269" w:rsidRDefault="00E91269" w:rsidP="00E91269">
            <w:pPr>
              <w:spacing w:line="240" w:lineRule="auto"/>
              <w:jc w:val="center"/>
              <w:rPr>
                <w:rFonts w:asciiTheme="minorHAnsi" w:hAnsiTheme="minorHAnsi" w:cs="Arial"/>
                <w:b/>
                <w:bCs/>
                <w:color w:val="FFFFFF"/>
                <w:sz w:val="20"/>
              </w:rPr>
            </w:pPr>
            <w:r w:rsidRPr="00E91269">
              <w:rPr>
                <w:rFonts w:asciiTheme="minorHAnsi" w:hAnsiTheme="minorHAnsi" w:cs="Arial"/>
                <w:b/>
                <w:bCs/>
                <w:color w:val="FFFFFF"/>
                <w:sz w:val="20"/>
              </w:rPr>
              <w:t>465.685,2</w:t>
            </w:r>
          </w:p>
        </w:tc>
        <w:tc>
          <w:tcPr>
            <w:tcW w:w="1134" w:type="dxa"/>
            <w:tcBorders>
              <w:top w:val="nil"/>
              <w:left w:val="nil"/>
              <w:bottom w:val="single" w:sz="4" w:space="0" w:color="4BACC6"/>
              <w:right w:val="single" w:sz="4" w:space="0" w:color="FFFFFF"/>
            </w:tcBorders>
            <w:shd w:val="clear" w:color="000000" w:fill="4BACC6"/>
            <w:noWrap/>
            <w:vAlign w:val="center"/>
          </w:tcPr>
          <w:p w:rsidR="00E91269" w:rsidRPr="00E91269" w:rsidRDefault="00E91269" w:rsidP="00E91269">
            <w:pPr>
              <w:spacing w:line="240" w:lineRule="auto"/>
              <w:jc w:val="center"/>
              <w:rPr>
                <w:rFonts w:asciiTheme="minorHAnsi" w:hAnsiTheme="minorHAnsi" w:cs="Arial"/>
                <w:b/>
                <w:bCs/>
                <w:color w:val="FFFFFF"/>
                <w:sz w:val="20"/>
              </w:rPr>
            </w:pPr>
            <w:r w:rsidRPr="00E91269">
              <w:rPr>
                <w:rFonts w:asciiTheme="minorHAnsi" w:hAnsiTheme="minorHAnsi" w:cs="Arial"/>
                <w:b/>
                <w:bCs/>
                <w:color w:val="FFFFFF"/>
                <w:sz w:val="20"/>
              </w:rPr>
              <w:t>634.049,2</w:t>
            </w:r>
          </w:p>
        </w:tc>
        <w:tc>
          <w:tcPr>
            <w:tcW w:w="992" w:type="dxa"/>
            <w:tcBorders>
              <w:top w:val="nil"/>
              <w:left w:val="nil"/>
              <w:bottom w:val="single" w:sz="4" w:space="0" w:color="4BACC6"/>
              <w:right w:val="single" w:sz="4" w:space="0" w:color="FFFFFF"/>
            </w:tcBorders>
            <w:shd w:val="clear" w:color="000000" w:fill="4BACC6"/>
            <w:noWrap/>
            <w:vAlign w:val="center"/>
          </w:tcPr>
          <w:p w:rsidR="00E91269" w:rsidRPr="00E91269" w:rsidRDefault="00E91269" w:rsidP="00E91269">
            <w:pPr>
              <w:spacing w:line="240" w:lineRule="auto"/>
              <w:jc w:val="center"/>
              <w:rPr>
                <w:rFonts w:asciiTheme="minorHAnsi" w:hAnsiTheme="minorHAnsi" w:cs="Arial"/>
                <w:b/>
                <w:bCs/>
                <w:color w:val="FFFFFF"/>
                <w:sz w:val="20"/>
              </w:rPr>
            </w:pPr>
            <w:r w:rsidRPr="00E91269">
              <w:rPr>
                <w:rFonts w:asciiTheme="minorHAnsi" w:hAnsiTheme="minorHAnsi" w:cs="Arial"/>
                <w:b/>
                <w:bCs/>
                <w:color w:val="FFFFFF"/>
                <w:sz w:val="20"/>
              </w:rPr>
              <w:t>100.000,2</w:t>
            </w:r>
          </w:p>
        </w:tc>
        <w:tc>
          <w:tcPr>
            <w:tcW w:w="992" w:type="dxa"/>
            <w:tcBorders>
              <w:top w:val="nil"/>
              <w:left w:val="single" w:sz="4" w:space="0" w:color="FFFFFF"/>
              <w:bottom w:val="single" w:sz="4" w:space="0" w:color="4BACC6"/>
              <w:right w:val="single" w:sz="4" w:space="0" w:color="FFFFFF"/>
            </w:tcBorders>
            <w:shd w:val="clear" w:color="000000" w:fill="4BACC6"/>
            <w:vAlign w:val="center"/>
          </w:tcPr>
          <w:p w:rsidR="00E91269" w:rsidRPr="00E91269" w:rsidRDefault="00E91269" w:rsidP="00E91269">
            <w:pPr>
              <w:spacing w:line="240" w:lineRule="auto"/>
              <w:jc w:val="center"/>
              <w:rPr>
                <w:rFonts w:asciiTheme="minorHAnsi" w:hAnsiTheme="minorHAnsi" w:cs="Arial"/>
                <w:b/>
                <w:bCs/>
                <w:color w:val="FFFFFF"/>
                <w:sz w:val="20"/>
              </w:rPr>
            </w:pPr>
            <w:r w:rsidRPr="00E91269">
              <w:rPr>
                <w:rFonts w:asciiTheme="minorHAnsi" w:hAnsiTheme="minorHAnsi" w:cs="Arial"/>
                <w:b/>
                <w:bCs/>
                <w:color w:val="FFFFFF"/>
                <w:sz w:val="20"/>
              </w:rPr>
              <w:t>58,0</w:t>
            </w:r>
          </w:p>
        </w:tc>
        <w:tc>
          <w:tcPr>
            <w:tcW w:w="992" w:type="dxa"/>
            <w:tcBorders>
              <w:top w:val="nil"/>
              <w:left w:val="nil"/>
              <w:bottom w:val="single" w:sz="4" w:space="0" w:color="4BACC6"/>
              <w:right w:val="single" w:sz="4" w:space="0" w:color="FFFFFF"/>
            </w:tcBorders>
            <w:shd w:val="clear" w:color="000000" w:fill="4BACC6"/>
            <w:noWrap/>
            <w:vAlign w:val="center"/>
          </w:tcPr>
          <w:p w:rsidR="00E91269" w:rsidRPr="00E91269" w:rsidRDefault="00E91269" w:rsidP="00E91269">
            <w:pPr>
              <w:spacing w:line="240" w:lineRule="auto"/>
              <w:jc w:val="center"/>
              <w:rPr>
                <w:rFonts w:asciiTheme="minorHAnsi" w:hAnsiTheme="minorHAnsi" w:cs="Arial"/>
                <w:b/>
                <w:bCs/>
                <w:color w:val="FFFFFF"/>
                <w:sz w:val="20"/>
              </w:rPr>
            </w:pPr>
            <w:r w:rsidRPr="00E91269">
              <w:rPr>
                <w:rFonts w:asciiTheme="minorHAnsi" w:hAnsiTheme="minorHAnsi" w:cs="Arial"/>
                <w:b/>
                <w:bCs/>
                <w:color w:val="FFFFFF"/>
                <w:sz w:val="20"/>
              </w:rPr>
              <w:t>0,0</w:t>
            </w:r>
          </w:p>
        </w:tc>
        <w:tc>
          <w:tcPr>
            <w:tcW w:w="1276" w:type="dxa"/>
            <w:tcBorders>
              <w:top w:val="nil"/>
              <w:left w:val="nil"/>
              <w:bottom w:val="single" w:sz="4" w:space="0" w:color="4BACC6"/>
              <w:right w:val="single" w:sz="4" w:space="0" w:color="4BACC6"/>
            </w:tcBorders>
            <w:shd w:val="clear" w:color="000000" w:fill="4BACC6"/>
            <w:noWrap/>
            <w:vAlign w:val="center"/>
          </w:tcPr>
          <w:p w:rsidR="00E91269" w:rsidRPr="00E91269" w:rsidRDefault="00E91269" w:rsidP="00E91269">
            <w:pPr>
              <w:spacing w:line="240" w:lineRule="auto"/>
              <w:jc w:val="center"/>
              <w:rPr>
                <w:rFonts w:asciiTheme="minorHAnsi" w:hAnsiTheme="minorHAnsi" w:cs="Arial"/>
                <w:b/>
                <w:bCs/>
                <w:color w:val="FFFFFF"/>
                <w:sz w:val="20"/>
              </w:rPr>
            </w:pPr>
            <w:r w:rsidRPr="00E91269">
              <w:rPr>
                <w:rFonts w:asciiTheme="minorHAnsi" w:hAnsiTheme="minorHAnsi" w:cs="Arial"/>
                <w:b/>
                <w:bCs/>
                <w:color w:val="FFFFFF"/>
                <w:sz w:val="20"/>
              </w:rPr>
              <w:t>1.759.432,3</w:t>
            </w:r>
          </w:p>
        </w:tc>
      </w:tr>
    </w:tbl>
    <w:p w:rsidR="00B23695" w:rsidRPr="000063FC" w:rsidRDefault="00B23695" w:rsidP="0047546D">
      <w:pPr>
        <w:spacing w:line="276" w:lineRule="auto"/>
        <w:jc w:val="center"/>
        <w:rPr>
          <w:szCs w:val="22"/>
        </w:rPr>
      </w:pPr>
    </w:p>
    <w:p w:rsidR="00B11E11" w:rsidRDefault="00B11E11" w:rsidP="00B11E11">
      <w:pPr>
        <w:pStyle w:val="Heading6"/>
        <w:jc w:val="center"/>
      </w:pPr>
      <w:r w:rsidRPr="00B11E11">
        <w:rPr>
          <w:noProof/>
          <w:lang w:eastAsia="hr-HR"/>
        </w:rPr>
        <w:drawing>
          <wp:inline distT="0" distB="0" distL="0" distR="0">
            <wp:extent cx="5257800" cy="334327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9143D" w:rsidRPr="000063FC" w:rsidRDefault="007B0169" w:rsidP="00D027DF">
      <w:pPr>
        <w:pStyle w:val="Heading7"/>
      </w:pPr>
      <w:bookmarkStart w:id="108" w:name="_Toc254010285"/>
      <w:r w:rsidRPr="000063FC">
        <w:t xml:space="preserve">Slika 2.2: </w:t>
      </w:r>
      <w:r w:rsidR="0079143D" w:rsidRPr="000063FC">
        <w:t>Emisije CO</w:t>
      </w:r>
      <w:r w:rsidR="0079143D" w:rsidRPr="000063FC">
        <w:rPr>
          <w:vertAlign w:val="subscript"/>
        </w:rPr>
        <w:t>2</w:t>
      </w:r>
      <w:r w:rsidR="0079143D" w:rsidRPr="000063FC">
        <w:t xml:space="preserve"> iz sektora zgradarstva Grada Zagreba</w:t>
      </w:r>
      <w:bookmarkEnd w:id="108"/>
    </w:p>
    <w:p w:rsidR="00BC341E" w:rsidRPr="000063FC" w:rsidRDefault="00BC341E">
      <w:pPr>
        <w:pStyle w:val="Heading7"/>
      </w:pPr>
    </w:p>
    <w:p w:rsidR="00D11AD4" w:rsidRPr="000063FC" w:rsidRDefault="00D11AD4" w:rsidP="00D11AD4">
      <w:pPr>
        <w:spacing w:line="240" w:lineRule="auto"/>
        <w:rPr>
          <w:rFonts w:cs="Arial"/>
          <w:color w:val="000000"/>
          <w:lang w:eastAsia="hr-HR"/>
        </w:rPr>
      </w:pPr>
      <w:r w:rsidRPr="000063FC">
        <w:t>Najveći udio u ukupnoj emisiji CO</w:t>
      </w:r>
      <w:r w:rsidRPr="000063FC">
        <w:rPr>
          <w:vertAlign w:val="subscript"/>
        </w:rPr>
        <w:t>2</w:t>
      </w:r>
      <w:r w:rsidRPr="000063FC">
        <w:t xml:space="preserve"> čini emisija iz prirodnog plina s udjelom od 36,</w:t>
      </w:r>
      <w:r w:rsidR="00E91269">
        <w:t>0</w:t>
      </w:r>
      <w:r w:rsidRPr="000063FC">
        <w:t>%, zatim slijedi neizravna emisija iz p</w:t>
      </w:r>
      <w:r w:rsidR="00E91269">
        <w:t>otrošnje električne energije (31,8</w:t>
      </w:r>
      <w:r w:rsidRPr="000063FC">
        <w:t>%), emisija iz po</w:t>
      </w:r>
      <w:r w:rsidR="00E91269">
        <w:t>trošnje toplinske energije (26,5</w:t>
      </w:r>
      <w:r w:rsidRPr="000063FC">
        <w:t>%), dok emisija CO</w:t>
      </w:r>
      <w:r w:rsidRPr="000063FC">
        <w:rPr>
          <w:vertAlign w:val="subscript"/>
        </w:rPr>
        <w:t>2</w:t>
      </w:r>
      <w:r w:rsidRPr="000063FC">
        <w:t xml:space="preserve"> iz loživoga ulja i ukapljenog naftnog plina (UNP) čini manje od </w:t>
      </w:r>
      <w:r w:rsidR="00E91269">
        <w:t>6</w:t>
      </w:r>
      <w:r w:rsidRPr="000063FC">
        <w:t xml:space="preserve">%. </w:t>
      </w:r>
      <w:r w:rsidRPr="000063FC">
        <w:rPr>
          <w:rFonts w:cs="Arial"/>
          <w:color w:val="000000"/>
          <w:lang w:eastAsia="hr-HR"/>
        </w:rPr>
        <w:t>Promatrajući sektor zgradarstva najveći udio u ukupnim emisijama čine kućanstva (63,</w:t>
      </w:r>
      <w:r w:rsidR="0014671D">
        <w:rPr>
          <w:rFonts w:cs="Arial"/>
          <w:color w:val="000000"/>
          <w:lang w:eastAsia="hr-HR"/>
        </w:rPr>
        <w:t>7</w:t>
      </w:r>
      <w:r w:rsidRPr="000063FC">
        <w:rPr>
          <w:rFonts w:cs="Arial"/>
          <w:color w:val="000000"/>
          <w:lang w:eastAsia="hr-HR"/>
        </w:rPr>
        <w:t>%). Zgrade komercijalnih i uslužnih djelatnost doprinose s ud</w:t>
      </w:r>
      <w:r w:rsidR="0014671D">
        <w:rPr>
          <w:rFonts w:cs="Arial"/>
          <w:color w:val="000000"/>
          <w:lang w:eastAsia="hr-HR"/>
        </w:rPr>
        <w:t>jelom od 28,4</w:t>
      </w:r>
      <w:r w:rsidRPr="000063FC">
        <w:rPr>
          <w:rFonts w:cs="Arial"/>
          <w:color w:val="000000"/>
          <w:lang w:eastAsia="hr-HR"/>
        </w:rPr>
        <w:t>%, dok zgrade i poduzeća u vlasništvu Grada d</w:t>
      </w:r>
      <w:r w:rsidR="0014671D">
        <w:rPr>
          <w:rFonts w:cs="Arial"/>
          <w:color w:val="000000"/>
          <w:lang w:eastAsia="hr-HR"/>
        </w:rPr>
        <w:t>oprinose ukupnim emisijama s 7,9</w:t>
      </w:r>
      <w:r w:rsidRPr="000063FC">
        <w:rPr>
          <w:rFonts w:cs="Arial"/>
          <w:color w:val="000000"/>
          <w:lang w:eastAsia="hr-HR"/>
        </w:rPr>
        <w:t>%.</w:t>
      </w:r>
      <w:r w:rsidRPr="000063FC">
        <w:t xml:space="preserve"> Proračunata je i emisija CO</w:t>
      </w:r>
      <w:r w:rsidRPr="000063FC">
        <w:rPr>
          <w:vertAlign w:val="subscript"/>
        </w:rPr>
        <w:t>2</w:t>
      </w:r>
      <w:r w:rsidRPr="000063FC">
        <w:t xml:space="preserve">-ekv iz goriva te ona za sektor zgradarstvo </w:t>
      </w:r>
      <w:r w:rsidRPr="000063FC">
        <w:rPr>
          <w:rFonts w:cs="Arial"/>
        </w:rPr>
        <w:t xml:space="preserve">iznosi </w:t>
      </w:r>
      <w:r w:rsidRPr="000063FC">
        <w:rPr>
          <w:rFonts w:cs="Arial"/>
          <w:color w:val="000000"/>
          <w:lang w:eastAsia="hr-HR"/>
        </w:rPr>
        <w:t>1 7</w:t>
      </w:r>
      <w:r w:rsidR="0014671D">
        <w:rPr>
          <w:rFonts w:cs="Arial"/>
          <w:color w:val="000000"/>
          <w:lang w:eastAsia="hr-HR"/>
        </w:rPr>
        <w:t>60</w:t>
      </w:r>
      <w:r w:rsidRPr="000063FC">
        <w:rPr>
          <w:rFonts w:cs="Arial"/>
          <w:color w:val="000000"/>
          <w:lang w:eastAsia="hr-HR"/>
        </w:rPr>
        <w:t xml:space="preserve"> kt CO</w:t>
      </w:r>
      <w:r w:rsidRPr="000063FC">
        <w:rPr>
          <w:rFonts w:cs="Arial"/>
          <w:color w:val="000000"/>
          <w:vertAlign w:val="subscript"/>
          <w:lang w:eastAsia="hr-HR"/>
        </w:rPr>
        <w:t>2</w:t>
      </w:r>
      <w:r w:rsidRPr="000063FC">
        <w:rPr>
          <w:rFonts w:cs="Arial"/>
          <w:color w:val="000000"/>
          <w:lang w:eastAsia="hr-HR"/>
        </w:rPr>
        <w:t>-ekv.</w:t>
      </w:r>
    </w:p>
    <w:p w:rsidR="00BC341E" w:rsidRPr="000063FC" w:rsidRDefault="008B2E49">
      <w:pPr>
        <w:pStyle w:val="Heading3"/>
      </w:pPr>
      <w:bookmarkStart w:id="109" w:name="_Toc254010186"/>
      <w:r w:rsidRPr="000063FC">
        <w:t>EMISIJE</w:t>
      </w:r>
      <w:r w:rsidR="00D11AD4" w:rsidRPr="000063FC">
        <w:t xml:space="preserve"> CO</w:t>
      </w:r>
      <w:r w:rsidR="00D11AD4" w:rsidRPr="000063FC">
        <w:rPr>
          <w:vertAlign w:val="subscript"/>
        </w:rPr>
        <w:t>2</w:t>
      </w:r>
      <w:r w:rsidR="00D11AD4" w:rsidRPr="000063FC">
        <w:t xml:space="preserve"> IZ</w:t>
      </w:r>
      <w:r w:rsidRPr="000063FC">
        <w:t xml:space="preserve"> </w:t>
      </w:r>
      <w:r w:rsidR="00691844" w:rsidRPr="000063FC">
        <w:t>SEKTORA PROMET</w:t>
      </w:r>
      <w:r w:rsidR="00D11AD4" w:rsidRPr="000063FC">
        <w:t>A GRADA ZAGREBA</w:t>
      </w:r>
      <w:bookmarkEnd w:id="109"/>
    </w:p>
    <w:p w:rsidR="00D11AD4" w:rsidRPr="000063FC" w:rsidRDefault="00D11AD4" w:rsidP="00D11AD4">
      <w:pPr>
        <w:pStyle w:val="NoSpacing"/>
      </w:pPr>
      <w:r w:rsidRPr="000063FC">
        <w:t>Referentni inventar emisija CO</w:t>
      </w:r>
      <w:r w:rsidRPr="000063FC">
        <w:rPr>
          <w:vertAlign w:val="subscript"/>
        </w:rPr>
        <w:t>2</w:t>
      </w:r>
      <w:r w:rsidRPr="000063FC">
        <w:t xml:space="preserve"> iz sektora prometa Grada Zagreba podijeljen je na tri osnovna podsektora: </w:t>
      </w:r>
    </w:p>
    <w:p w:rsidR="00D11AD4" w:rsidRPr="000063FC" w:rsidRDefault="00D11AD4" w:rsidP="00D11AD4">
      <w:pPr>
        <w:pStyle w:val="ListParagraph"/>
        <w:numPr>
          <w:ilvl w:val="0"/>
          <w:numId w:val="14"/>
        </w:numPr>
        <w:spacing w:after="0" w:line="240" w:lineRule="auto"/>
      </w:pPr>
      <w:r w:rsidRPr="000063FC">
        <w:t>emisije CO</w:t>
      </w:r>
      <w:r w:rsidRPr="000063FC">
        <w:rPr>
          <w:vertAlign w:val="subscript"/>
        </w:rPr>
        <w:t>2</w:t>
      </w:r>
      <w:r w:rsidRPr="000063FC">
        <w:t xml:space="preserve"> vozila u vlasništvu Grada;</w:t>
      </w:r>
    </w:p>
    <w:p w:rsidR="00D11AD4" w:rsidRPr="000063FC" w:rsidRDefault="00D11AD4" w:rsidP="00D11AD4">
      <w:pPr>
        <w:pStyle w:val="ListParagraph"/>
        <w:numPr>
          <w:ilvl w:val="0"/>
          <w:numId w:val="14"/>
        </w:numPr>
        <w:spacing w:after="0" w:line="240" w:lineRule="auto"/>
      </w:pPr>
      <w:r w:rsidRPr="000063FC">
        <w:t>emisije CO</w:t>
      </w:r>
      <w:r w:rsidRPr="000063FC">
        <w:rPr>
          <w:vertAlign w:val="subscript"/>
        </w:rPr>
        <w:t xml:space="preserve">2 </w:t>
      </w:r>
      <w:r w:rsidRPr="000063FC">
        <w:t xml:space="preserve"> javnog prijevoza;</w:t>
      </w:r>
    </w:p>
    <w:p w:rsidR="00D11AD4" w:rsidRPr="000063FC" w:rsidRDefault="00D11AD4" w:rsidP="00D11AD4">
      <w:pPr>
        <w:pStyle w:val="ListParagraph"/>
        <w:numPr>
          <w:ilvl w:val="0"/>
          <w:numId w:val="14"/>
        </w:numPr>
        <w:spacing w:after="0" w:line="240" w:lineRule="auto"/>
      </w:pPr>
      <w:r w:rsidRPr="000063FC">
        <w:t>emisije CO</w:t>
      </w:r>
      <w:r w:rsidRPr="000063FC">
        <w:rPr>
          <w:vertAlign w:val="subscript"/>
        </w:rPr>
        <w:t xml:space="preserve">2  </w:t>
      </w:r>
      <w:r w:rsidRPr="000063FC">
        <w:t>osobnih i komercijalnih vozila.</w:t>
      </w:r>
    </w:p>
    <w:p w:rsidR="00D11AD4" w:rsidRPr="000063FC" w:rsidRDefault="00D11AD4">
      <w:pPr>
        <w:spacing w:line="276" w:lineRule="auto"/>
        <w:rPr>
          <w:szCs w:val="22"/>
        </w:rPr>
      </w:pPr>
    </w:p>
    <w:p w:rsidR="00BC341E" w:rsidRPr="000063FC" w:rsidRDefault="00F56931">
      <w:pPr>
        <w:pStyle w:val="Heading4"/>
      </w:pPr>
      <w:bookmarkStart w:id="110" w:name="_Toc252438018"/>
      <w:bookmarkStart w:id="111" w:name="_Toc252438142"/>
      <w:bookmarkStart w:id="112" w:name="_Toc252438176"/>
      <w:bookmarkStart w:id="113" w:name="_Toc252438232"/>
      <w:bookmarkStart w:id="114" w:name="_Toc252438265"/>
      <w:bookmarkStart w:id="115" w:name="_Toc252438393"/>
      <w:bookmarkStart w:id="116" w:name="_Toc252438513"/>
      <w:bookmarkStart w:id="117" w:name="_Toc252438536"/>
      <w:bookmarkStart w:id="118" w:name="_Toc252442184"/>
      <w:bookmarkStart w:id="119" w:name="_Toc252451776"/>
      <w:bookmarkStart w:id="120" w:name="_Toc252451838"/>
      <w:bookmarkStart w:id="121" w:name="_Toc252453354"/>
      <w:bookmarkStart w:id="122" w:name="_Toc252528562"/>
      <w:bookmarkStart w:id="123" w:name="_Toc252529062"/>
      <w:bookmarkStart w:id="124" w:name="_Toc252543564"/>
      <w:bookmarkStart w:id="125" w:name="_Toc252543626"/>
      <w:bookmarkStart w:id="126" w:name="_Toc252543670"/>
      <w:bookmarkStart w:id="127" w:name="_Toc252861243"/>
      <w:bookmarkStart w:id="128" w:name="_Toc252861304"/>
      <w:bookmarkStart w:id="129" w:name="_Toc252861364"/>
      <w:bookmarkStart w:id="130" w:name="_Toc252861424"/>
      <w:bookmarkStart w:id="131" w:name="_Toc252861484"/>
      <w:bookmarkStart w:id="132" w:name="_Toc252861545"/>
      <w:bookmarkStart w:id="133" w:name="_Toc252861605"/>
      <w:bookmarkStart w:id="134" w:name="_Toc252861666"/>
      <w:bookmarkStart w:id="135" w:name="_Toc252861726"/>
      <w:bookmarkStart w:id="136" w:name="_Toc252861786"/>
      <w:bookmarkStart w:id="137" w:name="_Toc252872599"/>
      <w:bookmarkStart w:id="138" w:name="_Toc25401018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0063FC">
        <w:t>Proračun emisije primjenom modela COPERT III</w:t>
      </w:r>
      <w:bookmarkEnd w:id="138"/>
    </w:p>
    <w:p w:rsidR="00D11AD4" w:rsidRPr="000063FC" w:rsidRDefault="00D11AD4" w:rsidP="00D11AD4">
      <w:pPr>
        <w:pStyle w:val="NoSpacing"/>
        <w:jc w:val="both"/>
      </w:pPr>
      <w:r w:rsidRPr="000063FC">
        <w:t>U urbanim je sredinama sektor prometa, osobito cestovni promet, najznačajniji čimbenik onečišćenja zraka, koji u velikoj mjeri pridonosi stvaranju stakleničkih plinova - CO</w:t>
      </w:r>
      <w:r w:rsidRPr="000063FC">
        <w:rPr>
          <w:vertAlign w:val="subscript"/>
        </w:rPr>
        <w:t>2</w:t>
      </w:r>
      <w:r w:rsidRPr="000063FC">
        <w:t>, CH</w:t>
      </w:r>
      <w:r w:rsidRPr="000063FC">
        <w:rPr>
          <w:vertAlign w:val="subscript"/>
        </w:rPr>
        <w:t>4</w:t>
      </w:r>
      <w:r w:rsidRPr="000063FC">
        <w:t xml:space="preserve"> i N</w:t>
      </w:r>
      <w:r w:rsidRPr="000063FC">
        <w:rPr>
          <w:vertAlign w:val="subscript"/>
        </w:rPr>
        <w:t>2</w:t>
      </w:r>
      <w:r w:rsidRPr="000063FC">
        <w:t>O. Emisija CO</w:t>
      </w:r>
      <w:r w:rsidRPr="000063FC">
        <w:rPr>
          <w:vertAlign w:val="subscript"/>
        </w:rPr>
        <w:t>2</w:t>
      </w:r>
      <w:r w:rsidRPr="000063FC">
        <w:t xml:space="preserve"> iz motornih vozila ovisna je o brojnim parametrima od kojih su glavni kakvoća goriva, konstrukcijske izvedbe motora i vozila, režim vožnje, vanjski meteorološki uvjeti, održavanje motora i njegova starosti, i dr.</w:t>
      </w:r>
    </w:p>
    <w:p w:rsidR="0014671D" w:rsidRDefault="0014671D">
      <w:pPr>
        <w:tabs>
          <w:tab w:val="clear" w:pos="720"/>
          <w:tab w:val="clear" w:pos="6912"/>
        </w:tabs>
        <w:spacing w:line="240" w:lineRule="auto"/>
        <w:jc w:val="left"/>
        <w:rPr>
          <w:szCs w:val="22"/>
        </w:rPr>
      </w:pPr>
      <w:r>
        <w:rPr>
          <w:szCs w:val="22"/>
        </w:rPr>
        <w:br w:type="page"/>
      </w:r>
    </w:p>
    <w:p w:rsidR="00B23695" w:rsidRPr="000063FC" w:rsidRDefault="008B2E49">
      <w:pPr>
        <w:spacing w:line="276" w:lineRule="auto"/>
        <w:rPr>
          <w:szCs w:val="22"/>
        </w:rPr>
      </w:pPr>
      <w:r w:rsidRPr="000063FC">
        <w:rPr>
          <w:szCs w:val="22"/>
        </w:rPr>
        <w:lastRenderedPageBreak/>
        <w:t xml:space="preserve">Proračun emisije stakleničkih plinova iz cestovnog prometa izrađen je uz nekoliko pretpostavki: </w:t>
      </w:r>
    </w:p>
    <w:p w:rsidR="00B23695" w:rsidRPr="000063FC" w:rsidRDefault="008B2E49" w:rsidP="00C20113">
      <w:pPr>
        <w:pStyle w:val="ListParagraph"/>
        <w:numPr>
          <w:ilvl w:val="0"/>
          <w:numId w:val="11"/>
        </w:numPr>
        <w:spacing w:after="0"/>
        <w:ind w:left="714" w:hanging="357"/>
        <w:jc w:val="both"/>
      </w:pPr>
      <w:r w:rsidRPr="000063FC">
        <w:t>Klasifikacija cestovnih vozila (osobna vozila, teretna vozila, međugradski autobusi te mopedi i motocikli) Grada Zagreba napravljena je prema klasifikaciji vozila Republike Hrvatske</w:t>
      </w:r>
      <w:r w:rsidRPr="000063FC">
        <w:rPr>
          <w:vertAlign w:val="superscript"/>
        </w:rPr>
        <w:footnoteReference w:id="13"/>
      </w:r>
      <w:r w:rsidRPr="000063FC">
        <w:t xml:space="preserve">. Pretpostavljeno je da su udjeli pojedinih klasa u ukupnom broju vozila Grada Zagreba jednaki udjelima tih klasa u Republici Hrvatskoj. Podaci o registriranim vozilima po klasama za Grad Zagreb nisu bili dostupni. </w:t>
      </w:r>
    </w:p>
    <w:p w:rsidR="00B23695" w:rsidRPr="000063FC" w:rsidRDefault="008B2E49" w:rsidP="00C20113">
      <w:pPr>
        <w:pStyle w:val="ListParagraph"/>
        <w:numPr>
          <w:ilvl w:val="0"/>
          <w:numId w:val="11"/>
        </w:numPr>
        <w:spacing w:after="0"/>
        <w:ind w:left="714" w:hanging="357"/>
        <w:jc w:val="both"/>
      </w:pPr>
      <w:r w:rsidRPr="000063FC">
        <w:t>Klasifikacija gradskih autobusa izvršena ja na temelju raspoloživih podataka ZET-a o prosječnoj starosti vozila iskazanoj za svaki pojedini model</w:t>
      </w:r>
      <w:r w:rsidRPr="000063FC">
        <w:rPr>
          <w:vertAlign w:val="superscript"/>
        </w:rPr>
        <w:footnoteReference w:id="14"/>
      </w:r>
      <w:r w:rsidRPr="000063FC">
        <w:rPr>
          <w:vertAlign w:val="superscript"/>
        </w:rPr>
        <w:t>.</w:t>
      </w:r>
    </w:p>
    <w:p w:rsidR="00B23695" w:rsidRPr="000063FC" w:rsidRDefault="008B2E49" w:rsidP="00C20113">
      <w:pPr>
        <w:pStyle w:val="ListParagraph"/>
        <w:numPr>
          <w:ilvl w:val="0"/>
          <w:numId w:val="11"/>
        </w:numPr>
        <w:spacing w:after="0"/>
        <w:ind w:left="714" w:hanging="357"/>
        <w:jc w:val="both"/>
      </w:pPr>
      <w:r w:rsidRPr="000063FC">
        <w:t>Podaci o strukturi cestovnog prometa u Republici Hrvatskoj utvrđeni su temeljem podataka dobivenih od strane Stručne službe MUP-a.</w:t>
      </w:r>
    </w:p>
    <w:p w:rsidR="00B23695" w:rsidRPr="000063FC" w:rsidRDefault="008B2E49" w:rsidP="00C20113">
      <w:pPr>
        <w:pStyle w:val="ListParagraph"/>
        <w:numPr>
          <w:ilvl w:val="0"/>
          <w:numId w:val="11"/>
        </w:numPr>
        <w:spacing w:after="0"/>
        <w:ind w:left="714" w:hanging="357"/>
        <w:jc w:val="both"/>
      </w:pPr>
      <w:r w:rsidRPr="000063FC">
        <w:t>Podaci o prometnoj aktivnosti (brojanje prometa) utvrđeni su na temelju “Prometne studije Grada Zagreba” kojeg su izradile tvrtke MVA (V.Britanija) i Prometing</w:t>
      </w:r>
      <w:r w:rsidRPr="000063FC">
        <w:rPr>
          <w:vertAlign w:val="superscript"/>
        </w:rPr>
        <w:footnoteReference w:id="15"/>
      </w:r>
      <w:r w:rsidRPr="000063FC">
        <w:t xml:space="preserve">. Na osnovu rezultata anketiranja vozača i provedenog istraživanja, koje je uključivalo približno 250 km vožnje osobnim automobilom opremljenim putnim računalom na urbanom području grada dobiveni su rezultati koji su dani u tablici </w:t>
      </w:r>
      <w:r w:rsidR="008E1FA8" w:rsidRPr="000063FC">
        <w:t>2.13</w:t>
      </w:r>
      <w:r w:rsidRPr="000063FC">
        <w:t>.</w:t>
      </w:r>
    </w:p>
    <w:p w:rsidR="00B23695" w:rsidRPr="000063FC" w:rsidRDefault="008B2E49" w:rsidP="00C20113">
      <w:pPr>
        <w:pStyle w:val="ListParagraph"/>
        <w:numPr>
          <w:ilvl w:val="0"/>
          <w:numId w:val="11"/>
        </w:numPr>
        <w:spacing w:after="0"/>
        <w:ind w:left="714" w:hanging="357"/>
        <w:jc w:val="both"/>
      </w:pPr>
      <w:r w:rsidRPr="000063FC">
        <w:t>Srednja duljina putovanja utvrđena je analizom rezultata provedene ankete domaćinstava na području Grada Zagreba i iznosi 9.3 km</w:t>
      </w:r>
      <w:r w:rsidRPr="000063FC">
        <w:rPr>
          <w:vertAlign w:val="superscript"/>
        </w:rPr>
        <w:footnoteReference w:id="16"/>
      </w:r>
      <w:r w:rsidRPr="000063FC">
        <w:t>.</w:t>
      </w:r>
    </w:p>
    <w:p w:rsidR="00B23695" w:rsidRPr="000063FC" w:rsidRDefault="008B2E49" w:rsidP="00C20113">
      <w:pPr>
        <w:pStyle w:val="ListParagraph"/>
        <w:numPr>
          <w:ilvl w:val="0"/>
          <w:numId w:val="11"/>
        </w:numPr>
        <w:spacing w:after="0"/>
        <w:ind w:left="714" w:hanging="357"/>
        <w:jc w:val="both"/>
      </w:pPr>
      <w:r w:rsidRPr="000063FC">
        <w:t>Koeficijent opterećenja teretnih vozila je značajka koja definira ispunjenost vozila teretom koji može prevoziti. Ako je teretno vozilo u svom režimu vožnje cijelo vrijeme potpuno ispunjeno teretom koeficijent iznosi 1. U proračunu je, prema uputama modela, uzeta vrijednost 0,5 za pretpostavljen prosječan režim vožnje teretnog vozila između polazišta i odredišta (ukrcaj tereta na polazištu-koeficijent iznosi 1, iskrcaj tereta na odredištu-koeficijent iznosi 0).</w:t>
      </w:r>
    </w:p>
    <w:p w:rsidR="00B23695" w:rsidRPr="000063FC" w:rsidRDefault="008B2E49" w:rsidP="00C20113">
      <w:pPr>
        <w:pStyle w:val="ListParagraph"/>
        <w:numPr>
          <w:ilvl w:val="0"/>
          <w:numId w:val="11"/>
        </w:numPr>
        <w:spacing w:after="0"/>
        <w:ind w:left="714" w:hanging="357"/>
        <w:jc w:val="both"/>
      </w:pPr>
      <w:r w:rsidRPr="000063FC">
        <w:t>Podaci o ukupnom broju kilometara koje naprave međugradski autobusi su korigirani uz pretpostavku da svi spomenuti autobusi imaju polazište na Glavom Kolodvoru te da na području Grada dnevno pređu 20 km.</w:t>
      </w:r>
    </w:p>
    <w:p w:rsidR="00B23695" w:rsidRPr="000063FC" w:rsidRDefault="008B2E49" w:rsidP="00C20113">
      <w:pPr>
        <w:pStyle w:val="ListParagraph"/>
        <w:numPr>
          <w:ilvl w:val="0"/>
          <w:numId w:val="11"/>
        </w:numPr>
        <w:spacing w:after="0"/>
        <w:ind w:left="714" w:hanging="357"/>
        <w:jc w:val="both"/>
      </w:pPr>
      <w:r w:rsidRPr="000063FC">
        <w:t>Podaci o strukturi, ukupnoj potrošnji goriva, emisijskim faktorima te emisijama utvrđeni su primjenom COPERT III modela.</w:t>
      </w:r>
    </w:p>
    <w:p w:rsidR="0014671D" w:rsidRDefault="0014671D">
      <w:pPr>
        <w:tabs>
          <w:tab w:val="clear" w:pos="720"/>
          <w:tab w:val="clear" w:pos="6912"/>
        </w:tabs>
        <w:spacing w:line="240" w:lineRule="auto"/>
        <w:jc w:val="left"/>
      </w:pPr>
      <w:r>
        <w:br w:type="page"/>
      </w:r>
    </w:p>
    <w:p w:rsidR="00BC341E" w:rsidRPr="000063FC" w:rsidRDefault="008B2E49" w:rsidP="00B33E2F">
      <w:pPr>
        <w:pStyle w:val="Heading6"/>
      </w:pPr>
      <w:bookmarkStart w:id="139" w:name="_Toc254010242"/>
      <w:r w:rsidRPr="000063FC">
        <w:lastRenderedPageBreak/>
        <w:t xml:space="preserve">Tablica </w:t>
      </w:r>
      <w:r w:rsidR="00091508" w:rsidRPr="000063FC">
        <w:t>2.13</w:t>
      </w:r>
      <w:r w:rsidRPr="000063FC">
        <w:t>: Raspodjela uvjeta vožnje u Gradu Zagrebu</w:t>
      </w:r>
      <w:bookmarkEnd w:id="139"/>
    </w:p>
    <w:tbl>
      <w:tblPr>
        <w:tblW w:w="9072" w:type="dxa"/>
        <w:tblInd w:w="108"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000" w:firstRow="0" w:lastRow="0" w:firstColumn="0" w:lastColumn="0" w:noHBand="0" w:noVBand="0"/>
      </w:tblPr>
      <w:tblGrid>
        <w:gridCol w:w="1701"/>
        <w:gridCol w:w="993"/>
        <w:gridCol w:w="850"/>
        <w:gridCol w:w="709"/>
        <w:gridCol w:w="709"/>
        <w:gridCol w:w="708"/>
        <w:gridCol w:w="567"/>
        <w:gridCol w:w="709"/>
        <w:gridCol w:w="709"/>
        <w:gridCol w:w="709"/>
        <w:gridCol w:w="708"/>
      </w:tblGrid>
      <w:tr w:rsidR="008B2E49" w:rsidRPr="000063FC" w:rsidTr="007D4BA3">
        <w:trPr>
          <w:trHeight w:val="283"/>
        </w:trPr>
        <w:tc>
          <w:tcPr>
            <w:tcW w:w="1701" w:type="dxa"/>
            <w:vMerge w:val="restart"/>
            <w:tcBorders>
              <w:top w:val="single" w:sz="4" w:space="0" w:color="4BACC6" w:themeColor="accent5"/>
              <w:left w:val="single" w:sz="4" w:space="0" w:color="4BACC6" w:themeColor="accent5"/>
              <w:right w:val="single" w:sz="4" w:space="0" w:color="FFFFFF"/>
            </w:tcBorders>
            <w:shd w:val="clear" w:color="auto" w:fill="4BACC6"/>
            <w:vAlign w:val="center"/>
          </w:tcPr>
          <w:p w:rsidR="00B23695" w:rsidRPr="000063FC" w:rsidRDefault="008B2E49">
            <w:pPr>
              <w:spacing w:line="276" w:lineRule="auto"/>
              <w:jc w:val="center"/>
              <w:rPr>
                <w:b/>
                <w:color w:val="FFFFFF"/>
                <w:sz w:val="20"/>
              </w:rPr>
            </w:pPr>
            <w:r w:rsidRPr="000063FC">
              <w:rPr>
                <w:b/>
                <w:color w:val="FFFFFF"/>
                <w:sz w:val="20"/>
              </w:rPr>
              <w:t>Vrsta cestovnog vozila</w:t>
            </w:r>
          </w:p>
        </w:tc>
        <w:tc>
          <w:tcPr>
            <w:tcW w:w="993" w:type="dxa"/>
            <w:vMerge w:val="restart"/>
            <w:tcBorders>
              <w:top w:val="single" w:sz="4" w:space="0" w:color="4BACC6" w:themeColor="accent5"/>
              <w:left w:val="single" w:sz="4" w:space="0" w:color="FFFFFF"/>
              <w:right w:val="single" w:sz="4" w:space="0" w:color="FFFFFF"/>
            </w:tcBorders>
            <w:shd w:val="clear" w:color="auto" w:fill="4BACC6"/>
            <w:vAlign w:val="center"/>
          </w:tcPr>
          <w:p w:rsidR="00B23695" w:rsidRPr="000063FC" w:rsidRDefault="008B2E49">
            <w:pPr>
              <w:spacing w:line="276" w:lineRule="auto"/>
              <w:jc w:val="center"/>
              <w:rPr>
                <w:b/>
                <w:color w:val="FFFFFF"/>
                <w:sz w:val="20"/>
              </w:rPr>
            </w:pPr>
            <w:r w:rsidRPr="000063FC">
              <w:rPr>
                <w:b/>
                <w:color w:val="FFFFFF"/>
                <w:sz w:val="20"/>
              </w:rPr>
              <w:t>Prijeđeni put km/god</w:t>
            </w:r>
          </w:p>
        </w:tc>
        <w:tc>
          <w:tcPr>
            <w:tcW w:w="2268" w:type="dxa"/>
            <w:gridSpan w:val="3"/>
            <w:tcBorders>
              <w:top w:val="single" w:sz="4" w:space="0" w:color="4BACC6" w:themeColor="accent5"/>
              <w:left w:val="single" w:sz="4" w:space="0" w:color="FFFFFF"/>
              <w:bottom w:val="single" w:sz="4" w:space="0" w:color="FFFFFF"/>
              <w:right w:val="single" w:sz="4" w:space="0" w:color="FFFFFF"/>
            </w:tcBorders>
            <w:shd w:val="clear" w:color="auto" w:fill="4BACC6"/>
            <w:vAlign w:val="center"/>
          </w:tcPr>
          <w:p w:rsidR="00B23695" w:rsidRPr="000063FC" w:rsidRDefault="008B2E49">
            <w:pPr>
              <w:spacing w:line="276" w:lineRule="auto"/>
              <w:jc w:val="center"/>
              <w:rPr>
                <w:b/>
                <w:color w:val="FFFFFF"/>
                <w:sz w:val="20"/>
              </w:rPr>
            </w:pPr>
            <w:r w:rsidRPr="000063FC">
              <w:rPr>
                <w:b/>
                <w:color w:val="FFFFFF"/>
                <w:sz w:val="20"/>
              </w:rPr>
              <w:t>Udio prijeđenog puta %</w:t>
            </w:r>
          </w:p>
        </w:tc>
        <w:tc>
          <w:tcPr>
            <w:tcW w:w="4110" w:type="dxa"/>
            <w:gridSpan w:val="6"/>
            <w:tcBorders>
              <w:top w:val="single" w:sz="4" w:space="0" w:color="4BACC6" w:themeColor="accent5"/>
              <w:left w:val="single" w:sz="4" w:space="0" w:color="FFFFFF"/>
              <w:bottom w:val="single" w:sz="4" w:space="0" w:color="FFFFFF"/>
              <w:right w:val="single" w:sz="4" w:space="0" w:color="4BACC6" w:themeColor="accent5"/>
            </w:tcBorders>
            <w:shd w:val="clear" w:color="auto" w:fill="4BACC6"/>
            <w:vAlign w:val="center"/>
          </w:tcPr>
          <w:p w:rsidR="00B23695" w:rsidRPr="000063FC" w:rsidRDefault="008B2E49">
            <w:pPr>
              <w:spacing w:line="276" w:lineRule="auto"/>
              <w:jc w:val="center"/>
              <w:rPr>
                <w:b/>
                <w:color w:val="FFFFFF"/>
                <w:sz w:val="20"/>
              </w:rPr>
            </w:pPr>
            <w:r w:rsidRPr="000063FC">
              <w:rPr>
                <w:b/>
                <w:color w:val="FFFFFF"/>
                <w:sz w:val="20"/>
              </w:rPr>
              <w:t>Prosječna brzina km/h</w:t>
            </w:r>
          </w:p>
        </w:tc>
      </w:tr>
      <w:tr w:rsidR="008B2E49" w:rsidRPr="000063FC" w:rsidTr="007D4BA3">
        <w:tblPrEx>
          <w:tblCellMar>
            <w:left w:w="30" w:type="dxa"/>
            <w:right w:w="30" w:type="dxa"/>
          </w:tblCellMar>
        </w:tblPrEx>
        <w:trPr>
          <w:trHeight w:val="283"/>
        </w:trPr>
        <w:tc>
          <w:tcPr>
            <w:tcW w:w="1701" w:type="dxa"/>
            <w:vMerge/>
            <w:tcBorders>
              <w:left w:val="single" w:sz="4" w:space="0" w:color="4BACC6" w:themeColor="accent5"/>
              <w:right w:val="single" w:sz="4" w:space="0" w:color="FFFFFF"/>
            </w:tcBorders>
            <w:shd w:val="clear" w:color="auto" w:fill="4BACC6"/>
            <w:vAlign w:val="center"/>
          </w:tcPr>
          <w:p w:rsidR="00B23695" w:rsidRPr="000063FC" w:rsidRDefault="00B23695">
            <w:pPr>
              <w:spacing w:line="276" w:lineRule="auto"/>
              <w:jc w:val="center"/>
              <w:rPr>
                <w:b/>
                <w:snapToGrid w:val="0"/>
                <w:color w:val="FFFFFF"/>
                <w:sz w:val="20"/>
              </w:rPr>
            </w:pPr>
          </w:p>
        </w:tc>
        <w:tc>
          <w:tcPr>
            <w:tcW w:w="993" w:type="dxa"/>
            <w:vMerge/>
            <w:tcBorders>
              <w:left w:val="single" w:sz="4" w:space="0" w:color="FFFFFF"/>
              <w:right w:val="single" w:sz="4" w:space="0" w:color="FFFFFF"/>
            </w:tcBorders>
            <w:shd w:val="clear" w:color="auto" w:fill="4BACC6"/>
            <w:vAlign w:val="center"/>
          </w:tcPr>
          <w:p w:rsidR="00B23695" w:rsidRPr="000063FC" w:rsidRDefault="00B23695">
            <w:pPr>
              <w:spacing w:line="276" w:lineRule="auto"/>
              <w:jc w:val="center"/>
              <w:rPr>
                <w:b/>
                <w:snapToGrid w:val="0"/>
                <w:color w:val="FFFFFF"/>
                <w:sz w:val="20"/>
              </w:rPr>
            </w:pPr>
          </w:p>
        </w:tc>
        <w:tc>
          <w:tcPr>
            <w:tcW w:w="850" w:type="dxa"/>
            <w:vMerge w:val="restart"/>
            <w:tcBorders>
              <w:top w:val="single" w:sz="4" w:space="0" w:color="FFFFFF"/>
              <w:left w:val="single" w:sz="4" w:space="0" w:color="FFFFFF"/>
              <w:right w:val="single" w:sz="4" w:space="0" w:color="FFFFFF"/>
            </w:tcBorders>
            <w:shd w:val="clear" w:color="auto" w:fill="4BACC6"/>
            <w:vAlign w:val="center"/>
          </w:tcPr>
          <w:p w:rsidR="00B23695" w:rsidRPr="000063FC" w:rsidRDefault="008B2E49">
            <w:pPr>
              <w:spacing w:line="276" w:lineRule="auto"/>
              <w:jc w:val="center"/>
              <w:rPr>
                <w:b/>
                <w:snapToGrid w:val="0"/>
                <w:color w:val="FFFFFF"/>
                <w:sz w:val="20"/>
              </w:rPr>
            </w:pPr>
            <w:r w:rsidRPr="000063FC">
              <w:rPr>
                <w:b/>
                <w:snapToGrid w:val="0"/>
                <w:color w:val="FFFFFF"/>
                <w:sz w:val="20"/>
              </w:rPr>
              <w:t>Urb</w:t>
            </w:r>
          </w:p>
        </w:tc>
        <w:tc>
          <w:tcPr>
            <w:tcW w:w="709" w:type="dxa"/>
            <w:vMerge w:val="restart"/>
            <w:tcBorders>
              <w:top w:val="single" w:sz="4" w:space="0" w:color="FFFFFF"/>
              <w:left w:val="single" w:sz="4" w:space="0" w:color="FFFFFF"/>
              <w:right w:val="single" w:sz="4" w:space="0" w:color="FFFFFF"/>
            </w:tcBorders>
            <w:shd w:val="clear" w:color="auto" w:fill="4BACC6"/>
            <w:vAlign w:val="center"/>
          </w:tcPr>
          <w:p w:rsidR="00B23695" w:rsidRPr="000063FC" w:rsidRDefault="008B2E49">
            <w:pPr>
              <w:spacing w:line="276" w:lineRule="auto"/>
              <w:jc w:val="center"/>
              <w:rPr>
                <w:b/>
                <w:snapToGrid w:val="0"/>
                <w:color w:val="FFFFFF"/>
                <w:sz w:val="20"/>
              </w:rPr>
            </w:pPr>
            <w:r w:rsidRPr="000063FC">
              <w:rPr>
                <w:b/>
                <w:snapToGrid w:val="0"/>
                <w:color w:val="FFFFFF"/>
                <w:sz w:val="20"/>
              </w:rPr>
              <w:t>Rur.</w:t>
            </w:r>
          </w:p>
        </w:tc>
        <w:tc>
          <w:tcPr>
            <w:tcW w:w="709" w:type="dxa"/>
            <w:vMerge w:val="restart"/>
            <w:tcBorders>
              <w:top w:val="single" w:sz="4" w:space="0" w:color="FFFFFF"/>
              <w:left w:val="single" w:sz="4" w:space="0" w:color="FFFFFF"/>
              <w:right w:val="single" w:sz="4" w:space="0" w:color="FFFFFF"/>
            </w:tcBorders>
            <w:shd w:val="clear" w:color="auto" w:fill="4BACC6"/>
            <w:vAlign w:val="center"/>
          </w:tcPr>
          <w:p w:rsidR="00B23695" w:rsidRPr="000063FC" w:rsidRDefault="008B2E49">
            <w:pPr>
              <w:spacing w:line="276" w:lineRule="auto"/>
              <w:jc w:val="center"/>
              <w:rPr>
                <w:b/>
                <w:snapToGrid w:val="0"/>
                <w:color w:val="FFFFFF"/>
                <w:sz w:val="20"/>
              </w:rPr>
            </w:pPr>
            <w:r w:rsidRPr="000063FC">
              <w:rPr>
                <w:b/>
                <w:snapToGrid w:val="0"/>
                <w:color w:val="FFFFFF"/>
                <w:sz w:val="20"/>
              </w:rPr>
              <w:t>Aut.</w:t>
            </w:r>
          </w:p>
        </w:tc>
        <w:tc>
          <w:tcPr>
            <w:tcW w:w="1275" w:type="dxa"/>
            <w:gridSpan w:val="2"/>
            <w:tcBorders>
              <w:top w:val="single" w:sz="4" w:space="0" w:color="FFFFFF"/>
              <w:left w:val="single" w:sz="4" w:space="0" w:color="FFFFFF"/>
              <w:bottom w:val="single" w:sz="4" w:space="0" w:color="FFFFFF"/>
              <w:right w:val="single" w:sz="4" w:space="0" w:color="FFFFFF"/>
            </w:tcBorders>
            <w:shd w:val="clear" w:color="auto" w:fill="4BACC6"/>
            <w:vAlign w:val="center"/>
          </w:tcPr>
          <w:p w:rsidR="00B23695" w:rsidRPr="000063FC" w:rsidRDefault="008B2E49">
            <w:pPr>
              <w:spacing w:line="276" w:lineRule="auto"/>
              <w:jc w:val="center"/>
              <w:rPr>
                <w:b/>
                <w:snapToGrid w:val="0"/>
                <w:color w:val="FFFFFF"/>
                <w:sz w:val="20"/>
              </w:rPr>
            </w:pPr>
            <w:r w:rsidRPr="000063FC">
              <w:rPr>
                <w:b/>
                <w:snapToGrid w:val="0"/>
                <w:color w:val="FFFFFF"/>
                <w:sz w:val="20"/>
              </w:rPr>
              <w:t>Urb</w:t>
            </w:r>
          </w:p>
        </w:tc>
        <w:tc>
          <w:tcPr>
            <w:tcW w:w="1418" w:type="dxa"/>
            <w:gridSpan w:val="2"/>
            <w:tcBorders>
              <w:top w:val="single" w:sz="4" w:space="0" w:color="FFFFFF"/>
              <w:left w:val="single" w:sz="4" w:space="0" w:color="FFFFFF"/>
              <w:bottom w:val="single" w:sz="4" w:space="0" w:color="FFFFFF"/>
              <w:right w:val="single" w:sz="4" w:space="0" w:color="FFFFFF"/>
            </w:tcBorders>
            <w:shd w:val="clear" w:color="auto" w:fill="4BACC6"/>
            <w:vAlign w:val="center"/>
          </w:tcPr>
          <w:p w:rsidR="00B23695" w:rsidRPr="000063FC" w:rsidRDefault="008B2E49">
            <w:pPr>
              <w:spacing w:line="276" w:lineRule="auto"/>
              <w:jc w:val="center"/>
              <w:rPr>
                <w:b/>
                <w:snapToGrid w:val="0"/>
                <w:color w:val="FFFFFF"/>
                <w:sz w:val="20"/>
              </w:rPr>
            </w:pPr>
            <w:r w:rsidRPr="000063FC">
              <w:rPr>
                <w:b/>
                <w:snapToGrid w:val="0"/>
                <w:color w:val="FFFFFF"/>
                <w:sz w:val="20"/>
              </w:rPr>
              <w:t>Rur.</w:t>
            </w:r>
          </w:p>
        </w:tc>
        <w:tc>
          <w:tcPr>
            <w:tcW w:w="1417" w:type="dxa"/>
            <w:gridSpan w:val="2"/>
            <w:tcBorders>
              <w:top w:val="single" w:sz="4" w:space="0" w:color="FFFFFF"/>
              <w:left w:val="single" w:sz="4" w:space="0" w:color="FFFFFF"/>
              <w:bottom w:val="single" w:sz="4" w:space="0" w:color="FFFFFF"/>
              <w:right w:val="single" w:sz="4" w:space="0" w:color="4BACC6" w:themeColor="accent5"/>
            </w:tcBorders>
            <w:shd w:val="clear" w:color="auto" w:fill="4BACC6"/>
            <w:vAlign w:val="center"/>
          </w:tcPr>
          <w:p w:rsidR="00B23695" w:rsidRPr="000063FC" w:rsidRDefault="008B2E49">
            <w:pPr>
              <w:spacing w:line="276" w:lineRule="auto"/>
              <w:jc w:val="center"/>
              <w:rPr>
                <w:b/>
                <w:snapToGrid w:val="0"/>
                <w:color w:val="FFFFFF"/>
                <w:sz w:val="20"/>
              </w:rPr>
            </w:pPr>
            <w:r w:rsidRPr="000063FC">
              <w:rPr>
                <w:b/>
                <w:snapToGrid w:val="0"/>
                <w:color w:val="FFFFFF"/>
                <w:sz w:val="20"/>
              </w:rPr>
              <w:t>Aut.</w:t>
            </w:r>
          </w:p>
        </w:tc>
      </w:tr>
      <w:tr w:rsidR="008B2E49" w:rsidRPr="000063FC" w:rsidTr="007D4BA3">
        <w:tblPrEx>
          <w:tblCellMar>
            <w:left w:w="30" w:type="dxa"/>
            <w:right w:w="30" w:type="dxa"/>
          </w:tblCellMar>
        </w:tblPrEx>
        <w:trPr>
          <w:trHeight w:val="283"/>
        </w:trPr>
        <w:tc>
          <w:tcPr>
            <w:tcW w:w="1701" w:type="dxa"/>
            <w:vMerge/>
            <w:tcBorders>
              <w:left w:val="single" w:sz="4" w:space="0" w:color="4BACC6" w:themeColor="accent5"/>
              <w:bottom w:val="single" w:sz="4" w:space="0" w:color="4BACC6" w:themeColor="accent5"/>
              <w:right w:val="single" w:sz="4" w:space="0" w:color="FFFFFF"/>
            </w:tcBorders>
            <w:shd w:val="clear" w:color="auto" w:fill="4BACC6"/>
            <w:vAlign w:val="center"/>
          </w:tcPr>
          <w:p w:rsidR="00B23695" w:rsidRPr="000063FC" w:rsidRDefault="00B23695">
            <w:pPr>
              <w:spacing w:line="276" w:lineRule="auto"/>
              <w:rPr>
                <w:b/>
                <w:snapToGrid w:val="0"/>
                <w:color w:val="FFFFFF"/>
                <w:sz w:val="20"/>
              </w:rPr>
            </w:pPr>
          </w:p>
        </w:tc>
        <w:tc>
          <w:tcPr>
            <w:tcW w:w="993" w:type="dxa"/>
            <w:vMerge/>
            <w:tcBorders>
              <w:left w:val="single" w:sz="4" w:space="0" w:color="FFFFFF"/>
              <w:bottom w:val="single" w:sz="4" w:space="0" w:color="4BACC6" w:themeColor="accent5"/>
              <w:right w:val="single" w:sz="4" w:space="0" w:color="FFFFFF"/>
            </w:tcBorders>
            <w:shd w:val="clear" w:color="auto" w:fill="4BACC6"/>
            <w:vAlign w:val="center"/>
          </w:tcPr>
          <w:p w:rsidR="00B23695" w:rsidRPr="000063FC" w:rsidRDefault="00B23695">
            <w:pPr>
              <w:spacing w:line="276" w:lineRule="auto"/>
              <w:jc w:val="center"/>
              <w:rPr>
                <w:b/>
                <w:snapToGrid w:val="0"/>
                <w:color w:val="FFFFFF"/>
                <w:sz w:val="20"/>
              </w:rPr>
            </w:pPr>
          </w:p>
        </w:tc>
        <w:tc>
          <w:tcPr>
            <w:tcW w:w="850" w:type="dxa"/>
            <w:vMerge/>
            <w:tcBorders>
              <w:left w:val="single" w:sz="4" w:space="0" w:color="FFFFFF"/>
              <w:bottom w:val="single" w:sz="4" w:space="0" w:color="4BACC6" w:themeColor="accent5"/>
              <w:right w:val="single" w:sz="4" w:space="0" w:color="FFFFFF"/>
            </w:tcBorders>
            <w:shd w:val="clear" w:color="auto" w:fill="4BACC6"/>
            <w:vAlign w:val="center"/>
          </w:tcPr>
          <w:p w:rsidR="00B23695" w:rsidRPr="000063FC" w:rsidRDefault="00B23695">
            <w:pPr>
              <w:spacing w:line="276" w:lineRule="auto"/>
              <w:jc w:val="center"/>
              <w:rPr>
                <w:b/>
                <w:snapToGrid w:val="0"/>
                <w:color w:val="FFFFFF"/>
                <w:sz w:val="20"/>
              </w:rPr>
            </w:pPr>
          </w:p>
        </w:tc>
        <w:tc>
          <w:tcPr>
            <w:tcW w:w="709" w:type="dxa"/>
            <w:vMerge/>
            <w:tcBorders>
              <w:left w:val="single" w:sz="4" w:space="0" w:color="FFFFFF"/>
              <w:bottom w:val="single" w:sz="4" w:space="0" w:color="4BACC6" w:themeColor="accent5"/>
              <w:right w:val="single" w:sz="4" w:space="0" w:color="FFFFFF"/>
            </w:tcBorders>
            <w:shd w:val="clear" w:color="auto" w:fill="4BACC6"/>
            <w:vAlign w:val="center"/>
          </w:tcPr>
          <w:p w:rsidR="00B23695" w:rsidRPr="000063FC" w:rsidRDefault="00B23695">
            <w:pPr>
              <w:spacing w:line="276" w:lineRule="auto"/>
              <w:jc w:val="center"/>
              <w:rPr>
                <w:b/>
                <w:snapToGrid w:val="0"/>
                <w:color w:val="FFFFFF"/>
                <w:sz w:val="20"/>
              </w:rPr>
            </w:pPr>
          </w:p>
        </w:tc>
        <w:tc>
          <w:tcPr>
            <w:tcW w:w="709" w:type="dxa"/>
            <w:vMerge/>
            <w:tcBorders>
              <w:left w:val="single" w:sz="4" w:space="0" w:color="FFFFFF"/>
              <w:bottom w:val="single" w:sz="4" w:space="0" w:color="4BACC6" w:themeColor="accent5"/>
              <w:right w:val="single" w:sz="4" w:space="0" w:color="FFFFFF"/>
            </w:tcBorders>
            <w:shd w:val="clear" w:color="auto" w:fill="4BACC6"/>
            <w:vAlign w:val="center"/>
          </w:tcPr>
          <w:p w:rsidR="00B23695" w:rsidRPr="000063FC" w:rsidRDefault="00B23695">
            <w:pPr>
              <w:spacing w:line="276" w:lineRule="auto"/>
              <w:jc w:val="center"/>
              <w:rPr>
                <w:b/>
                <w:snapToGrid w:val="0"/>
                <w:color w:val="FFFFFF"/>
                <w:sz w:val="20"/>
              </w:rPr>
            </w:pPr>
          </w:p>
        </w:tc>
        <w:tc>
          <w:tcPr>
            <w:tcW w:w="708" w:type="dxa"/>
            <w:tcBorders>
              <w:top w:val="single" w:sz="4" w:space="0" w:color="FFFFFF"/>
              <w:left w:val="single" w:sz="4" w:space="0" w:color="FFFFFF"/>
              <w:bottom w:val="single" w:sz="4" w:space="0" w:color="4BACC6" w:themeColor="accent5"/>
              <w:right w:val="single" w:sz="4" w:space="0" w:color="FFFFFF"/>
            </w:tcBorders>
            <w:shd w:val="clear" w:color="auto" w:fill="4BACC6"/>
            <w:vAlign w:val="center"/>
          </w:tcPr>
          <w:p w:rsidR="00B23695" w:rsidRPr="000063FC" w:rsidRDefault="008B2E49">
            <w:pPr>
              <w:spacing w:line="276" w:lineRule="auto"/>
              <w:jc w:val="center"/>
              <w:rPr>
                <w:b/>
                <w:snapToGrid w:val="0"/>
                <w:color w:val="FFFFFF"/>
                <w:sz w:val="20"/>
              </w:rPr>
            </w:pPr>
            <w:r w:rsidRPr="000063FC">
              <w:rPr>
                <w:b/>
                <w:snapToGrid w:val="0"/>
                <w:color w:val="FFFFFF"/>
                <w:sz w:val="20"/>
              </w:rPr>
              <w:t>A*</w:t>
            </w:r>
          </w:p>
        </w:tc>
        <w:tc>
          <w:tcPr>
            <w:tcW w:w="567" w:type="dxa"/>
            <w:tcBorders>
              <w:top w:val="single" w:sz="4" w:space="0" w:color="FFFFFF"/>
              <w:left w:val="single" w:sz="4" w:space="0" w:color="FFFFFF"/>
              <w:bottom w:val="single" w:sz="4" w:space="0" w:color="4BACC6" w:themeColor="accent5"/>
              <w:right w:val="single" w:sz="4" w:space="0" w:color="FFFFFF"/>
            </w:tcBorders>
            <w:shd w:val="clear" w:color="auto" w:fill="4BACC6"/>
            <w:vAlign w:val="center"/>
          </w:tcPr>
          <w:p w:rsidR="00B23695" w:rsidRPr="000063FC" w:rsidRDefault="008B2E49">
            <w:pPr>
              <w:spacing w:line="276" w:lineRule="auto"/>
              <w:jc w:val="center"/>
              <w:rPr>
                <w:b/>
                <w:snapToGrid w:val="0"/>
                <w:color w:val="FFFFFF"/>
                <w:sz w:val="20"/>
              </w:rPr>
            </w:pPr>
            <w:r w:rsidRPr="000063FC">
              <w:rPr>
                <w:b/>
                <w:snapToGrid w:val="0"/>
                <w:color w:val="FFFFFF"/>
                <w:sz w:val="20"/>
              </w:rPr>
              <w:t>C**</w:t>
            </w:r>
          </w:p>
        </w:tc>
        <w:tc>
          <w:tcPr>
            <w:tcW w:w="709" w:type="dxa"/>
            <w:tcBorders>
              <w:top w:val="single" w:sz="4" w:space="0" w:color="FFFFFF"/>
              <w:left w:val="single" w:sz="4" w:space="0" w:color="FFFFFF"/>
              <w:bottom w:val="single" w:sz="4" w:space="0" w:color="4BACC6" w:themeColor="accent5"/>
              <w:right w:val="single" w:sz="4" w:space="0" w:color="FFFFFF"/>
            </w:tcBorders>
            <w:shd w:val="clear" w:color="auto" w:fill="4BACC6"/>
            <w:vAlign w:val="center"/>
          </w:tcPr>
          <w:p w:rsidR="00B23695" w:rsidRPr="000063FC" w:rsidRDefault="008B2E49">
            <w:pPr>
              <w:spacing w:line="276" w:lineRule="auto"/>
              <w:jc w:val="center"/>
              <w:rPr>
                <w:b/>
                <w:snapToGrid w:val="0"/>
                <w:color w:val="FFFFFF"/>
                <w:sz w:val="20"/>
              </w:rPr>
            </w:pPr>
            <w:r w:rsidRPr="000063FC">
              <w:rPr>
                <w:b/>
                <w:snapToGrid w:val="0"/>
                <w:color w:val="FFFFFF"/>
                <w:sz w:val="20"/>
              </w:rPr>
              <w:t>A*</w:t>
            </w:r>
          </w:p>
        </w:tc>
        <w:tc>
          <w:tcPr>
            <w:tcW w:w="709" w:type="dxa"/>
            <w:tcBorders>
              <w:top w:val="single" w:sz="4" w:space="0" w:color="FFFFFF"/>
              <w:left w:val="single" w:sz="4" w:space="0" w:color="FFFFFF"/>
              <w:bottom w:val="single" w:sz="4" w:space="0" w:color="4BACC6" w:themeColor="accent5"/>
              <w:right w:val="single" w:sz="4" w:space="0" w:color="FFFFFF"/>
            </w:tcBorders>
            <w:shd w:val="clear" w:color="auto" w:fill="4BACC6"/>
            <w:vAlign w:val="center"/>
          </w:tcPr>
          <w:p w:rsidR="00B23695" w:rsidRPr="000063FC" w:rsidRDefault="008B2E49">
            <w:pPr>
              <w:spacing w:line="276" w:lineRule="auto"/>
              <w:jc w:val="center"/>
              <w:rPr>
                <w:b/>
                <w:snapToGrid w:val="0"/>
                <w:color w:val="FFFFFF"/>
                <w:sz w:val="20"/>
              </w:rPr>
            </w:pPr>
            <w:r w:rsidRPr="000063FC">
              <w:rPr>
                <w:b/>
                <w:snapToGrid w:val="0"/>
                <w:color w:val="FFFFFF"/>
                <w:sz w:val="20"/>
              </w:rPr>
              <w:t>C**</w:t>
            </w:r>
          </w:p>
        </w:tc>
        <w:tc>
          <w:tcPr>
            <w:tcW w:w="709" w:type="dxa"/>
            <w:tcBorders>
              <w:top w:val="single" w:sz="4" w:space="0" w:color="FFFFFF"/>
              <w:left w:val="single" w:sz="4" w:space="0" w:color="FFFFFF"/>
              <w:bottom w:val="single" w:sz="4" w:space="0" w:color="4BACC6" w:themeColor="accent5"/>
              <w:right w:val="single" w:sz="4" w:space="0" w:color="FFFFFF"/>
            </w:tcBorders>
            <w:shd w:val="clear" w:color="auto" w:fill="4BACC6"/>
            <w:vAlign w:val="center"/>
          </w:tcPr>
          <w:p w:rsidR="00B23695" w:rsidRPr="000063FC" w:rsidRDefault="008B2E49">
            <w:pPr>
              <w:spacing w:line="276" w:lineRule="auto"/>
              <w:jc w:val="center"/>
              <w:rPr>
                <w:b/>
                <w:snapToGrid w:val="0"/>
                <w:color w:val="FFFFFF"/>
                <w:sz w:val="20"/>
              </w:rPr>
            </w:pPr>
            <w:r w:rsidRPr="000063FC">
              <w:rPr>
                <w:b/>
                <w:snapToGrid w:val="0"/>
                <w:color w:val="FFFFFF"/>
                <w:sz w:val="20"/>
              </w:rPr>
              <w:t>A*</w:t>
            </w:r>
          </w:p>
        </w:tc>
        <w:tc>
          <w:tcPr>
            <w:tcW w:w="708" w:type="dxa"/>
            <w:tcBorders>
              <w:top w:val="single" w:sz="4" w:space="0" w:color="FFFFFF"/>
              <w:left w:val="single" w:sz="4" w:space="0" w:color="FFFFFF"/>
              <w:bottom w:val="single" w:sz="4" w:space="0" w:color="4BACC6" w:themeColor="accent5"/>
              <w:right w:val="single" w:sz="4" w:space="0" w:color="4BACC6" w:themeColor="accent5"/>
            </w:tcBorders>
            <w:shd w:val="clear" w:color="auto" w:fill="4BACC6"/>
            <w:vAlign w:val="center"/>
          </w:tcPr>
          <w:p w:rsidR="00B23695" w:rsidRPr="000063FC" w:rsidRDefault="008B2E49">
            <w:pPr>
              <w:spacing w:line="276" w:lineRule="auto"/>
              <w:jc w:val="center"/>
              <w:rPr>
                <w:b/>
                <w:snapToGrid w:val="0"/>
                <w:color w:val="FFFFFF"/>
                <w:sz w:val="20"/>
              </w:rPr>
            </w:pPr>
            <w:r w:rsidRPr="000063FC">
              <w:rPr>
                <w:b/>
                <w:snapToGrid w:val="0"/>
                <w:color w:val="FFFFFF"/>
                <w:sz w:val="20"/>
              </w:rPr>
              <w:t>C**</w:t>
            </w:r>
          </w:p>
        </w:tc>
      </w:tr>
      <w:tr w:rsidR="008B2E49" w:rsidRPr="000063FC" w:rsidTr="00D027DF">
        <w:tblPrEx>
          <w:tblCellMar>
            <w:left w:w="30" w:type="dxa"/>
            <w:right w:w="30" w:type="dxa"/>
          </w:tblCellMar>
        </w:tblPrEx>
        <w:trPr>
          <w:trHeight w:val="283"/>
        </w:trPr>
        <w:tc>
          <w:tcPr>
            <w:tcW w:w="1701" w:type="dxa"/>
            <w:tcBorders>
              <w:top w:val="single" w:sz="4" w:space="0" w:color="4BACC6" w:themeColor="accent5"/>
              <w:left w:val="single" w:sz="4" w:space="0" w:color="4BACC6" w:themeColor="accent5"/>
              <w:right w:val="single" w:sz="4" w:space="0" w:color="4BACC6" w:themeColor="accent5"/>
            </w:tcBorders>
            <w:vAlign w:val="center"/>
          </w:tcPr>
          <w:p w:rsidR="00B23695" w:rsidRPr="000063FC" w:rsidRDefault="008B2E49">
            <w:pPr>
              <w:spacing w:line="276" w:lineRule="auto"/>
              <w:rPr>
                <w:snapToGrid w:val="0"/>
                <w:color w:val="000000"/>
                <w:sz w:val="20"/>
              </w:rPr>
            </w:pPr>
            <w:r w:rsidRPr="000063FC">
              <w:rPr>
                <w:snapToGrid w:val="0"/>
                <w:color w:val="000000"/>
                <w:sz w:val="20"/>
              </w:rPr>
              <w:t>Osobna vozila</w:t>
            </w:r>
          </w:p>
        </w:tc>
        <w:tc>
          <w:tcPr>
            <w:tcW w:w="993" w:type="dxa"/>
            <w:tcBorders>
              <w:top w:val="single" w:sz="4" w:space="0" w:color="4BACC6" w:themeColor="accent5"/>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7500</w:t>
            </w:r>
          </w:p>
        </w:tc>
        <w:tc>
          <w:tcPr>
            <w:tcW w:w="850" w:type="dxa"/>
            <w:tcBorders>
              <w:top w:val="single" w:sz="4" w:space="0" w:color="4BACC6" w:themeColor="accent5"/>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90</w:t>
            </w:r>
          </w:p>
        </w:tc>
        <w:tc>
          <w:tcPr>
            <w:tcW w:w="709" w:type="dxa"/>
            <w:tcBorders>
              <w:top w:val="single" w:sz="4" w:space="0" w:color="4BACC6" w:themeColor="accent5"/>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w:t>
            </w:r>
          </w:p>
        </w:tc>
        <w:tc>
          <w:tcPr>
            <w:tcW w:w="709" w:type="dxa"/>
            <w:tcBorders>
              <w:top w:val="single" w:sz="4" w:space="0" w:color="4BACC6" w:themeColor="accent5"/>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w:t>
            </w:r>
          </w:p>
        </w:tc>
        <w:tc>
          <w:tcPr>
            <w:tcW w:w="708" w:type="dxa"/>
            <w:tcBorders>
              <w:top w:val="single" w:sz="4" w:space="0" w:color="4BACC6" w:themeColor="accent5"/>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26</w:t>
            </w:r>
          </w:p>
        </w:tc>
        <w:tc>
          <w:tcPr>
            <w:tcW w:w="567" w:type="dxa"/>
            <w:tcBorders>
              <w:top w:val="single" w:sz="4" w:space="0" w:color="4BACC6" w:themeColor="accent5"/>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30</w:t>
            </w:r>
          </w:p>
        </w:tc>
        <w:tc>
          <w:tcPr>
            <w:tcW w:w="709" w:type="dxa"/>
            <w:tcBorders>
              <w:top w:val="single" w:sz="4" w:space="0" w:color="4BACC6" w:themeColor="accent5"/>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42,5</w:t>
            </w:r>
          </w:p>
        </w:tc>
        <w:tc>
          <w:tcPr>
            <w:tcW w:w="709" w:type="dxa"/>
            <w:tcBorders>
              <w:top w:val="single" w:sz="4" w:space="0" w:color="4BACC6" w:themeColor="accent5"/>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60</w:t>
            </w:r>
          </w:p>
        </w:tc>
        <w:tc>
          <w:tcPr>
            <w:tcW w:w="709" w:type="dxa"/>
            <w:tcBorders>
              <w:top w:val="single" w:sz="4" w:space="0" w:color="4BACC6" w:themeColor="accent5"/>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80</w:t>
            </w:r>
          </w:p>
        </w:tc>
        <w:tc>
          <w:tcPr>
            <w:tcW w:w="708" w:type="dxa"/>
            <w:tcBorders>
              <w:top w:val="single" w:sz="4" w:space="0" w:color="4BACC6" w:themeColor="accent5"/>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110</w:t>
            </w:r>
          </w:p>
        </w:tc>
      </w:tr>
      <w:tr w:rsidR="008B2E49" w:rsidRPr="000063FC" w:rsidTr="00D027DF">
        <w:tblPrEx>
          <w:tblCellMar>
            <w:left w:w="30" w:type="dxa"/>
            <w:right w:w="30" w:type="dxa"/>
          </w:tblCellMar>
        </w:tblPrEx>
        <w:trPr>
          <w:trHeight w:val="283"/>
        </w:trPr>
        <w:tc>
          <w:tcPr>
            <w:tcW w:w="1701" w:type="dxa"/>
            <w:tcBorders>
              <w:left w:val="single" w:sz="4" w:space="0" w:color="4BACC6" w:themeColor="accent5"/>
              <w:right w:val="single" w:sz="4" w:space="0" w:color="4BACC6" w:themeColor="accent5"/>
            </w:tcBorders>
            <w:vAlign w:val="center"/>
          </w:tcPr>
          <w:p w:rsidR="00B23695" w:rsidRPr="000063FC" w:rsidRDefault="008B2E49">
            <w:pPr>
              <w:spacing w:line="276" w:lineRule="auto"/>
              <w:rPr>
                <w:snapToGrid w:val="0"/>
                <w:color w:val="000000"/>
                <w:sz w:val="20"/>
              </w:rPr>
            </w:pPr>
            <w:r w:rsidRPr="000063FC">
              <w:rPr>
                <w:snapToGrid w:val="0"/>
                <w:color w:val="000000"/>
                <w:sz w:val="20"/>
              </w:rPr>
              <w:t>Laka teretna vozila</w:t>
            </w:r>
          </w:p>
        </w:tc>
        <w:tc>
          <w:tcPr>
            <w:tcW w:w="993"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25000</w:t>
            </w:r>
          </w:p>
        </w:tc>
        <w:tc>
          <w:tcPr>
            <w:tcW w:w="850"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90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w:t>
            </w:r>
          </w:p>
        </w:tc>
        <w:tc>
          <w:tcPr>
            <w:tcW w:w="708"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26</w:t>
            </w:r>
          </w:p>
        </w:tc>
        <w:tc>
          <w:tcPr>
            <w:tcW w:w="567"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30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42,5</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60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80</w:t>
            </w:r>
          </w:p>
        </w:tc>
        <w:tc>
          <w:tcPr>
            <w:tcW w:w="708"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110</w:t>
            </w:r>
          </w:p>
        </w:tc>
      </w:tr>
      <w:tr w:rsidR="008B2E49" w:rsidRPr="000063FC" w:rsidTr="00D027DF">
        <w:tblPrEx>
          <w:tblCellMar>
            <w:left w:w="30" w:type="dxa"/>
            <w:right w:w="30" w:type="dxa"/>
          </w:tblCellMar>
        </w:tblPrEx>
        <w:trPr>
          <w:trHeight w:val="283"/>
        </w:trPr>
        <w:tc>
          <w:tcPr>
            <w:tcW w:w="1701" w:type="dxa"/>
            <w:tcBorders>
              <w:left w:val="single" w:sz="4" w:space="0" w:color="4BACC6" w:themeColor="accent5"/>
              <w:right w:val="single" w:sz="4" w:space="0" w:color="4BACC6" w:themeColor="accent5"/>
            </w:tcBorders>
            <w:vAlign w:val="center"/>
          </w:tcPr>
          <w:p w:rsidR="00B23695" w:rsidRPr="000063FC" w:rsidRDefault="008B2E49">
            <w:pPr>
              <w:spacing w:line="276" w:lineRule="auto"/>
              <w:rPr>
                <w:snapToGrid w:val="0"/>
                <w:color w:val="000000"/>
                <w:sz w:val="20"/>
              </w:rPr>
            </w:pPr>
            <w:r w:rsidRPr="000063FC">
              <w:rPr>
                <w:snapToGrid w:val="0"/>
                <w:color w:val="000000"/>
                <w:sz w:val="20"/>
              </w:rPr>
              <w:t>Teška teretna vozila</w:t>
            </w:r>
          </w:p>
        </w:tc>
        <w:tc>
          <w:tcPr>
            <w:tcW w:w="993"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5000</w:t>
            </w:r>
          </w:p>
        </w:tc>
        <w:tc>
          <w:tcPr>
            <w:tcW w:w="850"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59</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25</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16</w:t>
            </w:r>
          </w:p>
        </w:tc>
        <w:tc>
          <w:tcPr>
            <w:tcW w:w="708"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26</w:t>
            </w:r>
          </w:p>
        </w:tc>
        <w:tc>
          <w:tcPr>
            <w:tcW w:w="567"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30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42,5</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80</w:t>
            </w:r>
          </w:p>
        </w:tc>
        <w:tc>
          <w:tcPr>
            <w:tcW w:w="708"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80</w:t>
            </w:r>
          </w:p>
        </w:tc>
      </w:tr>
      <w:tr w:rsidR="008B2E49" w:rsidRPr="000063FC" w:rsidTr="00D027DF">
        <w:tblPrEx>
          <w:tblCellMar>
            <w:left w:w="30" w:type="dxa"/>
            <w:right w:w="30" w:type="dxa"/>
          </w:tblCellMar>
        </w:tblPrEx>
        <w:trPr>
          <w:trHeight w:val="283"/>
        </w:trPr>
        <w:tc>
          <w:tcPr>
            <w:tcW w:w="1701" w:type="dxa"/>
            <w:tcBorders>
              <w:left w:val="single" w:sz="4" w:space="0" w:color="4BACC6" w:themeColor="accent5"/>
              <w:right w:val="single" w:sz="4" w:space="0" w:color="4BACC6" w:themeColor="accent5"/>
            </w:tcBorders>
            <w:vAlign w:val="center"/>
          </w:tcPr>
          <w:p w:rsidR="00B23695" w:rsidRPr="000063FC" w:rsidRDefault="008B2E49">
            <w:pPr>
              <w:spacing w:line="276" w:lineRule="auto"/>
              <w:rPr>
                <w:snapToGrid w:val="0"/>
                <w:color w:val="000000"/>
                <w:sz w:val="20"/>
              </w:rPr>
            </w:pPr>
            <w:r w:rsidRPr="000063FC">
              <w:rPr>
                <w:snapToGrid w:val="0"/>
                <w:color w:val="000000"/>
                <w:sz w:val="20"/>
              </w:rPr>
              <w:t xml:space="preserve">Gradski autobusi </w:t>
            </w:r>
          </w:p>
        </w:tc>
        <w:tc>
          <w:tcPr>
            <w:tcW w:w="993"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102500</w:t>
            </w:r>
          </w:p>
        </w:tc>
        <w:tc>
          <w:tcPr>
            <w:tcW w:w="850"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90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w:t>
            </w:r>
          </w:p>
        </w:tc>
        <w:tc>
          <w:tcPr>
            <w:tcW w:w="708"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26</w:t>
            </w:r>
          </w:p>
        </w:tc>
        <w:tc>
          <w:tcPr>
            <w:tcW w:w="567"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30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42,5</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0</w:t>
            </w:r>
          </w:p>
        </w:tc>
        <w:tc>
          <w:tcPr>
            <w:tcW w:w="708"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0</w:t>
            </w:r>
          </w:p>
        </w:tc>
      </w:tr>
      <w:tr w:rsidR="008B2E49" w:rsidRPr="000063FC" w:rsidTr="00D027DF">
        <w:tblPrEx>
          <w:tblCellMar>
            <w:left w:w="30" w:type="dxa"/>
            <w:right w:w="30" w:type="dxa"/>
          </w:tblCellMar>
        </w:tblPrEx>
        <w:trPr>
          <w:trHeight w:val="283"/>
        </w:trPr>
        <w:tc>
          <w:tcPr>
            <w:tcW w:w="1701" w:type="dxa"/>
            <w:tcBorders>
              <w:left w:val="single" w:sz="4" w:space="0" w:color="4BACC6" w:themeColor="accent5"/>
              <w:right w:val="single" w:sz="4" w:space="0" w:color="4BACC6" w:themeColor="accent5"/>
            </w:tcBorders>
            <w:vAlign w:val="center"/>
          </w:tcPr>
          <w:p w:rsidR="00B23695" w:rsidRPr="000063FC" w:rsidRDefault="008B2E49">
            <w:pPr>
              <w:spacing w:line="276" w:lineRule="auto"/>
              <w:rPr>
                <w:snapToGrid w:val="0"/>
                <w:color w:val="000000"/>
                <w:sz w:val="20"/>
              </w:rPr>
            </w:pPr>
            <w:r w:rsidRPr="000063FC">
              <w:rPr>
                <w:snapToGrid w:val="0"/>
                <w:color w:val="000000"/>
                <w:sz w:val="20"/>
              </w:rPr>
              <w:t xml:space="preserve">Međugradski autobusi </w:t>
            </w:r>
          </w:p>
        </w:tc>
        <w:tc>
          <w:tcPr>
            <w:tcW w:w="993"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7300</w:t>
            </w:r>
          </w:p>
        </w:tc>
        <w:tc>
          <w:tcPr>
            <w:tcW w:w="850"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59</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25</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16</w:t>
            </w:r>
          </w:p>
        </w:tc>
        <w:tc>
          <w:tcPr>
            <w:tcW w:w="708"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26</w:t>
            </w:r>
          </w:p>
        </w:tc>
        <w:tc>
          <w:tcPr>
            <w:tcW w:w="567"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30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42,5</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80</w:t>
            </w:r>
          </w:p>
        </w:tc>
        <w:tc>
          <w:tcPr>
            <w:tcW w:w="708"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90</w:t>
            </w:r>
          </w:p>
        </w:tc>
      </w:tr>
      <w:tr w:rsidR="008B2E49" w:rsidRPr="000063FC" w:rsidTr="00D027DF">
        <w:tblPrEx>
          <w:tblCellMar>
            <w:left w:w="30" w:type="dxa"/>
            <w:right w:w="30" w:type="dxa"/>
          </w:tblCellMar>
        </w:tblPrEx>
        <w:trPr>
          <w:trHeight w:val="283"/>
        </w:trPr>
        <w:tc>
          <w:tcPr>
            <w:tcW w:w="1701" w:type="dxa"/>
            <w:tcBorders>
              <w:left w:val="single" w:sz="4" w:space="0" w:color="4BACC6" w:themeColor="accent5"/>
              <w:right w:val="single" w:sz="4" w:space="0" w:color="4BACC6" w:themeColor="accent5"/>
            </w:tcBorders>
            <w:vAlign w:val="center"/>
          </w:tcPr>
          <w:p w:rsidR="00B23695" w:rsidRPr="000063FC" w:rsidRDefault="008B2E49">
            <w:pPr>
              <w:spacing w:line="276" w:lineRule="auto"/>
              <w:rPr>
                <w:snapToGrid w:val="0"/>
                <w:color w:val="000000"/>
                <w:sz w:val="20"/>
              </w:rPr>
            </w:pPr>
            <w:r w:rsidRPr="000063FC">
              <w:rPr>
                <w:snapToGrid w:val="0"/>
                <w:color w:val="000000"/>
                <w:sz w:val="20"/>
              </w:rPr>
              <w:t>Mopedi</w:t>
            </w:r>
          </w:p>
        </w:tc>
        <w:tc>
          <w:tcPr>
            <w:tcW w:w="993"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2000</w:t>
            </w:r>
          </w:p>
        </w:tc>
        <w:tc>
          <w:tcPr>
            <w:tcW w:w="850"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100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0</w:t>
            </w:r>
          </w:p>
        </w:tc>
        <w:tc>
          <w:tcPr>
            <w:tcW w:w="708"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26</w:t>
            </w:r>
          </w:p>
        </w:tc>
        <w:tc>
          <w:tcPr>
            <w:tcW w:w="567"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30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50</w:t>
            </w:r>
          </w:p>
        </w:tc>
        <w:tc>
          <w:tcPr>
            <w:tcW w:w="709"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0</w:t>
            </w:r>
          </w:p>
        </w:tc>
        <w:tc>
          <w:tcPr>
            <w:tcW w:w="708" w:type="dxa"/>
            <w:tcBorders>
              <w:left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0</w:t>
            </w:r>
          </w:p>
        </w:tc>
      </w:tr>
      <w:tr w:rsidR="008B2E49" w:rsidRPr="000063FC" w:rsidTr="00D027DF">
        <w:tblPrEx>
          <w:tblCellMar>
            <w:left w:w="30" w:type="dxa"/>
            <w:right w:w="30" w:type="dxa"/>
          </w:tblCellMar>
        </w:tblPrEx>
        <w:trPr>
          <w:trHeight w:val="283"/>
        </w:trPr>
        <w:tc>
          <w:tcPr>
            <w:tcW w:w="1701" w:type="dxa"/>
            <w:tcBorders>
              <w:left w:val="single" w:sz="4" w:space="0" w:color="4BACC6" w:themeColor="accent5"/>
              <w:bottom w:val="single" w:sz="4" w:space="0" w:color="4BACC6" w:themeColor="accent5"/>
              <w:right w:val="single" w:sz="4" w:space="0" w:color="4BACC6" w:themeColor="accent5"/>
            </w:tcBorders>
            <w:vAlign w:val="center"/>
          </w:tcPr>
          <w:p w:rsidR="00B23695" w:rsidRPr="000063FC" w:rsidRDefault="008B2E49">
            <w:pPr>
              <w:spacing w:line="276" w:lineRule="auto"/>
              <w:rPr>
                <w:snapToGrid w:val="0"/>
                <w:color w:val="000000"/>
                <w:sz w:val="20"/>
              </w:rPr>
            </w:pPr>
            <w:r w:rsidRPr="000063FC">
              <w:rPr>
                <w:snapToGrid w:val="0"/>
                <w:color w:val="000000"/>
                <w:sz w:val="20"/>
              </w:rPr>
              <w:t>Motocikli</w:t>
            </w:r>
          </w:p>
        </w:tc>
        <w:tc>
          <w:tcPr>
            <w:tcW w:w="993" w:type="dxa"/>
            <w:tcBorders>
              <w:left w:val="single" w:sz="4" w:space="0" w:color="4BACC6" w:themeColor="accent5"/>
              <w:bottom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5000</w:t>
            </w:r>
          </w:p>
        </w:tc>
        <w:tc>
          <w:tcPr>
            <w:tcW w:w="850" w:type="dxa"/>
            <w:tcBorders>
              <w:left w:val="single" w:sz="4" w:space="0" w:color="4BACC6" w:themeColor="accent5"/>
              <w:bottom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90</w:t>
            </w:r>
          </w:p>
        </w:tc>
        <w:tc>
          <w:tcPr>
            <w:tcW w:w="709" w:type="dxa"/>
            <w:tcBorders>
              <w:left w:val="single" w:sz="4" w:space="0" w:color="4BACC6" w:themeColor="accent5"/>
              <w:bottom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w:t>
            </w:r>
          </w:p>
        </w:tc>
        <w:tc>
          <w:tcPr>
            <w:tcW w:w="709" w:type="dxa"/>
            <w:tcBorders>
              <w:left w:val="single" w:sz="4" w:space="0" w:color="4BACC6" w:themeColor="accent5"/>
              <w:bottom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w:t>
            </w:r>
          </w:p>
        </w:tc>
        <w:tc>
          <w:tcPr>
            <w:tcW w:w="708" w:type="dxa"/>
            <w:tcBorders>
              <w:left w:val="single" w:sz="4" w:space="0" w:color="4BACC6" w:themeColor="accent5"/>
              <w:bottom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26</w:t>
            </w:r>
          </w:p>
        </w:tc>
        <w:tc>
          <w:tcPr>
            <w:tcW w:w="567" w:type="dxa"/>
            <w:tcBorders>
              <w:left w:val="single" w:sz="4" w:space="0" w:color="4BACC6" w:themeColor="accent5"/>
              <w:bottom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30</w:t>
            </w:r>
          </w:p>
        </w:tc>
        <w:tc>
          <w:tcPr>
            <w:tcW w:w="709" w:type="dxa"/>
            <w:tcBorders>
              <w:left w:val="single" w:sz="4" w:space="0" w:color="4BACC6" w:themeColor="accent5"/>
              <w:bottom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42,5</w:t>
            </w:r>
          </w:p>
        </w:tc>
        <w:tc>
          <w:tcPr>
            <w:tcW w:w="709" w:type="dxa"/>
            <w:tcBorders>
              <w:left w:val="single" w:sz="4" w:space="0" w:color="4BACC6" w:themeColor="accent5"/>
              <w:bottom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50</w:t>
            </w:r>
          </w:p>
        </w:tc>
        <w:tc>
          <w:tcPr>
            <w:tcW w:w="709" w:type="dxa"/>
            <w:tcBorders>
              <w:left w:val="single" w:sz="4" w:space="0" w:color="4BACC6" w:themeColor="accent5"/>
              <w:bottom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80</w:t>
            </w:r>
          </w:p>
        </w:tc>
        <w:tc>
          <w:tcPr>
            <w:tcW w:w="708" w:type="dxa"/>
            <w:tcBorders>
              <w:left w:val="single" w:sz="4" w:space="0" w:color="4BACC6" w:themeColor="accent5"/>
              <w:bottom w:val="single" w:sz="4" w:space="0" w:color="4BACC6" w:themeColor="accent5"/>
              <w:right w:val="single" w:sz="4" w:space="0" w:color="4BACC6" w:themeColor="accent5"/>
            </w:tcBorders>
            <w:vAlign w:val="center"/>
          </w:tcPr>
          <w:p w:rsidR="00B23695" w:rsidRPr="000063FC" w:rsidRDefault="008B2E49">
            <w:pPr>
              <w:spacing w:line="276" w:lineRule="auto"/>
              <w:jc w:val="right"/>
              <w:rPr>
                <w:snapToGrid w:val="0"/>
                <w:color w:val="000000"/>
                <w:sz w:val="20"/>
              </w:rPr>
            </w:pPr>
            <w:r w:rsidRPr="000063FC">
              <w:rPr>
                <w:snapToGrid w:val="0"/>
                <w:color w:val="000000"/>
                <w:sz w:val="20"/>
              </w:rPr>
              <w:t>0</w:t>
            </w:r>
          </w:p>
        </w:tc>
      </w:tr>
    </w:tbl>
    <w:p w:rsidR="00B23695" w:rsidRPr="000063FC" w:rsidRDefault="008B2E49">
      <w:pPr>
        <w:spacing w:line="276" w:lineRule="auto"/>
        <w:rPr>
          <w:sz w:val="16"/>
          <w:szCs w:val="16"/>
        </w:rPr>
      </w:pPr>
      <w:r w:rsidRPr="000063FC">
        <w:rPr>
          <w:sz w:val="16"/>
          <w:szCs w:val="16"/>
        </w:rPr>
        <w:t>*anketom dobivene vrijednosti;  **vrijednosti predložene COPERT-om</w:t>
      </w:r>
    </w:p>
    <w:p w:rsidR="00B23695" w:rsidRPr="000063FC" w:rsidRDefault="00B23695">
      <w:pPr>
        <w:spacing w:line="276" w:lineRule="auto"/>
      </w:pPr>
    </w:p>
    <w:p w:rsidR="00B23695" w:rsidRPr="000063FC" w:rsidRDefault="008B2E49">
      <w:pPr>
        <w:spacing w:line="276" w:lineRule="auto"/>
        <w:rPr>
          <w:szCs w:val="22"/>
        </w:rPr>
      </w:pPr>
      <w:r w:rsidRPr="000063FC">
        <w:rPr>
          <w:szCs w:val="22"/>
        </w:rPr>
        <w:t>Podaci o prosječnoj brzini prikupljeni u sklopu izrade Katastra emisija u okoliš za Grad Zagreb u 1998. godini uzeti su kao referentne vrijednosti za izradu Inventara iako se te vrijednosti razlikuju s obzirom na one predložene COPERT modelom.</w:t>
      </w:r>
    </w:p>
    <w:p w:rsidR="00B23695" w:rsidRPr="000063FC" w:rsidRDefault="00B23695">
      <w:pPr>
        <w:spacing w:line="276" w:lineRule="auto"/>
        <w:rPr>
          <w:szCs w:val="22"/>
        </w:rPr>
      </w:pPr>
    </w:p>
    <w:p w:rsidR="00B23695" w:rsidRPr="000063FC" w:rsidRDefault="008B2E49">
      <w:pPr>
        <w:spacing w:line="276" w:lineRule="auto"/>
        <w:rPr>
          <w:szCs w:val="22"/>
        </w:rPr>
      </w:pPr>
      <w:r w:rsidRPr="000063FC">
        <w:rPr>
          <w:szCs w:val="22"/>
        </w:rPr>
        <w:t>Obradom podataka preuzetih iz statistike Grada Zagreba i podataka dobivenih od M</w:t>
      </w:r>
      <w:r w:rsidR="00032E38">
        <w:rPr>
          <w:szCs w:val="22"/>
        </w:rPr>
        <w:t>inistarstva unutarnjih poslova</w:t>
      </w:r>
      <w:r w:rsidRPr="000063FC">
        <w:rPr>
          <w:szCs w:val="22"/>
        </w:rPr>
        <w:t xml:space="preserve"> određena je struktura registriranih vozila u Gradu Zagrebu u 2008. godini (tablica </w:t>
      </w:r>
      <w:r w:rsidR="008E1FA8" w:rsidRPr="000063FC">
        <w:rPr>
          <w:szCs w:val="22"/>
        </w:rPr>
        <w:t>2.14</w:t>
      </w:r>
      <w:r w:rsidRPr="000063FC">
        <w:rPr>
          <w:szCs w:val="22"/>
        </w:rPr>
        <w:t>).</w:t>
      </w:r>
    </w:p>
    <w:p w:rsidR="00B23695" w:rsidRPr="000063FC" w:rsidRDefault="00B23695">
      <w:pPr>
        <w:spacing w:line="276" w:lineRule="auto"/>
      </w:pPr>
    </w:p>
    <w:p w:rsidR="00BC341E" w:rsidRPr="000063FC" w:rsidRDefault="00A44CF7" w:rsidP="00B33E2F">
      <w:pPr>
        <w:pStyle w:val="Heading6"/>
      </w:pPr>
      <w:r w:rsidRPr="000063FC">
        <w:br w:type="page"/>
      </w:r>
      <w:bookmarkStart w:id="140" w:name="_Toc254010243"/>
      <w:r w:rsidR="008B2E49" w:rsidRPr="000063FC">
        <w:lastRenderedPageBreak/>
        <w:t xml:space="preserve">Tablica </w:t>
      </w:r>
      <w:r w:rsidR="00091508" w:rsidRPr="000063FC">
        <w:t>2.14</w:t>
      </w:r>
      <w:r w:rsidR="008B2E49" w:rsidRPr="000063FC">
        <w:t>: Struktura registriranih vozila u Gradu Zagrebu u 2008. godini</w:t>
      </w:r>
      <w:bookmarkEnd w:id="140"/>
    </w:p>
    <w:tbl>
      <w:tblPr>
        <w:tblW w:w="9227" w:type="dxa"/>
        <w:tblInd w:w="95" w:type="dxa"/>
        <w:tblBorders>
          <w:top w:val="single" w:sz="4" w:space="0" w:color="4BACC6"/>
          <w:left w:val="single" w:sz="4" w:space="0" w:color="4BACC6"/>
          <w:bottom w:val="single" w:sz="4" w:space="0" w:color="4BACC6"/>
          <w:right w:val="single" w:sz="4" w:space="0" w:color="4BACC6"/>
          <w:insideH w:val="single" w:sz="6" w:space="0" w:color="4BACC6"/>
          <w:insideV w:val="single" w:sz="6" w:space="0" w:color="4BACC6"/>
        </w:tblBorders>
        <w:tblLook w:val="0000" w:firstRow="0" w:lastRow="0" w:firstColumn="0" w:lastColumn="0" w:noHBand="0" w:noVBand="0"/>
      </w:tblPr>
      <w:tblGrid>
        <w:gridCol w:w="1820"/>
        <w:gridCol w:w="2304"/>
        <w:gridCol w:w="2977"/>
        <w:gridCol w:w="2126"/>
      </w:tblGrid>
      <w:tr w:rsidR="008B2E49" w:rsidRPr="000063FC" w:rsidTr="00946FAD">
        <w:trPr>
          <w:trHeight w:val="227"/>
        </w:trPr>
        <w:tc>
          <w:tcPr>
            <w:tcW w:w="1820" w:type="dxa"/>
            <w:tcBorders>
              <w:top w:val="single" w:sz="4" w:space="0" w:color="4BACC6"/>
              <w:right w:val="single" w:sz="6" w:space="0" w:color="FFFFFF"/>
            </w:tcBorders>
            <w:shd w:val="clear" w:color="auto" w:fill="4BACC6"/>
            <w:noWrap/>
            <w:vAlign w:val="center"/>
          </w:tcPr>
          <w:p w:rsidR="00B23695" w:rsidRPr="000063FC" w:rsidRDefault="008B2E49" w:rsidP="00946FAD">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Vrsta vozila</w:t>
            </w:r>
          </w:p>
        </w:tc>
        <w:tc>
          <w:tcPr>
            <w:tcW w:w="2304" w:type="dxa"/>
            <w:tcBorders>
              <w:top w:val="single" w:sz="4" w:space="0" w:color="4BACC6"/>
              <w:left w:val="single" w:sz="6" w:space="0" w:color="FFFFFF"/>
              <w:right w:val="single" w:sz="6" w:space="0" w:color="FFFFFF"/>
            </w:tcBorders>
            <w:shd w:val="clear" w:color="auto" w:fill="4BACC6"/>
            <w:noWrap/>
            <w:vAlign w:val="center"/>
          </w:tcPr>
          <w:p w:rsidR="00B23695" w:rsidRPr="000063FC" w:rsidRDefault="008B2E49" w:rsidP="00946FAD">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Vrsta goriva</w:t>
            </w:r>
          </w:p>
        </w:tc>
        <w:tc>
          <w:tcPr>
            <w:tcW w:w="2977" w:type="dxa"/>
            <w:tcBorders>
              <w:top w:val="single" w:sz="4" w:space="0" w:color="4BACC6"/>
              <w:left w:val="single" w:sz="6" w:space="0" w:color="FFFFFF"/>
              <w:right w:val="single" w:sz="6" w:space="0" w:color="FFFFFF"/>
            </w:tcBorders>
            <w:shd w:val="clear" w:color="auto" w:fill="4BACC6"/>
            <w:noWrap/>
            <w:vAlign w:val="center"/>
          </w:tcPr>
          <w:p w:rsidR="00B23695" w:rsidRPr="000063FC" w:rsidRDefault="008B2E49" w:rsidP="00946FAD">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Radni obujam/nosivost</w:t>
            </w:r>
          </w:p>
        </w:tc>
        <w:tc>
          <w:tcPr>
            <w:tcW w:w="2126" w:type="dxa"/>
            <w:tcBorders>
              <w:top w:val="single" w:sz="4" w:space="0" w:color="4BACC6"/>
              <w:left w:val="single" w:sz="6" w:space="0" w:color="FFFFFF"/>
            </w:tcBorders>
            <w:shd w:val="clear" w:color="auto" w:fill="4BACC6"/>
            <w:noWrap/>
            <w:vAlign w:val="center"/>
          </w:tcPr>
          <w:p w:rsidR="00B23695" w:rsidRPr="000063FC" w:rsidRDefault="008B2E49" w:rsidP="00946FAD">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Broj vozila</w:t>
            </w:r>
          </w:p>
        </w:tc>
      </w:tr>
      <w:tr w:rsidR="008B2E49" w:rsidRPr="000063FC" w:rsidTr="00946FAD">
        <w:trPr>
          <w:trHeight w:val="227"/>
        </w:trPr>
        <w:tc>
          <w:tcPr>
            <w:tcW w:w="1820" w:type="dxa"/>
            <w:vMerge w:val="restart"/>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Osobna vozila</w:t>
            </w:r>
          </w:p>
        </w:tc>
        <w:tc>
          <w:tcPr>
            <w:tcW w:w="2304" w:type="dxa"/>
            <w:vMerge w:val="restart"/>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Benzinska</w:t>
            </w: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&lt;1,4 l</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151104</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1,4-2,0 l</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64186</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&gt;2,0 l</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5524</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shd w:val="clear" w:color="auto" w:fill="F6FBFC"/>
            <w:vAlign w:val="center"/>
          </w:tcPr>
          <w:p w:rsidR="00B23695" w:rsidRPr="000063FC" w:rsidRDefault="00B23695" w:rsidP="00946FAD">
            <w:pPr>
              <w:spacing w:line="240" w:lineRule="auto"/>
              <w:rPr>
                <w:rFonts w:asciiTheme="minorHAnsi" w:hAnsiTheme="minorHAnsi" w:cs="Arial"/>
                <w:sz w:val="20"/>
              </w:rPr>
            </w:pPr>
          </w:p>
        </w:tc>
        <w:tc>
          <w:tcPr>
            <w:tcW w:w="2977" w:type="dxa"/>
            <w:shd w:val="clear" w:color="auto" w:fill="F6FBFC"/>
            <w:vAlign w:val="center"/>
          </w:tcPr>
          <w:p w:rsidR="00B23695" w:rsidRPr="000063FC" w:rsidRDefault="008B2E49" w:rsidP="00946FAD">
            <w:pPr>
              <w:spacing w:line="240" w:lineRule="auto"/>
              <w:rPr>
                <w:rFonts w:asciiTheme="minorHAnsi" w:hAnsiTheme="minorHAnsi" w:cs="Arial"/>
                <w:sz w:val="20"/>
              </w:rPr>
            </w:pPr>
            <w:r w:rsidRPr="000063FC">
              <w:rPr>
                <w:rFonts w:asciiTheme="minorHAnsi" w:hAnsiTheme="minorHAnsi" w:cs="Arial"/>
                <w:sz w:val="20"/>
              </w:rPr>
              <w:t>Ukupno</w:t>
            </w:r>
          </w:p>
        </w:tc>
        <w:tc>
          <w:tcPr>
            <w:tcW w:w="2126" w:type="dxa"/>
            <w:shd w:val="clear" w:color="auto" w:fill="F6FBFC"/>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220814</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restart"/>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Dizel</w:t>
            </w: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&lt;2,0 l</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96202</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&gt;2,0 l</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14284</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shd w:val="clear" w:color="auto" w:fill="F6FBFC"/>
            <w:vAlign w:val="center"/>
          </w:tcPr>
          <w:p w:rsidR="00B23695" w:rsidRPr="000063FC" w:rsidRDefault="008B2E49" w:rsidP="00946FAD">
            <w:pPr>
              <w:spacing w:line="240" w:lineRule="auto"/>
              <w:rPr>
                <w:rFonts w:asciiTheme="minorHAnsi" w:hAnsiTheme="minorHAnsi" w:cs="Arial"/>
                <w:sz w:val="20"/>
              </w:rPr>
            </w:pPr>
            <w:r w:rsidRPr="000063FC">
              <w:rPr>
                <w:rFonts w:asciiTheme="minorHAnsi" w:hAnsiTheme="minorHAnsi" w:cs="Arial"/>
                <w:sz w:val="20"/>
              </w:rPr>
              <w:t>Ukupno</w:t>
            </w:r>
          </w:p>
        </w:tc>
        <w:tc>
          <w:tcPr>
            <w:tcW w:w="2126" w:type="dxa"/>
            <w:shd w:val="clear" w:color="auto" w:fill="F6FBFC"/>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110486</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tcBorders>
              <w:bottom w:val="single" w:sz="4" w:space="0" w:color="4BACC6"/>
            </w:tcBorders>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LPG</w:t>
            </w: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4968</w:t>
            </w:r>
          </w:p>
        </w:tc>
      </w:tr>
      <w:tr w:rsidR="008B2E49" w:rsidRPr="000063FC" w:rsidTr="00946FAD">
        <w:trPr>
          <w:trHeight w:val="227"/>
        </w:trPr>
        <w:tc>
          <w:tcPr>
            <w:tcW w:w="1820" w:type="dxa"/>
            <w:vMerge/>
            <w:shd w:val="clear" w:color="auto" w:fill="DAEEF3"/>
            <w:vAlign w:val="center"/>
          </w:tcPr>
          <w:p w:rsidR="00B23695" w:rsidRPr="000063FC" w:rsidRDefault="00B23695" w:rsidP="00946FAD">
            <w:pPr>
              <w:spacing w:line="240" w:lineRule="auto"/>
              <w:rPr>
                <w:rFonts w:asciiTheme="minorHAnsi" w:hAnsiTheme="minorHAnsi" w:cs="Arial"/>
                <w:sz w:val="20"/>
              </w:rPr>
            </w:pPr>
          </w:p>
        </w:tc>
        <w:tc>
          <w:tcPr>
            <w:tcW w:w="5281" w:type="dxa"/>
            <w:gridSpan w:val="2"/>
            <w:tcBorders>
              <w:top w:val="single" w:sz="4" w:space="0" w:color="4BACC6"/>
            </w:tcBorders>
            <w:shd w:val="clear" w:color="auto" w:fill="DAEEF3"/>
            <w:vAlign w:val="center"/>
          </w:tcPr>
          <w:p w:rsidR="00B23695" w:rsidRPr="000063FC" w:rsidRDefault="008B2E49" w:rsidP="00946FAD">
            <w:pPr>
              <w:spacing w:line="240" w:lineRule="auto"/>
              <w:rPr>
                <w:rFonts w:asciiTheme="minorHAnsi" w:hAnsiTheme="minorHAnsi" w:cs="Arial"/>
                <w:sz w:val="20"/>
              </w:rPr>
            </w:pPr>
            <w:r w:rsidRPr="000063FC">
              <w:rPr>
                <w:rFonts w:asciiTheme="minorHAnsi" w:hAnsiTheme="minorHAnsi" w:cs="Arial"/>
                <w:sz w:val="20"/>
              </w:rPr>
              <w:t>UKUPNO OSOBNA VOZILA</w:t>
            </w:r>
          </w:p>
        </w:tc>
        <w:tc>
          <w:tcPr>
            <w:tcW w:w="2126" w:type="dxa"/>
            <w:shd w:val="clear" w:color="auto" w:fill="DAEEF3"/>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336268</w:t>
            </w:r>
          </w:p>
        </w:tc>
      </w:tr>
      <w:tr w:rsidR="008B2E49" w:rsidRPr="000063FC" w:rsidTr="00946FAD">
        <w:trPr>
          <w:trHeight w:val="227"/>
        </w:trPr>
        <w:tc>
          <w:tcPr>
            <w:tcW w:w="1820" w:type="dxa"/>
            <w:vMerge w:val="restart"/>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Teretna vozila</w:t>
            </w:r>
          </w:p>
          <w:p w:rsidR="00B23695" w:rsidRPr="000063FC" w:rsidRDefault="00B23695" w:rsidP="00946FAD">
            <w:pPr>
              <w:spacing w:line="240" w:lineRule="auto"/>
              <w:rPr>
                <w:rFonts w:asciiTheme="minorHAnsi" w:hAnsiTheme="minorHAnsi" w:cs="Arial"/>
                <w:sz w:val="20"/>
              </w:rPr>
            </w:pPr>
          </w:p>
        </w:tc>
        <w:tc>
          <w:tcPr>
            <w:tcW w:w="2304" w:type="dxa"/>
            <w:vMerge w:val="restart"/>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Benzinska</w:t>
            </w: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&lt;3,5 t</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3036</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&gt;3,5 t</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18</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shd w:val="clear" w:color="auto" w:fill="F6FBFC"/>
            <w:vAlign w:val="center"/>
          </w:tcPr>
          <w:p w:rsidR="00B23695" w:rsidRPr="000063FC" w:rsidRDefault="008B2E49" w:rsidP="00946FAD">
            <w:pPr>
              <w:spacing w:line="240" w:lineRule="auto"/>
              <w:rPr>
                <w:rFonts w:asciiTheme="minorHAnsi" w:hAnsiTheme="minorHAnsi" w:cs="Arial"/>
                <w:sz w:val="20"/>
              </w:rPr>
            </w:pPr>
            <w:r w:rsidRPr="000063FC">
              <w:rPr>
                <w:rFonts w:asciiTheme="minorHAnsi" w:hAnsiTheme="minorHAnsi" w:cs="Arial"/>
                <w:sz w:val="20"/>
              </w:rPr>
              <w:t>Ukupno</w:t>
            </w:r>
          </w:p>
        </w:tc>
        <w:tc>
          <w:tcPr>
            <w:tcW w:w="2126" w:type="dxa"/>
            <w:shd w:val="clear" w:color="auto" w:fill="F6FBFC"/>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3054</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restart"/>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Dizel</w:t>
            </w: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&lt;3,5 t</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41436</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3,5-7,5 t</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8</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7,5-16 t</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1135</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16-32 t</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1124</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&gt;32 t</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4883</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shd w:val="clear" w:color="auto" w:fill="F6FBFC"/>
            <w:vAlign w:val="center"/>
          </w:tcPr>
          <w:p w:rsidR="00B23695" w:rsidRPr="000063FC" w:rsidRDefault="008B2E49" w:rsidP="00946FAD">
            <w:pPr>
              <w:spacing w:line="240" w:lineRule="auto"/>
              <w:rPr>
                <w:rFonts w:asciiTheme="minorHAnsi" w:hAnsiTheme="minorHAnsi" w:cs="Arial"/>
                <w:sz w:val="20"/>
              </w:rPr>
            </w:pPr>
            <w:r w:rsidRPr="000063FC">
              <w:rPr>
                <w:rFonts w:asciiTheme="minorHAnsi" w:hAnsiTheme="minorHAnsi" w:cs="Arial"/>
                <w:sz w:val="20"/>
              </w:rPr>
              <w:t>Ukupno</w:t>
            </w:r>
          </w:p>
        </w:tc>
        <w:tc>
          <w:tcPr>
            <w:tcW w:w="2126" w:type="dxa"/>
            <w:shd w:val="clear" w:color="auto" w:fill="F6FBFC"/>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48586</w:t>
            </w:r>
          </w:p>
        </w:tc>
      </w:tr>
      <w:tr w:rsidR="008B2E49" w:rsidRPr="000063FC" w:rsidTr="00946FAD">
        <w:trPr>
          <w:trHeight w:val="227"/>
        </w:trPr>
        <w:tc>
          <w:tcPr>
            <w:tcW w:w="1820" w:type="dxa"/>
            <w:vMerge/>
            <w:shd w:val="clear" w:color="auto" w:fill="DAEEF3"/>
            <w:vAlign w:val="center"/>
          </w:tcPr>
          <w:p w:rsidR="00B23695" w:rsidRPr="000063FC" w:rsidRDefault="00B23695" w:rsidP="00946FAD">
            <w:pPr>
              <w:spacing w:line="240" w:lineRule="auto"/>
              <w:rPr>
                <w:rFonts w:asciiTheme="minorHAnsi" w:hAnsiTheme="minorHAnsi" w:cs="Arial"/>
                <w:sz w:val="20"/>
              </w:rPr>
            </w:pPr>
          </w:p>
        </w:tc>
        <w:tc>
          <w:tcPr>
            <w:tcW w:w="5281" w:type="dxa"/>
            <w:gridSpan w:val="2"/>
            <w:shd w:val="clear" w:color="auto" w:fill="DAEEF3"/>
            <w:vAlign w:val="center"/>
          </w:tcPr>
          <w:p w:rsidR="00B23695" w:rsidRPr="000063FC" w:rsidRDefault="008B2E49" w:rsidP="00946FAD">
            <w:pPr>
              <w:spacing w:line="240" w:lineRule="auto"/>
              <w:rPr>
                <w:rFonts w:asciiTheme="minorHAnsi" w:hAnsiTheme="minorHAnsi" w:cs="Arial"/>
                <w:sz w:val="20"/>
              </w:rPr>
            </w:pPr>
            <w:r w:rsidRPr="000063FC">
              <w:rPr>
                <w:rFonts w:asciiTheme="minorHAnsi" w:hAnsiTheme="minorHAnsi" w:cs="Arial"/>
                <w:sz w:val="20"/>
              </w:rPr>
              <w:t>UKUPNO TERETNA VOZILA</w:t>
            </w:r>
            <w:r w:rsidRPr="000063FC">
              <w:rPr>
                <w:rStyle w:val="FootnoteReference"/>
                <w:rFonts w:asciiTheme="minorHAnsi" w:hAnsiTheme="minorHAnsi" w:cs="Arial"/>
                <w:sz w:val="20"/>
              </w:rPr>
              <w:footnoteReference w:id="17"/>
            </w:r>
          </w:p>
        </w:tc>
        <w:tc>
          <w:tcPr>
            <w:tcW w:w="2126" w:type="dxa"/>
            <w:shd w:val="clear" w:color="auto" w:fill="DAEEF3"/>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51640</w:t>
            </w:r>
          </w:p>
        </w:tc>
      </w:tr>
      <w:tr w:rsidR="008B2E49" w:rsidRPr="000063FC" w:rsidTr="00946FAD">
        <w:trPr>
          <w:trHeight w:val="227"/>
        </w:trPr>
        <w:tc>
          <w:tcPr>
            <w:tcW w:w="1820" w:type="dxa"/>
            <w:vMerge w:val="restart"/>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Autobusi</w:t>
            </w:r>
          </w:p>
          <w:p w:rsidR="00B23695" w:rsidRPr="000063FC" w:rsidRDefault="00B23695" w:rsidP="00946FAD">
            <w:pPr>
              <w:spacing w:line="240" w:lineRule="auto"/>
              <w:rPr>
                <w:rFonts w:asciiTheme="minorHAnsi" w:hAnsiTheme="minorHAnsi" w:cs="Arial"/>
                <w:sz w:val="20"/>
              </w:rPr>
            </w:pPr>
          </w:p>
        </w:tc>
        <w:tc>
          <w:tcPr>
            <w:tcW w:w="2304"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Gradski-ZET</w:t>
            </w: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 </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323</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Međugradski</w:t>
            </w: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 </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628</w:t>
            </w:r>
          </w:p>
        </w:tc>
      </w:tr>
      <w:tr w:rsidR="008B2E49" w:rsidRPr="000063FC" w:rsidTr="00946FAD">
        <w:trPr>
          <w:trHeight w:val="227"/>
        </w:trPr>
        <w:tc>
          <w:tcPr>
            <w:tcW w:w="1820" w:type="dxa"/>
            <w:vMerge/>
            <w:shd w:val="clear" w:color="auto" w:fill="DAEEF3"/>
            <w:vAlign w:val="center"/>
          </w:tcPr>
          <w:p w:rsidR="00B23695" w:rsidRPr="000063FC" w:rsidRDefault="00B23695" w:rsidP="00946FAD">
            <w:pPr>
              <w:spacing w:line="240" w:lineRule="auto"/>
              <w:rPr>
                <w:rFonts w:asciiTheme="minorHAnsi" w:hAnsiTheme="minorHAnsi" w:cs="Arial"/>
                <w:sz w:val="20"/>
              </w:rPr>
            </w:pPr>
          </w:p>
        </w:tc>
        <w:tc>
          <w:tcPr>
            <w:tcW w:w="5281" w:type="dxa"/>
            <w:gridSpan w:val="2"/>
            <w:shd w:val="clear" w:color="auto" w:fill="DAEEF3"/>
            <w:vAlign w:val="center"/>
          </w:tcPr>
          <w:p w:rsidR="00B23695" w:rsidRPr="000063FC" w:rsidRDefault="008B2E49" w:rsidP="00946FAD">
            <w:pPr>
              <w:spacing w:line="240" w:lineRule="auto"/>
              <w:rPr>
                <w:rFonts w:asciiTheme="minorHAnsi" w:hAnsiTheme="minorHAnsi" w:cs="Arial"/>
                <w:sz w:val="20"/>
              </w:rPr>
            </w:pPr>
            <w:r w:rsidRPr="000063FC">
              <w:rPr>
                <w:rFonts w:asciiTheme="minorHAnsi" w:hAnsiTheme="minorHAnsi" w:cs="Arial"/>
                <w:sz w:val="20"/>
              </w:rPr>
              <w:t>UKUPNO AUTOBUSI</w:t>
            </w:r>
          </w:p>
        </w:tc>
        <w:tc>
          <w:tcPr>
            <w:tcW w:w="2126" w:type="dxa"/>
            <w:shd w:val="clear" w:color="auto" w:fill="DAEEF3"/>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951</w:t>
            </w:r>
          </w:p>
        </w:tc>
      </w:tr>
      <w:tr w:rsidR="008B2E49" w:rsidRPr="000063FC" w:rsidTr="00946FAD">
        <w:trPr>
          <w:trHeight w:val="227"/>
        </w:trPr>
        <w:tc>
          <w:tcPr>
            <w:tcW w:w="1820" w:type="dxa"/>
            <w:vMerge w:val="restart"/>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Mopedi i motocikli</w:t>
            </w:r>
          </w:p>
          <w:p w:rsidR="00B23695" w:rsidRPr="000063FC" w:rsidRDefault="00B23695" w:rsidP="00946FAD">
            <w:pPr>
              <w:spacing w:line="240" w:lineRule="auto"/>
              <w:rPr>
                <w:rFonts w:asciiTheme="minorHAnsi" w:hAnsiTheme="minorHAnsi" w:cs="Arial"/>
                <w:sz w:val="20"/>
              </w:rPr>
            </w:pPr>
          </w:p>
        </w:tc>
        <w:tc>
          <w:tcPr>
            <w:tcW w:w="2304" w:type="dxa"/>
            <w:vMerge w:val="restart"/>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Benzinski</w:t>
            </w: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&lt;50 cm³</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15571</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2-taktni &gt;50 cm³</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2034</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4-taktni &lt;250 cm³</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4126</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4-taktni 250 - 750 cm³</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2645</w:t>
            </w:r>
          </w:p>
        </w:tc>
      </w:tr>
      <w:tr w:rsidR="008B2E49" w:rsidRPr="000063FC" w:rsidTr="00946FAD">
        <w:trPr>
          <w:trHeight w:val="227"/>
        </w:trPr>
        <w:tc>
          <w:tcPr>
            <w:tcW w:w="1820" w:type="dxa"/>
            <w:vMerge/>
            <w:vAlign w:val="center"/>
          </w:tcPr>
          <w:p w:rsidR="00B23695" w:rsidRPr="000063FC" w:rsidRDefault="00B23695" w:rsidP="00946FAD">
            <w:pPr>
              <w:spacing w:line="240" w:lineRule="auto"/>
              <w:rPr>
                <w:rFonts w:asciiTheme="minorHAnsi" w:hAnsiTheme="minorHAnsi" w:cs="Arial"/>
                <w:sz w:val="20"/>
              </w:rPr>
            </w:pPr>
          </w:p>
        </w:tc>
        <w:tc>
          <w:tcPr>
            <w:tcW w:w="2304" w:type="dxa"/>
            <w:vMerge/>
            <w:vAlign w:val="center"/>
          </w:tcPr>
          <w:p w:rsidR="00B23695" w:rsidRPr="000063FC" w:rsidRDefault="00B23695" w:rsidP="00946FAD">
            <w:pPr>
              <w:spacing w:line="240" w:lineRule="auto"/>
              <w:rPr>
                <w:rFonts w:asciiTheme="minorHAnsi" w:hAnsiTheme="minorHAnsi" w:cs="Arial"/>
                <w:sz w:val="20"/>
              </w:rPr>
            </w:pPr>
          </w:p>
        </w:tc>
        <w:tc>
          <w:tcPr>
            <w:tcW w:w="2977" w:type="dxa"/>
            <w:noWrap/>
            <w:vAlign w:val="center"/>
          </w:tcPr>
          <w:p w:rsidR="00B23695" w:rsidRPr="000063FC" w:rsidRDefault="008B2E49" w:rsidP="00946FAD">
            <w:pPr>
              <w:spacing w:line="240" w:lineRule="auto"/>
              <w:jc w:val="center"/>
              <w:rPr>
                <w:rFonts w:asciiTheme="minorHAnsi" w:hAnsiTheme="minorHAnsi" w:cs="Arial"/>
                <w:sz w:val="20"/>
              </w:rPr>
            </w:pPr>
            <w:r w:rsidRPr="000063FC">
              <w:rPr>
                <w:rFonts w:asciiTheme="minorHAnsi" w:hAnsiTheme="minorHAnsi" w:cs="Arial"/>
                <w:sz w:val="20"/>
              </w:rPr>
              <w:t>4-taktni &gt;750 cm³</w:t>
            </w:r>
          </w:p>
        </w:tc>
        <w:tc>
          <w:tcPr>
            <w:tcW w:w="2126" w:type="dxa"/>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1118</w:t>
            </w:r>
          </w:p>
        </w:tc>
      </w:tr>
      <w:tr w:rsidR="008B2E49" w:rsidRPr="000063FC" w:rsidTr="00946FAD">
        <w:trPr>
          <w:trHeight w:val="227"/>
        </w:trPr>
        <w:tc>
          <w:tcPr>
            <w:tcW w:w="1820" w:type="dxa"/>
            <w:vMerge/>
            <w:shd w:val="clear" w:color="auto" w:fill="DAEEF3"/>
            <w:vAlign w:val="center"/>
          </w:tcPr>
          <w:p w:rsidR="00B23695" w:rsidRPr="000063FC" w:rsidRDefault="00B23695" w:rsidP="00946FAD">
            <w:pPr>
              <w:spacing w:line="240" w:lineRule="auto"/>
              <w:rPr>
                <w:rFonts w:asciiTheme="minorHAnsi" w:hAnsiTheme="minorHAnsi" w:cs="Arial"/>
                <w:sz w:val="20"/>
              </w:rPr>
            </w:pPr>
          </w:p>
        </w:tc>
        <w:tc>
          <w:tcPr>
            <w:tcW w:w="5281" w:type="dxa"/>
            <w:gridSpan w:val="2"/>
            <w:shd w:val="clear" w:color="auto" w:fill="DAEEF3"/>
            <w:vAlign w:val="center"/>
          </w:tcPr>
          <w:p w:rsidR="00B23695" w:rsidRPr="000063FC" w:rsidRDefault="008B2E49" w:rsidP="00946FAD">
            <w:pPr>
              <w:spacing w:line="240" w:lineRule="auto"/>
              <w:rPr>
                <w:rFonts w:asciiTheme="minorHAnsi" w:hAnsiTheme="minorHAnsi" w:cs="Arial"/>
                <w:sz w:val="20"/>
              </w:rPr>
            </w:pPr>
            <w:r w:rsidRPr="000063FC">
              <w:rPr>
                <w:rFonts w:asciiTheme="minorHAnsi" w:hAnsiTheme="minorHAnsi" w:cs="Arial"/>
                <w:sz w:val="20"/>
              </w:rPr>
              <w:t>UKUPNO MOPEDI I MOTOCIKLI</w:t>
            </w:r>
          </w:p>
        </w:tc>
        <w:tc>
          <w:tcPr>
            <w:tcW w:w="2126" w:type="dxa"/>
            <w:shd w:val="clear" w:color="auto" w:fill="DAEEF3"/>
            <w:noWrap/>
            <w:vAlign w:val="center"/>
          </w:tcPr>
          <w:p w:rsidR="00B23695" w:rsidRPr="000063FC" w:rsidRDefault="008B2E49" w:rsidP="00946FAD">
            <w:pPr>
              <w:spacing w:line="240" w:lineRule="auto"/>
              <w:jc w:val="right"/>
              <w:rPr>
                <w:rFonts w:asciiTheme="minorHAnsi" w:hAnsiTheme="minorHAnsi" w:cs="Arial"/>
                <w:sz w:val="20"/>
              </w:rPr>
            </w:pPr>
            <w:r w:rsidRPr="000063FC">
              <w:rPr>
                <w:rFonts w:asciiTheme="minorHAnsi" w:hAnsiTheme="minorHAnsi" w:cs="Arial"/>
                <w:sz w:val="20"/>
              </w:rPr>
              <w:t>25494</w:t>
            </w:r>
          </w:p>
        </w:tc>
      </w:tr>
      <w:tr w:rsidR="008B2E49" w:rsidRPr="000063FC" w:rsidTr="00946FAD">
        <w:trPr>
          <w:trHeight w:val="227"/>
        </w:trPr>
        <w:tc>
          <w:tcPr>
            <w:tcW w:w="7101" w:type="dxa"/>
            <w:gridSpan w:val="3"/>
            <w:tcBorders>
              <w:bottom w:val="single" w:sz="4" w:space="0" w:color="4BACC6"/>
              <w:right w:val="single" w:sz="6" w:space="0" w:color="FFFFFF"/>
            </w:tcBorders>
            <w:shd w:val="clear" w:color="auto" w:fill="4BACC6"/>
            <w:noWrap/>
            <w:vAlign w:val="center"/>
          </w:tcPr>
          <w:p w:rsidR="00B23695" w:rsidRPr="000063FC" w:rsidRDefault="008B2E49" w:rsidP="00946FAD">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UKUPNO</w:t>
            </w:r>
          </w:p>
        </w:tc>
        <w:tc>
          <w:tcPr>
            <w:tcW w:w="2126" w:type="dxa"/>
            <w:tcBorders>
              <w:left w:val="single" w:sz="6" w:space="0" w:color="FFFFFF"/>
              <w:bottom w:val="single" w:sz="4" w:space="0" w:color="4BACC6"/>
            </w:tcBorders>
            <w:shd w:val="clear" w:color="auto" w:fill="4BACC6"/>
            <w:noWrap/>
            <w:vAlign w:val="center"/>
          </w:tcPr>
          <w:p w:rsidR="00B23695" w:rsidRPr="000063FC" w:rsidRDefault="008B2E49" w:rsidP="00946FAD">
            <w:pPr>
              <w:spacing w:line="240" w:lineRule="auto"/>
              <w:jc w:val="right"/>
              <w:rPr>
                <w:rFonts w:asciiTheme="minorHAnsi" w:hAnsiTheme="minorHAnsi" w:cs="Arial"/>
                <w:b/>
                <w:color w:val="FFFFFF"/>
                <w:sz w:val="20"/>
              </w:rPr>
            </w:pPr>
            <w:r w:rsidRPr="000063FC">
              <w:rPr>
                <w:rFonts w:asciiTheme="minorHAnsi" w:hAnsiTheme="minorHAnsi" w:cs="Arial"/>
                <w:b/>
                <w:color w:val="FFFFFF"/>
                <w:sz w:val="20"/>
              </w:rPr>
              <w:t>414353</w:t>
            </w:r>
          </w:p>
        </w:tc>
      </w:tr>
    </w:tbl>
    <w:p w:rsidR="00B23695" w:rsidRPr="000063FC" w:rsidRDefault="00B23695">
      <w:pPr>
        <w:spacing w:after="120" w:line="276" w:lineRule="auto"/>
      </w:pPr>
    </w:p>
    <w:p w:rsidR="00B23695" w:rsidRPr="000063FC" w:rsidRDefault="00234829">
      <w:pPr>
        <w:spacing w:after="120" w:line="276" w:lineRule="auto"/>
        <w:rPr>
          <w:szCs w:val="22"/>
        </w:rPr>
      </w:pPr>
      <w:r w:rsidRPr="000063FC">
        <w:br w:type="page"/>
      </w:r>
      <w:r w:rsidR="007B0169" w:rsidRPr="000063FC">
        <w:rPr>
          <w:szCs w:val="22"/>
        </w:rPr>
        <w:lastRenderedPageBreak/>
        <w:t xml:space="preserve">Na slici 2.3 prikazana je raspodjela ukupnog broja vozila Grada Zagreba prema glavnim kategorijama. </w:t>
      </w:r>
    </w:p>
    <w:p w:rsidR="00B23695" w:rsidRPr="000063FC" w:rsidRDefault="00234829">
      <w:pPr>
        <w:spacing w:line="276" w:lineRule="auto"/>
        <w:jc w:val="center"/>
      </w:pPr>
      <w:r w:rsidRPr="000063FC">
        <w:rPr>
          <w:noProof/>
          <w:lang w:eastAsia="hr-HR"/>
        </w:rPr>
        <w:drawing>
          <wp:inline distT="0" distB="0" distL="0" distR="0">
            <wp:extent cx="5406887" cy="2830664"/>
            <wp:effectExtent l="0" t="0" r="0" b="0"/>
            <wp:docPr id="13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C341E" w:rsidRPr="000063FC" w:rsidRDefault="008B2E49">
      <w:pPr>
        <w:pStyle w:val="Heading7"/>
      </w:pPr>
      <w:bookmarkStart w:id="141" w:name="_Toc251935562"/>
      <w:bookmarkStart w:id="142" w:name="_Toc254010286"/>
      <w:r w:rsidRPr="000063FC">
        <w:t xml:space="preserve">Slika </w:t>
      </w:r>
      <w:r w:rsidR="00243323" w:rsidRPr="000063FC">
        <w:t>2.3</w:t>
      </w:r>
      <w:r w:rsidR="00234829" w:rsidRPr="000063FC">
        <w:t xml:space="preserve">: </w:t>
      </w:r>
      <w:r w:rsidRPr="000063FC">
        <w:t>Raspodjela cestovnih vozila u Gradu Zagrebu prema kategorijama</w:t>
      </w:r>
      <w:bookmarkEnd w:id="141"/>
      <w:bookmarkEnd w:id="142"/>
    </w:p>
    <w:p w:rsidR="00B23695" w:rsidRPr="000063FC" w:rsidRDefault="00B23695">
      <w:pPr>
        <w:spacing w:line="276" w:lineRule="auto"/>
      </w:pPr>
    </w:p>
    <w:p w:rsidR="00BC341E" w:rsidRPr="000063FC" w:rsidRDefault="008B2E49">
      <w:pPr>
        <w:pStyle w:val="Heading4"/>
      </w:pPr>
      <w:bookmarkStart w:id="143" w:name="_Toc254010188"/>
      <w:r w:rsidRPr="000063FC">
        <w:t xml:space="preserve">Emisije </w:t>
      </w:r>
      <w:r w:rsidR="00B32561" w:rsidRPr="000063FC">
        <w:t>CO</w:t>
      </w:r>
      <w:r w:rsidR="00B32561" w:rsidRPr="000063FC">
        <w:rPr>
          <w:vertAlign w:val="subscript"/>
        </w:rPr>
        <w:t>2</w:t>
      </w:r>
      <w:r w:rsidR="00B32561" w:rsidRPr="000063FC">
        <w:t xml:space="preserve"> </w:t>
      </w:r>
      <w:r w:rsidRPr="000063FC">
        <w:t xml:space="preserve">iz </w:t>
      </w:r>
      <w:r w:rsidR="00B32561" w:rsidRPr="000063FC">
        <w:t xml:space="preserve">podsektora </w:t>
      </w:r>
      <w:r w:rsidRPr="000063FC">
        <w:t>vozila u vlasništvu Grada</w:t>
      </w:r>
      <w:bookmarkEnd w:id="143"/>
    </w:p>
    <w:p w:rsidR="00B32561" w:rsidRPr="000063FC" w:rsidRDefault="00B32561" w:rsidP="00B32561">
      <w:pPr>
        <w:spacing w:line="240" w:lineRule="auto"/>
      </w:pPr>
      <w:r w:rsidRPr="000063FC">
        <w:t>Podsektor vozila u vlasništvu Grada obuhvaća vozni park Gradske uprave i svih članica Zagrebačkog holdinga.</w:t>
      </w:r>
    </w:p>
    <w:p w:rsidR="00B32561" w:rsidRPr="000063FC" w:rsidRDefault="00B32561" w:rsidP="00B32561">
      <w:pPr>
        <w:spacing w:line="240" w:lineRule="auto"/>
      </w:pPr>
    </w:p>
    <w:p w:rsidR="00B23695" w:rsidRPr="000063FC" w:rsidRDefault="008B2E49">
      <w:pPr>
        <w:spacing w:line="276" w:lineRule="auto"/>
        <w:rPr>
          <w:szCs w:val="22"/>
        </w:rPr>
      </w:pPr>
      <w:r w:rsidRPr="000063FC">
        <w:rPr>
          <w:szCs w:val="22"/>
        </w:rPr>
        <w:t>Prilikom proračuna emisije CO</w:t>
      </w:r>
      <w:r w:rsidRPr="000063FC">
        <w:rPr>
          <w:szCs w:val="22"/>
          <w:vertAlign w:val="subscript"/>
        </w:rPr>
        <w:t>2</w:t>
      </w:r>
      <w:r w:rsidRPr="000063FC">
        <w:rPr>
          <w:szCs w:val="22"/>
        </w:rPr>
        <w:t xml:space="preserve"> bilo je potrebno procijeniti potrošnju goriva 5 osobnih vozila niže klase te 10 osobnih vozila više/srednje klase. U procjeni su korištene slijedeće pretpostavke:</w:t>
      </w:r>
    </w:p>
    <w:p w:rsidR="00B23695" w:rsidRPr="000063FC" w:rsidRDefault="008B2E49" w:rsidP="00C20113">
      <w:pPr>
        <w:pStyle w:val="ListParagraph"/>
        <w:numPr>
          <w:ilvl w:val="0"/>
          <w:numId w:val="13"/>
        </w:numPr>
        <w:spacing w:after="0"/>
        <w:jc w:val="both"/>
      </w:pPr>
      <w:r w:rsidRPr="000063FC">
        <w:t>Tri osobna vozila niže klase koriste kao gorivo dizel. Ukupna godišnja potrošnja dizela procijenjena je na temelju prosječne potrošnje od 4,5 l/100 km.</w:t>
      </w:r>
    </w:p>
    <w:p w:rsidR="00B23695" w:rsidRPr="000063FC" w:rsidRDefault="008B2E49" w:rsidP="00C20113">
      <w:pPr>
        <w:pStyle w:val="ListParagraph"/>
        <w:numPr>
          <w:ilvl w:val="0"/>
          <w:numId w:val="13"/>
        </w:numPr>
        <w:spacing w:after="0"/>
        <w:jc w:val="both"/>
      </w:pPr>
      <w:r w:rsidRPr="000063FC">
        <w:t>Dva osobna vozila niže klase koriste kao gorivo benzin. Ukupna godišnja potrošnja benzina procijenjena je na temelju prosječne potrošnje od 9 l/100 km</w:t>
      </w:r>
    </w:p>
    <w:p w:rsidR="00B23695" w:rsidRPr="000063FC" w:rsidRDefault="008B2E49" w:rsidP="00C20113">
      <w:pPr>
        <w:pStyle w:val="ListParagraph"/>
        <w:numPr>
          <w:ilvl w:val="0"/>
          <w:numId w:val="13"/>
        </w:numPr>
        <w:spacing w:after="0"/>
        <w:jc w:val="both"/>
      </w:pPr>
      <w:r w:rsidRPr="000063FC">
        <w:t xml:space="preserve">Deset osobnih vozila više/srednje klase kao gorivo koriste dizel. Ukupna godišnja potrošnja goriva procijenjena </w:t>
      </w:r>
      <w:r w:rsidR="00753E04" w:rsidRPr="000063FC">
        <w:t xml:space="preserve">je </w:t>
      </w:r>
      <w:r w:rsidRPr="000063FC">
        <w:t xml:space="preserve">na temelju prosječne potrošnje od 5,5 l/100 km. </w:t>
      </w:r>
    </w:p>
    <w:p w:rsidR="00B23695" w:rsidRPr="000063FC" w:rsidRDefault="008B2E49" w:rsidP="00C20113">
      <w:pPr>
        <w:pStyle w:val="ListParagraph"/>
        <w:numPr>
          <w:ilvl w:val="0"/>
          <w:numId w:val="13"/>
        </w:numPr>
        <w:spacing w:after="0"/>
        <w:jc w:val="both"/>
      </w:pPr>
      <w:r w:rsidRPr="000063FC">
        <w:t>Prijeđeni godišnji put preuzet je iz COPERT modela. Procijenjeno j</w:t>
      </w:r>
      <w:r w:rsidR="00B32561" w:rsidRPr="000063FC">
        <w:t xml:space="preserve">e da jedno vozilo napravi 30 km </w:t>
      </w:r>
      <w:r w:rsidRPr="000063FC">
        <w:t xml:space="preserve">dnevno, što uz 250 radnih dana </w:t>
      </w:r>
      <w:r w:rsidR="00B32561" w:rsidRPr="000063FC">
        <w:t xml:space="preserve">godišnje </w:t>
      </w:r>
      <w:r w:rsidRPr="000063FC">
        <w:t xml:space="preserve">iznosi </w:t>
      </w:r>
      <w:r w:rsidR="00B32561" w:rsidRPr="000063FC">
        <w:t xml:space="preserve">ukupno </w:t>
      </w:r>
      <w:r w:rsidRPr="000063FC">
        <w:t>7500 km.</w:t>
      </w:r>
    </w:p>
    <w:p w:rsidR="00772AF0" w:rsidRPr="000063FC" w:rsidRDefault="00772AF0">
      <w:pPr>
        <w:tabs>
          <w:tab w:val="clear" w:pos="720"/>
          <w:tab w:val="clear" w:pos="6912"/>
        </w:tabs>
        <w:spacing w:line="240" w:lineRule="auto"/>
        <w:jc w:val="left"/>
        <w:rPr>
          <w:szCs w:val="22"/>
        </w:rPr>
      </w:pPr>
      <w:r w:rsidRPr="000063FC">
        <w:rPr>
          <w:szCs w:val="22"/>
        </w:rPr>
        <w:br w:type="page"/>
      </w:r>
    </w:p>
    <w:p w:rsidR="00B23695" w:rsidRPr="000063FC" w:rsidRDefault="008B2E49">
      <w:pPr>
        <w:spacing w:line="276" w:lineRule="auto"/>
        <w:rPr>
          <w:szCs w:val="22"/>
        </w:rPr>
      </w:pPr>
      <w:r w:rsidRPr="000063FC">
        <w:rPr>
          <w:szCs w:val="22"/>
        </w:rPr>
        <w:lastRenderedPageBreak/>
        <w:t xml:space="preserve">U tablici </w:t>
      </w:r>
      <w:r w:rsidR="008E1FA8" w:rsidRPr="000063FC">
        <w:rPr>
          <w:szCs w:val="22"/>
        </w:rPr>
        <w:t>2.15</w:t>
      </w:r>
      <w:r w:rsidR="00B32561" w:rsidRPr="000063FC">
        <w:rPr>
          <w:szCs w:val="22"/>
        </w:rPr>
        <w:t xml:space="preserve"> prikazane</w:t>
      </w:r>
      <w:r w:rsidRPr="000063FC">
        <w:rPr>
          <w:szCs w:val="22"/>
        </w:rPr>
        <w:t xml:space="preserve"> su potrošnje</w:t>
      </w:r>
      <w:r w:rsidR="00B32561" w:rsidRPr="000063FC">
        <w:rPr>
          <w:szCs w:val="22"/>
        </w:rPr>
        <w:t xml:space="preserve"> različitih goriva</w:t>
      </w:r>
      <w:r w:rsidRPr="000063FC">
        <w:rPr>
          <w:szCs w:val="22"/>
        </w:rPr>
        <w:t xml:space="preserve"> </w:t>
      </w:r>
      <w:r w:rsidR="00753E04" w:rsidRPr="000063FC">
        <w:rPr>
          <w:szCs w:val="22"/>
        </w:rPr>
        <w:t xml:space="preserve">voznog parka </w:t>
      </w:r>
      <w:r w:rsidRPr="000063FC">
        <w:rPr>
          <w:szCs w:val="22"/>
        </w:rPr>
        <w:t>u vlasništvu Grada</w:t>
      </w:r>
      <w:r w:rsidR="00B32561" w:rsidRPr="000063FC">
        <w:rPr>
          <w:szCs w:val="22"/>
        </w:rPr>
        <w:t xml:space="preserve"> u 2008</w:t>
      </w:r>
      <w:r w:rsidRPr="000063FC">
        <w:rPr>
          <w:szCs w:val="22"/>
        </w:rPr>
        <w:t>.</w:t>
      </w:r>
      <w:r w:rsidR="00B32561" w:rsidRPr="000063FC">
        <w:rPr>
          <w:szCs w:val="22"/>
        </w:rPr>
        <w:t xml:space="preserve"> godini (narančasto označena polja su procijenjena jer </w:t>
      </w:r>
      <w:r w:rsidR="00D522AD" w:rsidRPr="000063FC">
        <w:rPr>
          <w:szCs w:val="22"/>
        </w:rPr>
        <w:t xml:space="preserve">stvarni podaci </w:t>
      </w:r>
      <w:r w:rsidR="00B32561" w:rsidRPr="000063FC">
        <w:rPr>
          <w:szCs w:val="22"/>
        </w:rPr>
        <w:t>nisu bili dostupni).</w:t>
      </w:r>
    </w:p>
    <w:p w:rsidR="00F8675A" w:rsidRPr="000063FC" w:rsidRDefault="00F8675A">
      <w:pPr>
        <w:spacing w:line="276" w:lineRule="auto"/>
        <w:rPr>
          <w:szCs w:val="22"/>
        </w:rPr>
      </w:pPr>
    </w:p>
    <w:p w:rsidR="00BC341E" w:rsidRPr="000063FC" w:rsidRDefault="008B2E49" w:rsidP="00B33E2F">
      <w:pPr>
        <w:pStyle w:val="Heading6"/>
      </w:pPr>
      <w:bookmarkStart w:id="144" w:name="_Toc254010244"/>
      <w:r w:rsidRPr="000063FC">
        <w:t xml:space="preserve">Tablica </w:t>
      </w:r>
      <w:r w:rsidR="00091508" w:rsidRPr="000063FC">
        <w:t>2.15</w:t>
      </w:r>
      <w:r w:rsidRPr="000063FC">
        <w:t xml:space="preserve">: Potrošnje </w:t>
      </w:r>
      <w:r w:rsidR="00D522AD" w:rsidRPr="000063FC">
        <w:t xml:space="preserve">raznih vrsta goriva </w:t>
      </w:r>
      <w:r w:rsidR="00753E04" w:rsidRPr="000063FC">
        <w:t>voznog parka</w:t>
      </w:r>
      <w:r w:rsidRPr="000063FC">
        <w:t xml:space="preserve"> u vlasništvu Grada</w:t>
      </w:r>
      <w:bookmarkEnd w:id="144"/>
    </w:p>
    <w:tbl>
      <w:tblPr>
        <w:tblW w:w="9072" w:type="dxa"/>
        <w:tblInd w:w="108" w:type="dxa"/>
        <w:tblBorders>
          <w:top w:val="single" w:sz="4" w:space="0" w:color="4BACC6"/>
          <w:left w:val="single" w:sz="4" w:space="0" w:color="4BACC6"/>
          <w:bottom w:val="single" w:sz="4" w:space="0" w:color="4BACC6"/>
          <w:right w:val="single" w:sz="4" w:space="0" w:color="4BACC6"/>
          <w:insideH w:val="single" w:sz="6" w:space="0" w:color="4BACC6"/>
          <w:insideV w:val="single" w:sz="6" w:space="0" w:color="4BACC6"/>
        </w:tblBorders>
        <w:tblLook w:val="00A0" w:firstRow="1" w:lastRow="0" w:firstColumn="1" w:lastColumn="0" w:noHBand="0" w:noVBand="0"/>
      </w:tblPr>
      <w:tblGrid>
        <w:gridCol w:w="419"/>
        <w:gridCol w:w="3704"/>
        <w:gridCol w:w="1280"/>
        <w:gridCol w:w="1259"/>
        <w:gridCol w:w="1276"/>
        <w:gridCol w:w="1134"/>
      </w:tblGrid>
      <w:tr w:rsidR="008B2E49" w:rsidRPr="000063FC" w:rsidTr="00EA3B8D">
        <w:trPr>
          <w:trHeight w:val="227"/>
        </w:trPr>
        <w:tc>
          <w:tcPr>
            <w:tcW w:w="4123" w:type="dxa"/>
            <w:gridSpan w:val="2"/>
            <w:vMerge w:val="restart"/>
            <w:tcBorders>
              <w:top w:val="single" w:sz="4" w:space="0" w:color="4BACC6"/>
              <w:right w:val="single" w:sz="6" w:space="0" w:color="FFFFFF"/>
            </w:tcBorders>
            <w:shd w:val="clear" w:color="auto" w:fill="4BACC6"/>
            <w:noWrap/>
            <w:vAlign w:val="center"/>
          </w:tcPr>
          <w:p w:rsidR="00BC341E" w:rsidRPr="000063FC" w:rsidRDefault="00753E04">
            <w:pPr>
              <w:spacing w:line="276" w:lineRule="auto"/>
              <w:jc w:val="center"/>
              <w:rPr>
                <w:rFonts w:asciiTheme="minorHAnsi" w:hAnsiTheme="minorHAnsi" w:cs="Arial"/>
                <w:b/>
                <w:color w:val="FFFFFF"/>
                <w:sz w:val="20"/>
                <w:lang w:eastAsia="hr-HR"/>
              </w:rPr>
            </w:pPr>
            <w:r w:rsidRPr="000063FC">
              <w:rPr>
                <w:rFonts w:asciiTheme="minorHAnsi" w:hAnsiTheme="minorHAnsi" w:cs="Arial"/>
                <w:b/>
                <w:color w:val="FFFFFF"/>
                <w:sz w:val="20"/>
                <w:lang w:eastAsia="hr-HR"/>
              </w:rPr>
              <w:t>VOZNI PARK</w:t>
            </w:r>
            <w:r w:rsidR="008B2E49" w:rsidRPr="000063FC">
              <w:rPr>
                <w:rFonts w:asciiTheme="minorHAnsi" w:hAnsiTheme="minorHAnsi" w:cs="Arial"/>
                <w:b/>
                <w:color w:val="FFFFFF"/>
                <w:sz w:val="20"/>
                <w:lang w:eastAsia="hr-HR"/>
              </w:rPr>
              <w:t xml:space="preserve"> U VLASNIŠTVU GRADA</w:t>
            </w:r>
          </w:p>
        </w:tc>
        <w:tc>
          <w:tcPr>
            <w:tcW w:w="1280" w:type="dxa"/>
            <w:tcBorders>
              <w:top w:val="single" w:sz="4" w:space="0" w:color="4BACC6"/>
              <w:left w:val="single" w:sz="6" w:space="0" w:color="FFFFFF"/>
              <w:bottom w:val="single" w:sz="6" w:space="0" w:color="FFFFFF"/>
              <w:right w:val="single" w:sz="6" w:space="0" w:color="FFFFFF"/>
            </w:tcBorders>
            <w:shd w:val="clear" w:color="auto" w:fill="4BACC6"/>
            <w:vAlign w:val="bottom"/>
          </w:tcPr>
          <w:p w:rsidR="00BC341E" w:rsidRPr="000063FC" w:rsidRDefault="008B2E49">
            <w:pPr>
              <w:spacing w:line="276" w:lineRule="auto"/>
              <w:jc w:val="center"/>
              <w:rPr>
                <w:rFonts w:asciiTheme="minorHAnsi" w:hAnsiTheme="minorHAnsi" w:cs="Arial"/>
                <w:b/>
                <w:color w:val="FFFFFF"/>
                <w:sz w:val="20"/>
                <w:lang w:eastAsia="hr-HR"/>
              </w:rPr>
            </w:pPr>
            <w:r w:rsidRPr="000063FC">
              <w:rPr>
                <w:rFonts w:asciiTheme="minorHAnsi" w:hAnsiTheme="minorHAnsi" w:cs="Arial"/>
                <w:b/>
                <w:color w:val="FFFFFF"/>
                <w:sz w:val="20"/>
                <w:lang w:eastAsia="hr-HR"/>
              </w:rPr>
              <w:t>DIZEL</w:t>
            </w:r>
          </w:p>
        </w:tc>
        <w:tc>
          <w:tcPr>
            <w:tcW w:w="1259" w:type="dxa"/>
            <w:tcBorders>
              <w:top w:val="single" w:sz="4" w:space="0" w:color="4BACC6"/>
              <w:left w:val="single" w:sz="6" w:space="0" w:color="FFFFFF"/>
              <w:bottom w:val="single" w:sz="6" w:space="0" w:color="FFFFFF"/>
              <w:right w:val="single" w:sz="6" w:space="0" w:color="FFFFFF"/>
            </w:tcBorders>
            <w:shd w:val="clear" w:color="auto" w:fill="4BACC6"/>
            <w:vAlign w:val="bottom"/>
          </w:tcPr>
          <w:p w:rsidR="00BC341E" w:rsidRPr="000063FC" w:rsidRDefault="008B2E49">
            <w:pPr>
              <w:spacing w:line="276" w:lineRule="auto"/>
              <w:jc w:val="center"/>
              <w:rPr>
                <w:rFonts w:asciiTheme="minorHAnsi" w:hAnsiTheme="minorHAnsi" w:cs="Arial"/>
                <w:b/>
                <w:color w:val="FFFFFF"/>
                <w:sz w:val="20"/>
                <w:lang w:eastAsia="hr-HR"/>
              </w:rPr>
            </w:pPr>
            <w:r w:rsidRPr="000063FC">
              <w:rPr>
                <w:rFonts w:asciiTheme="minorHAnsi" w:hAnsiTheme="minorHAnsi" w:cs="Arial"/>
                <w:b/>
                <w:color w:val="FFFFFF"/>
                <w:sz w:val="20"/>
                <w:lang w:eastAsia="hr-HR"/>
              </w:rPr>
              <w:t>MOTORNI BENZIN</w:t>
            </w:r>
          </w:p>
        </w:tc>
        <w:tc>
          <w:tcPr>
            <w:tcW w:w="1276" w:type="dxa"/>
            <w:tcBorders>
              <w:top w:val="single" w:sz="4" w:space="0" w:color="4BACC6"/>
              <w:left w:val="single" w:sz="6" w:space="0" w:color="FFFFFF"/>
              <w:bottom w:val="single" w:sz="6" w:space="0" w:color="FFFFFF"/>
              <w:right w:val="single" w:sz="6" w:space="0" w:color="FFFFFF"/>
            </w:tcBorders>
            <w:shd w:val="clear" w:color="auto" w:fill="4BACC6"/>
            <w:vAlign w:val="bottom"/>
          </w:tcPr>
          <w:p w:rsidR="00BC341E" w:rsidRPr="000063FC" w:rsidRDefault="008B2E49">
            <w:pPr>
              <w:spacing w:line="276" w:lineRule="auto"/>
              <w:jc w:val="center"/>
              <w:rPr>
                <w:rFonts w:asciiTheme="minorHAnsi" w:hAnsiTheme="minorHAnsi" w:cs="Arial"/>
                <w:b/>
                <w:color w:val="FFFFFF"/>
                <w:sz w:val="20"/>
                <w:lang w:eastAsia="hr-HR"/>
              </w:rPr>
            </w:pPr>
            <w:r w:rsidRPr="000063FC">
              <w:rPr>
                <w:rFonts w:asciiTheme="minorHAnsi" w:hAnsiTheme="minorHAnsi" w:cs="Arial"/>
                <w:b/>
                <w:color w:val="FFFFFF"/>
                <w:sz w:val="20"/>
                <w:lang w:eastAsia="hr-HR"/>
              </w:rPr>
              <w:t>PRIRODNI PLIN</w:t>
            </w:r>
          </w:p>
        </w:tc>
        <w:tc>
          <w:tcPr>
            <w:tcW w:w="1134" w:type="dxa"/>
            <w:tcBorders>
              <w:top w:val="single" w:sz="4" w:space="0" w:color="4BACC6"/>
              <w:left w:val="single" w:sz="6" w:space="0" w:color="FFFFFF"/>
              <w:bottom w:val="single" w:sz="6" w:space="0" w:color="FFFFFF"/>
            </w:tcBorders>
            <w:shd w:val="clear" w:color="auto" w:fill="4BACC6"/>
            <w:vAlign w:val="bottom"/>
          </w:tcPr>
          <w:p w:rsidR="00BC341E" w:rsidRPr="000063FC" w:rsidRDefault="008B2E49">
            <w:pPr>
              <w:spacing w:line="276" w:lineRule="auto"/>
              <w:jc w:val="center"/>
              <w:rPr>
                <w:rFonts w:asciiTheme="minorHAnsi" w:hAnsiTheme="minorHAnsi" w:cs="Arial"/>
                <w:b/>
                <w:color w:val="FFFFFF"/>
                <w:sz w:val="20"/>
                <w:lang w:eastAsia="hr-HR"/>
              </w:rPr>
            </w:pPr>
            <w:r w:rsidRPr="000063FC">
              <w:rPr>
                <w:rFonts w:asciiTheme="minorHAnsi" w:hAnsiTheme="minorHAnsi" w:cs="Arial"/>
                <w:b/>
                <w:color w:val="FFFFFF"/>
                <w:sz w:val="20"/>
                <w:lang w:eastAsia="hr-HR"/>
              </w:rPr>
              <w:t>UNP</w:t>
            </w:r>
          </w:p>
        </w:tc>
      </w:tr>
      <w:tr w:rsidR="008B2E49" w:rsidRPr="000063FC" w:rsidTr="00EA3B8D">
        <w:trPr>
          <w:trHeight w:val="227"/>
        </w:trPr>
        <w:tc>
          <w:tcPr>
            <w:tcW w:w="4123" w:type="dxa"/>
            <w:gridSpan w:val="2"/>
            <w:vMerge/>
            <w:tcBorders>
              <w:right w:val="single" w:sz="6" w:space="0" w:color="FFFFFF"/>
            </w:tcBorders>
            <w:shd w:val="clear" w:color="auto" w:fill="4BACC6"/>
            <w:noWrap/>
            <w:vAlign w:val="bottom"/>
          </w:tcPr>
          <w:p w:rsidR="00BC341E" w:rsidRPr="000063FC" w:rsidRDefault="00BC341E">
            <w:pPr>
              <w:spacing w:line="276" w:lineRule="auto"/>
              <w:rPr>
                <w:rFonts w:asciiTheme="minorHAnsi" w:hAnsiTheme="minorHAnsi" w:cs="Arial"/>
                <w:b/>
                <w:color w:val="FFFFFF"/>
                <w:sz w:val="20"/>
                <w:lang w:eastAsia="hr-HR"/>
              </w:rPr>
            </w:pPr>
          </w:p>
        </w:tc>
        <w:tc>
          <w:tcPr>
            <w:tcW w:w="1280" w:type="dxa"/>
            <w:tcBorders>
              <w:top w:val="single" w:sz="6" w:space="0" w:color="FFFFFF"/>
              <w:left w:val="single" w:sz="6" w:space="0" w:color="FFFFFF"/>
              <w:right w:val="single" w:sz="6" w:space="0" w:color="FFFFFF"/>
            </w:tcBorders>
            <w:shd w:val="clear" w:color="auto" w:fill="4BACC6"/>
            <w:noWrap/>
            <w:vAlign w:val="bottom"/>
          </w:tcPr>
          <w:p w:rsidR="00BC341E" w:rsidRPr="000063FC" w:rsidRDefault="008B2E49">
            <w:pPr>
              <w:spacing w:line="276" w:lineRule="auto"/>
              <w:jc w:val="center"/>
              <w:rPr>
                <w:rFonts w:asciiTheme="minorHAnsi" w:hAnsiTheme="minorHAnsi" w:cs="Arial"/>
                <w:b/>
                <w:color w:val="FFFFFF"/>
                <w:sz w:val="20"/>
                <w:lang w:eastAsia="hr-HR"/>
              </w:rPr>
            </w:pPr>
            <w:r w:rsidRPr="000063FC">
              <w:rPr>
                <w:rFonts w:asciiTheme="minorHAnsi" w:hAnsiTheme="minorHAnsi" w:cs="Arial"/>
                <w:b/>
                <w:color w:val="FFFFFF"/>
                <w:sz w:val="20"/>
                <w:lang w:eastAsia="hr-HR"/>
              </w:rPr>
              <w:t>lit</w:t>
            </w:r>
          </w:p>
        </w:tc>
        <w:tc>
          <w:tcPr>
            <w:tcW w:w="1259" w:type="dxa"/>
            <w:tcBorders>
              <w:top w:val="single" w:sz="6" w:space="0" w:color="FFFFFF"/>
              <w:left w:val="single" w:sz="6" w:space="0" w:color="FFFFFF"/>
              <w:right w:val="single" w:sz="6" w:space="0" w:color="FFFFFF"/>
            </w:tcBorders>
            <w:shd w:val="clear" w:color="auto" w:fill="4BACC6"/>
            <w:noWrap/>
            <w:vAlign w:val="bottom"/>
          </w:tcPr>
          <w:p w:rsidR="00BC341E" w:rsidRPr="000063FC" w:rsidRDefault="008B2E49">
            <w:pPr>
              <w:spacing w:line="276" w:lineRule="auto"/>
              <w:jc w:val="center"/>
              <w:rPr>
                <w:rFonts w:asciiTheme="minorHAnsi" w:hAnsiTheme="minorHAnsi" w:cs="Arial"/>
                <w:b/>
                <w:color w:val="FFFFFF"/>
                <w:sz w:val="20"/>
                <w:lang w:eastAsia="hr-HR"/>
              </w:rPr>
            </w:pPr>
            <w:r w:rsidRPr="000063FC">
              <w:rPr>
                <w:rFonts w:asciiTheme="minorHAnsi" w:hAnsiTheme="minorHAnsi" w:cs="Arial"/>
                <w:b/>
                <w:color w:val="FFFFFF"/>
                <w:sz w:val="20"/>
                <w:lang w:eastAsia="hr-HR"/>
              </w:rPr>
              <w:t>lit</w:t>
            </w:r>
          </w:p>
        </w:tc>
        <w:tc>
          <w:tcPr>
            <w:tcW w:w="1276" w:type="dxa"/>
            <w:tcBorders>
              <w:top w:val="single" w:sz="6" w:space="0" w:color="FFFFFF"/>
              <w:left w:val="single" w:sz="6" w:space="0" w:color="FFFFFF"/>
              <w:right w:val="single" w:sz="6" w:space="0" w:color="FFFFFF"/>
            </w:tcBorders>
            <w:shd w:val="clear" w:color="auto" w:fill="4BACC6"/>
            <w:noWrap/>
            <w:vAlign w:val="bottom"/>
          </w:tcPr>
          <w:p w:rsidR="00BC341E" w:rsidRPr="000063FC" w:rsidRDefault="008B2E49">
            <w:pPr>
              <w:spacing w:line="276" w:lineRule="auto"/>
              <w:jc w:val="center"/>
              <w:rPr>
                <w:rFonts w:asciiTheme="minorHAnsi" w:hAnsiTheme="minorHAnsi" w:cs="Arial"/>
                <w:b/>
                <w:color w:val="FFFFFF"/>
                <w:sz w:val="20"/>
                <w:lang w:eastAsia="hr-HR"/>
              </w:rPr>
            </w:pPr>
            <w:r w:rsidRPr="000063FC">
              <w:rPr>
                <w:rFonts w:asciiTheme="minorHAnsi" w:hAnsiTheme="minorHAnsi" w:cs="Arial"/>
                <w:b/>
                <w:color w:val="FFFFFF"/>
                <w:sz w:val="20"/>
                <w:lang w:eastAsia="hr-HR"/>
              </w:rPr>
              <w:t>kg</w:t>
            </w:r>
          </w:p>
        </w:tc>
        <w:tc>
          <w:tcPr>
            <w:tcW w:w="1134" w:type="dxa"/>
            <w:tcBorders>
              <w:top w:val="single" w:sz="6" w:space="0" w:color="FFFFFF"/>
              <w:left w:val="single" w:sz="6" w:space="0" w:color="FFFFFF"/>
            </w:tcBorders>
            <w:shd w:val="clear" w:color="auto" w:fill="4BACC6"/>
            <w:noWrap/>
            <w:vAlign w:val="bottom"/>
          </w:tcPr>
          <w:p w:rsidR="00BC341E" w:rsidRPr="000063FC" w:rsidRDefault="008B2E49">
            <w:pPr>
              <w:spacing w:line="276" w:lineRule="auto"/>
              <w:jc w:val="center"/>
              <w:rPr>
                <w:rFonts w:asciiTheme="minorHAnsi" w:hAnsiTheme="minorHAnsi" w:cs="Arial"/>
                <w:b/>
                <w:color w:val="FFFFFF"/>
                <w:sz w:val="20"/>
                <w:lang w:eastAsia="hr-HR"/>
              </w:rPr>
            </w:pPr>
            <w:r w:rsidRPr="000063FC">
              <w:rPr>
                <w:rFonts w:asciiTheme="minorHAnsi" w:hAnsiTheme="minorHAnsi" w:cs="Arial"/>
                <w:b/>
                <w:color w:val="FFFFFF"/>
                <w:sz w:val="20"/>
                <w:lang w:eastAsia="hr-HR"/>
              </w:rPr>
              <w:t>kg</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1</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 xml:space="preserve"> PODRUŽNICA ZET</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3.913</w:t>
            </w:r>
          </w:p>
        </w:tc>
        <w:tc>
          <w:tcPr>
            <w:tcW w:w="1276" w:type="dxa"/>
            <w:noWrap/>
            <w:vAlign w:val="center"/>
          </w:tcPr>
          <w:p w:rsidR="00BC341E" w:rsidRPr="000063FC" w:rsidRDefault="00BC341E">
            <w:pPr>
              <w:spacing w:line="276" w:lineRule="auto"/>
              <w:jc w:val="right"/>
              <w:rPr>
                <w:rFonts w:asciiTheme="minorHAnsi" w:hAnsiTheme="minorHAnsi"/>
                <w:sz w:val="20"/>
              </w:rPr>
            </w:pPr>
          </w:p>
        </w:tc>
        <w:tc>
          <w:tcPr>
            <w:tcW w:w="1134" w:type="dxa"/>
            <w:noWrap/>
            <w:vAlign w:val="center"/>
          </w:tcPr>
          <w:p w:rsidR="00BC341E" w:rsidRPr="000063FC" w:rsidRDefault="00BC341E">
            <w:pPr>
              <w:spacing w:line="276" w:lineRule="auto"/>
              <w:jc w:val="right"/>
              <w:rPr>
                <w:rFonts w:asciiTheme="minorHAnsi" w:hAnsiTheme="minorHAnsi"/>
                <w:sz w:val="20"/>
              </w:rPr>
            </w:pP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2</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PODRUŽNICA AGM</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3.396</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3</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PODRUŽNICA AUTOBUSNI KOLODVOR</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2.293</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1.976</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4</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 xml:space="preserve">PODRUŽNICA ČISTOĆA </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2.156.308</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5.175</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1.045</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5</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PODRUŽNICA GRADSKA GROBLJA</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40.000</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30.000</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6</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PODRUŽNICA GSKG</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4.070</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4.470</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7</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 xml:space="preserve">PODRUŽNICA ROBNI TERMINALI </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38.251</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6.489</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8</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PODRUŽNICA STANOGRADNJA</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5.091</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1.355</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9</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 xml:space="preserve">PODRUŽNICA TRŽNICE ZAGREB </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27.560</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6.012</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1.475</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10</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PODR. UPRAVLJANJE SPORTSKIM OBJEKTIMA</w:t>
            </w:r>
          </w:p>
        </w:tc>
        <w:tc>
          <w:tcPr>
            <w:tcW w:w="1280" w:type="dxa"/>
            <w:tcBorders>
              <w:bottom w:val="single" w:sz="6" w:space="0" w:color="4BACC6"/>
            </w:tcBorders>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19.524</w:t>
            </w:r>
          </w:p>
        </w:tc>
        <w:tc>
          <w:tcPr>
            <w:tcW w:w="1259" w:type="dxa"/>
            <w:tcBorders>
              <w:bottom w:val="single" w:sz="6" w:space="0" w:color="4BACC6"/>
            </w:tcBorders>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16.244</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11</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 xml:space="preserve">PODRUŽNICA VLADIMIR NAZOR </w:t>
            </w:r>
          </w:p>
        </w:tc>
        <w:tc>
          <w:tcPr>
            <w:tcW w:w="1280" w:type="dxa"/>
            <w:tcBorders>
              <w:top w:val="single" w:sz="6" w:space="0" w:color="4BACC6"/>
              <w:bottom w:val="single" w:sz="6" w:space="0" w:color="4BACC6"/>
            </w:tcBorders>
            <w:shd w:val="clear" w:color="auto" w:fill="FFC000"/>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338</w:t>
            </w:r>
          </w:p>
        </w:tc>
        <w:tc>
          <w:tcPr>
            <w:tcW w:w="1259" w:type="dxa"/>
            <w:tcBorders>
              <w:top w:val="single" w:sz="6" w:space="0" w:color="4BACC6"/>
              <w:bottom w:val="single" w:sz="6" w:space="0" w:color="4BACC6"/>
            </w:tcBorders>
            <w:shd w:val="clear" w:color="auto" w:fill="FFC000"/>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675</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12</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 xml:space="preserve">PODRUŽNICA VODOOPSKRBA I ODVODNJA </w:t>
            </w:r>
          </w:p>
        </w:tc>
        <w:tc>
          <w:tcPr>
            <w:tcW w:w="1280" w:type="dxa"/>
            <w:tcBorders>
              <w:top w:val="single" w:sz="6" w:space="0" w:color="4BACC6"/>
            </w:tcBorders>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434.030</w:t>
            </w:r>
          </w:p>
        </w:tc>
        <w:tc>
          <w:tcPr>
            <w:tcW w:w="1259" w:type="dxa"/>
            <w:tcBorders>
              <w:top w:val="single" w:sz="6" w:space="0" w:color="4BACC6"/>
            </w:tcBorders>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106.590</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13</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 xml:space="preserve">PODRUŽNICA ZAGREBPARKING </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189.593</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6.451</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2.517</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14</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PODRUŽNICA ZAGREBAČKE CESTE</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1.170.849</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55.997</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15</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 xml:space="preserve">PODRUŽNICA ZAGREBAČKI DIGITALNI GRAD </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4.500</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3.000</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16</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 xml:space="preserve">PODRUŽNICA ZAGREBAČKI VELESAJAM </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26.242</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5.877</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2.347</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17</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 xml:space="preserve">PODRUŽNICA ZGOS </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20.191</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2.942</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18</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 xml:space="preserve">PODRUŽNICA ZRINJEVAC </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507.417</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92.000</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19</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GRADSKA PLINARA ZAGREB d.o.o.</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27.918</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85.424</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28.367</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20</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 xml:space="preserve">GRADSKA PLINARA ZAGREB OPSKRBA d.o.o. </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21</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ZAGREB ARENA d.o.o. za usluge</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22</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ZAGREB PLAKAT d.o.o.</w:t>
            </w:r>
          </w:p>
        </w:tc>
        <w:tc>
          <w:tcPr>
            <w:tcW w:w="1280" w:type="dxa"/>
            <w:shd w:val="clear" w:color="auto" w:fill="FFC000"/>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675</w:t>
            </w:r>
          </w:p>
        </w:tc>
        <w:tc>
          <w:tcPr>
            <w:tcW w:w="1259" w:type="dxa"/>
            <w:shd w:val="clear" w:color="auto" w:fill="FFC000"/>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675</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sz w:val="20"/>
                <w:lang w:eastAsia="hr-HR"/>
              </w:rPr>
            </w:pPr>
            <w:r w:rsidRPr="000063FC">
              <w:rPr>
                <w:rFonts w:asciiTheme="minorHAnsi" w:hAnsiTheme="minorHAnsi" w:cs="Arial"/>
                <w:sz w:val="20"/>
                <w:lang w:eastAsia="hr-HR"/>
              </w:rPr>
              <w:t>23</w:t>
            </w:r>
          </w:p>
        </w:tc>
        <w:tc>
          <w:tcPr>
            <w:tcW w:w="3704" w:type="dxa"/>
            <w:vAlign w:val="bottom"/>
          </w:tcPr>
          <w:p w:rsidR="00BC341E" w:rsidRPr="000063FC" w:rsidRDefault="008B2E49">
            <w:pPr>
              <w:spacing w:line="276" w:lineRule="auto"/>
              <w:jc w:val="left"/>
              <w:rPr>
                <w:rFonts w:asciiTheme="minorHAnsi" w:hAnsiTheme="minorHAnsi" w:cs="Arial"/>
                <w:sz w:val="20"/>
                <w:lang w:eastAsia="hr-HR"/>
              </w:rPr>
            </w:pPr>
            <w:r w:rsidRPr="000063FC">
              <w:rPr>
                <w:rFonts w:asciiTheme="minorHAnsi" w:hAnsiTheme="minorHAnsi" w:cs="Arial"/>
                <w:sz w:val="20"/>
                <w:lang w:eastAsia="hr-HR"/>
              </w:rPr>
              <w:t>GRADSKA LJEKARNA ZAGREB</w:t>
            </w:r>
          </w:p>
        </w:tc>
        <w:tc>
          <w:tcPr>
            <w:tcW w:w="1280"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4.355</w:t>
            </w:r>
          </w:p>
        </w:tc>
        <w:tc>
          <w:tcPr>
            <w:tcW w:w="1259"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1.650</w:t>
            </w:r>
          </w:p>
        </w:tc>
        <w:tc>
          <w:tcPr>
            <w:tcW w:w="1276" w:type="dxa"/>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b/>
                <w:bCs/>
                <w:caps/>
                <w:sz w:val="20"/>
                <w:szCs w:val="24"/>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b/>
                <w:bCs/>
                <w:caps/>
                <w:sz w:val="20"/>
                <w:szCs w:val="24"/>
                <w:lang w:eastAsia="hr-HR"/>
              </w:rPr>
            </w:pPr>
            <w:r w:rsidRPr="000063FC">
              <w:rPr>
                <w:rFonts w:asciiTheme="minorHAnsi" w:hAnsiTheme="minorHAnsi" w:cs="Arial"/>
                <w:sz w:val="20"/>
                <w:lang w:eastAsia="hr-HR"/>
              </w:rPr>
              <w:t>24</w:t>
            </w:r>
          </w:p>
        </w:tc>
        <w:tc>
          <w:tcPr>
            <w:tcW w:w="3704" w:type="dxa"/>
            <w:vAlign w:val="bottom"/>
          </w:tcPr>
          <w:p w:rsidR="00BC341E" w:rsidRPr="000063FC" w:rsidRDefault="008B2E49">
            <w:pPr>
              <w:spacing w:line="276" w:lineRule="auto"/>
              <w:jc w:val="left"/>
              <w:rPr>
                <w:rFonts w:asciiTheme="minorHAnsi" w:hAnsiTheme="minorHAnsi" w:cs="Arial"/>
                <w:b/>
                <w:bCs/>
                <w:caps/>
                <w:sz w:val="20"/>
                <w:szCs w:val="24"/>
                <w:lang w:eastAsia="hr-HR"/>
              </w:rPr>
            </w:pPr>
            <w:r w:rsidRPr="000063FC">
              <w:rPr>
                <w:rFonts w:asciiTheme="minorHAnsi" w:hAnsiTheme="minorHAnsi" w:cs="Arial"/>
                <w:sz w:val="20"/>
                <w:lang w:eastAsia="hr-HR"/>
              </w:rPr>
              <w:t xml:space="preserve">UPRAVA HOLDINGA </w:t>
            </w:r>
          </w:p>
        </w:tc>
        <w:tc>
          <w:tcPr>
            <w:tcW w:w="1280" w:type="dxa"/>
            <w:shd w:val="clear" w:color="auto" w:fill="FFC000"/>
            <w:noWrap/>
            <w:vAlign w:val="center"/>
          </w:tcPr>
          <w:p w:rsidR="00BC341E" w:rsidRPr="000063FC" w:rsidRDefault="008B2E49">
            <w:pPr>
              <w:spacing w:line="276" w:lineRule="auto"/>
              <w:jc w:val="right"/>
              <w:rPr>
                <w:rFonts w:asciiTheme="minorHAnsi" w:hAnsiTheme="minorHAnsi"/>
                <w:b/>
                <w:bCs/>
                <w:caps/>
                <w:sz w:val="20"/>
                <w:szCs w:val="24"/>
              </w:rPr>
            </w:pPr>
            <w:r w:rsidRPr="000063FC">
              <w:rPr>
                <w:rFonts w:asciiTheme="minorHAnsi" w:hAnsiTheme="minorHAnsi"/>
                <w:sz w:val="20"/>
              </w:rPr>
              <w:t>4.125</w:t>
            </w:r>
          </w:p>
        </w:tc>
        <w:tc>
          <w:tcPr>
            <w:tcW w:w="1259" w:type="dxa"/>
            <w:noWrap/>
            <w:vAlign w:val="center"/>
          </w:tcPr>
          <w:p w:rsidR="00BC341E" w:rsidRPr="000063FC" w:rsidRDefault="008B2E49">
            <w:pPr>
              <w:spacing w:line="276" w:lineRule="auto"/>
              <w:jc w:val="right"/>
              <w:rPr>
                <w:rFonts w:asciiTheme="minorHAnsi" w:hAnsiTheme="minorHAnsi"/>
                <w:b/>
                <w:bCs/>
                <w:caps/>
                <w:sz w:val="20"/>
                <w:szCs w:val="24"/>
              </w:rPr>
            </w:pPr>
            <w:r w:rsidRPr="000063FC">
              <w:rPr>
                <w:rFonts w:asciiTheme="minorHAnsi" w:hAnsiTheme="minorHAnsi"/>
                <w:sz w:val="20"/>
              </w:rPr>
              <w:t>0</w:t>
            </w:r>
          </w:p>
        </w:tc>
        <w:tc>
          <w:tcPr>
            <w:tcW w:w="1276" w:type="dxa"/>
            <w:noWrap/>
            <w:vAlign w:val="center"/>
          </w:tcPr>
          <w:p w:rsidR="00BC341E" w:rsidRPr="000063FC" w:rsidRDefault="008B2E49">
            <w:pPr>
              <w:spacing w:line="276" w:lineRule="auto"/>
              <w:jc w:val="right"/>
              <w:rPr>
                <w:rFonts w:asciiTheme="minorHAnsi" w:hAnsiTheme="minorHAnsi"/>
                <w:b/>
                <w:bCs/>
                <w:caps/>
                <w:sz w:val="20"/>
                <w:szCs w:val="24"/>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b/>
                <w:bCs/>
                <w:caps/>
                <w:sz w:val="20"/>
                <w:szCs w:val="24"/>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b/>
                <w:bCs/>
                <w:caps/>
                <w:sz w:val="20"/>
                <w:szCs w:val="24"/>
                <w:lang w:eastAsia="hr-HR"/>
              </w:rPr>
            </w:pPr>
            <w:r w:rsidRPr="000063FC">
              <w:rPr>
                <w:rFonts w:asciiTheme="minorHAnsi" w:hAnsiTheme="minorHAnsi" w:cs="Arial"/>
                <w:sz w:val="20"/>
                <w:lang w:eastAsia="hr-HR"/>
              </w:rPr>
              <w:t>25</w:t>
            </w:r>
          </w:p>
        </w:tc>
        <w:tc>
          <w:tcPr>
            <w:tcW w:w="3704" w:type="dxa"/>
            <w:vAlign w:val="bottom"/>
          </w:tcPr>
          <w:p w:rsidR="00BC341E" w:rsidRPr="000063FC" w:rsidRDefault="008B2E49">
            <w:pPr>
              <w:spacing w:line="276" w:lineRule="auto"/>
              <w:jc w:val="left"/>
              <w:rPr>
                <w:rFonts w:asciiTheme="minorHAnsi" w:hAnsiTheme="minorHAnsi" w:cs="Arial"/>
                <w:b/>
                <w:bCs/>
                <w:caps/>
                <w:sz w:val="20"/>
                <w:szCs w:val="24"/>
                <w:lang w:eastAsia="hr-HR"/>
              </w:rPr>
            </w:pPr>
            <w:r w:rsidRPr="000063FC">
              <w:rPr>
                <w:rFonts w:asciiTheme="minorHAnsi" w:hAnsiTheme="minorHAnsi" w:cs="Arial"/>
                <w:sz w:val="20"/>
                <w:lang w:eastAsia="hr-HR"/>
              </w:rPr>
              <w:t>GRADSKA UPRAVA</w:t>
            </w:r>
          </w:p>
        </w:tc>
        <w:tc>
          <w:tcPr>
            <w:tcW w:w="1280" w:type="dxa"/>
            <w:noWrap/>
            <w:vAlign w:val="center"/>
          </w:tcPr>
          <w:p w:rsidR="00BC341E" w:rsidRPr="000063FC" w:rsidRDefault="008B2E49">
            <w:pPr>
              <w:spacing w:line="276" w:lineRule="auto"/>
              <w:jc w:val="right"/>
              <w:rPr>
                <w:rFonts w:asciiTheme="minorHAnsi" w:hAnsiTheme="minorHAnsi"/>
                <w:b/>
                <w:bCs/>
                <w:caps/>
                <w:sz w:val="20"/>
                <w:szCs w:val="24"/>
              </w:rPr>
            </w:pPr>
            <w:r w:rsidRPr="000063FC">
              <w:rPr>
                <w:rFonts w:asciiTheme="minorHAnsi" w:hAnsiTheme="minorHAnsi"/>
                <w:sz w:val="20"/>
              </w:rPr>
              <w:t>160.706</w:t>
            </w:r>
          </w:p>
        </w:tc>
        <w:tc>
          <w:tcPr>
            <w:tcW w:w="1259" w:type="dxa"/>
            <w:noWrap/>
            <w:vAlign w:val="center"/>
          </w:tcPr>
          <w:p w:rsidR="00BC341E" w:rsidRPr="000063FC" w:rsidRDefault="008B2E49">
            <w:pPr>
              <w:spacing w:line="276" w:lineRule="auto"/>
              <w:jc w:val="right"/>
              <w:rPr>
                <w:rFonts w:asciiTheme="minorHAnsi" w:hAnsiTheme="minorHAnsi"/>
                <w:b/>
                <w:bCs/>
                <w:caps/>
                <w:sz w:val="20"/>
                <w:szCs w:val="24"/>
              </w:rPr>
            </w:pPr>
            <w:r w:rsidRPr="000063FC">
              <w:rPr>
                <w:rFonts w:asciiTheme="minorHAnsi" w:hAnsiTheme="minorHAnsi"/>
                <w:sz w:val="20"/>
              </w:rPr>
              <w:t>100.056</w:t>
            </w:r>
          </w:p>
        </w:tc>
        <w:tc>
          <w:tcPr>
            <w:tcW w:w="1276" w:type="dxa"/>
            <w:noWrap/>
            <w:vAlign w:val="center"/>
          </w:tcPr>
          <w:p w:rsidR="00BC341E" w:rsidRPr="000063FC" w:rsidRDefault="008B2E49">
            <w:pPr>
              <w:spacing w:line="276" w:lineRule="auto"/>
              <w:jc w:val="right"/>
              <w:rPr>
                <w:rFonts w:asciiTheme="minorHAnsi" w:hAnsiTheme="minorHAnsi"/>
                <w:b/>
                <w:bCs/>
                <w:caps/>
                <w:sz w:val="20"/>
                <w:szCs w:val="24"/>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b/>
                <w:bCs/>
                <w:caps/>
                <w:sz w:val="20"/>
                <w:szCs w:val="24"/>
              </w:rPr>
            </w:pPr>
            <w:r w:rsidRPr="000063FC">
              <w:rPr>
                <w:rFonts w:asciiTheme="minorHAnsi" w:hAnsiTheme="minorHAnsi"/>
                <w:sz w:val="20"/>
              </w:rPr>
              <w:t>0</w:t>
            </w:r>
          </w:p>
        </w:tc>
      </w:tr>
      <w:tr w:rsidR="008B2E49" w:rsidRPr="000063FC" w:rsidTr="00EA3B8D">
        <w:trPr>
          <w:trHeight w:val="227"/>
        </w:trPr>
        <w:tc>
          <w:tcPr>
            <w:tcW w:w="419" w:type="dxa"/>
            <w:noWrap/>
            <w:vAlign w:val="bottom"/>
          </w:tcPr>
          <w:p w:rsidR="00BC341E" w:rsidRPr="000063FC" w:rsidRDefault="008B2E49">
            <w:pPr>
              <w:spacing w:line="276" w:lineRule="auto"/>
              <w:jc w:val="right"/>
              <w:rPr>
                <w:rFonts w:asciiTheme="minorHAnsi" w:hAnsiTheme="minorHAnsi" w:cs="Arial"/>
                <w:b/>
                <w:bCs/>
                <w:caps/>
                <w:sz w:val="20"/>
                <w:szCs w:val="24"/>
                <w:lang w:eastAsia="hr-HR"/>
              </w:rPr>
            </w:pPr>
            <w:r w:rsidRPr="000063FC">
              <w:rPr>
                <w:rFonts w:asciiTheme="minorHAnsi" w:hAnsiTheme="minorHAnsi" w:cs="Arial"/>
                <w:sz w:val="20"/>
                <w:lang w:eastAsia="hr-HR"/>
              </w:rPr>
              <w:t>26</w:t>
            </w:r>
          </w:p>
        </w:tc>
        <w:tc>
          <w:tcPr>
            <w:tcW w:w="3704" w:type="dxa"/>
            <w:vAlign w:val="bottom"/>
          </w:tcPr>
          <w:p w:rsidR="00BC341E" w:rsidRPr="000063FC" w:rsidRDefault="008B2E49">
            <w:pPr>
              <w:spacing w:line="276" w:lineRule="auto"/>
              <w:jc w:val="left"/>
              <w:rPr>
                <w:rFonts w:asciiTheme="minorHAnsi" w:hAnsiTheme="minorHAnsi" w:cs="Arial"/>
                <w:b/>
                <w:bCs/>
                <w:caps/>
                <w:sz w:val="20"/>
                <w:szCs w:val="24"/>
                <w:lang w:eastAsia="hr-HR"/>
              </w:rPr>
            </w:pPr>
            <w:r w:rsidRPr="000063FC">
              <w:rPr>
                <w:rFonts w:asciiTheme="minorHAnsi" w:hAnsiTheme="minorHAnsi" w:cs="Arial"/>
                <w:sz w:val="20"/>
                <w:lang w:eastAsia="hr-HR"/>
              </w:rPr>
              <w:t xml:space="preserve">USTANOVA ZA HITNU MEDICINSKU POMOĆ ZAGREB </w:t>
            </w:r>
          </w:p>
        </w:tc>
        <w:tc>
          <w:tcPr>
            <w:tcW w:w="1280" w:type="dxa"/>
            <w:noWrap/>
            <w:vAlign w:val="center"/>
          </w:tcPr>
          <w:p w:rsidR="00BC341E" w:rsidRPr="000063FC" w:rsidRDefault="008B2E49">
            <w:pPr>
              <w:spacing w:line="276" w:lineRule="auto"/>
              <w:jc w:val="right"/>
              <w:rPr>
                <w:rFonts w:asciiTheme="minorHAnsi" w:hAnsiTheme="minorHAnsi"/>
                <w:b/>
                <w:bCs/>
                <w:caps/>
                <w:sz w:val="20"/>
                <w:szCs w:val="24"/>
              </w:rPr>
            </w:pPr>
            <w:r w:rsidRPr="000063FC">
              <w:rPr>
                <w:rFonts w:asciiTheme="minorHAnsi" w:hAnsiTheme="minorHAnsi"/>
                <w:sz w:val="20"/>
              </w:rPr>
              <w:t>323638</w:t>
            </w:r>
          </w:p>
        </w:tc>
        <w:tc>
          <w:tcPr>
            <w:tcW w:w="1259" w:type="dxa"/>
            <w:noWrap/>
            <w:vAlign w:val="center"/>
          </w:tcPr>
          <w:p w:rsidR="00BC341E" w:rsidRPr="000063FC" w:rsidRDefault="008B2E49">
            <w:pPr>
              <w:spacing w:line="276" w:lineRule="auto"/>
              <w:jc w:val="right"/>
              <w:rPr>
                <w:rFonts w:asciiTheme="minorHAnsi" w:hAnsiTheme="minorHAnsi"/>
                <w:b/>
                <w:bCs/>
                <w:caps/>
                <w:sz w:val="20"/>
                <w:szCs w:val="24"/>
              </w:rPr>
            </w:pPr>
            <w:r w:rsidRPr="000063FC">
              <w:rPr>
                <w:rFonts w:asciiTheme="minorHAnsi" w:hAnsiTheme="minorHAnsi"/>
                <w:sz w:val="20"/>
              </w:rPr>
              <w:t>49099</w:t>
            </w:r>
          </w:p>
        </w:tc>
        <w:tc>
          <w:tcPr>
            <w:tcW w:w="1276" w:type="dxa"/>
            <w:noWrap/>
            <w:vAlign w:val="center"/>
          </w:tcPr>
          <w:p w:rsidR="00BC341E" w:rsidRPr="000063FC" w:rsidRDefault="008B2E49">
            <w:pPr>
              <w:spacing w:line="276" w:lineRule="auto"/>
              <w:jc w:val="right"/>
              <w:rPr>
                <w:rFonts w:asciiTheme="minorHAnsi" w:hAnsiTheme="minorHAnsi"/>
                <w:b/>
                <w:bCs/>
                <w:caps/>
                <w:sz w:val="20"/>
                <w:szCs w:val="24"/>
              </w:rPr>
            </w:pPr>
            <w:r w:rsidRPr="000063FC">
              <w:rPr>
                <w:rFonts w:asciiTheme="minorHAnsi" w:hAnsiTheme="minorHAnsi"/>
                <w:sz w:val="20"/>
              </w:rPr>
              <w:t>0</w:t>
            </w:r>
          </w:p>
        </w:tc>
        <w:tc>
          <w:tcPr>
            <w:tcW w:w="1134" w:type="dxa"/>
            <w:noWrap/>
            <w:vAlign w:val="center"/>
          </w:tcPr>
          <w:p w:rsidR="00BC341E" w:rsidRPr="000063FC" w:rsidRDefault="008B2E49">
            <w:pPr>
              <w:spacing w:line="276" w:lineRule="auto"/>
              <w:jc w:val="right"/>
              <w:rPr>
                <w:rFonts w:asciiTheme="minorHAnsi" w:hAnsiTheme="minorHAnsi"/>
                <w:b/>
                <w:bCs/>
                <w:caps/>
                <w:sz w:val="20"/>
                <w:szCs w:val="24"/>
              </w:rPr>
            </w:pPr>
            <w:r w:rsidRPr="000063FC">
              <w:rPr>
                <w:rFonts w:asciiTheme="minorHAnsi" w:hAnsiTheme="minorHAnsi"/>
                <w:sz w:val="20"/>
              </w:rPr>
              <w:t>0</w:t>
            </w:r>
          </w:p>
        </w:tc>
      </w:tr>
      <w:tr w:rsidR="008B2E49" w:rsidRPr="000063FC" w:rsidTr="00EA3B8D">
        <w:trPr>
          <w:trHeight w:val="227"/>
        </w:trPr>
        <w:tc>
          <w:tcPr>
            <w:tcW w:w="419" w:type="dxa"/>
            <w:tcBorders>
              <w:bottom w:val="single" w:sz="4" w:space="0" w:color="4BACC6"/>
            </w:tcBorders>
            <w:shd w:val="clear" w:color="auto" w:fill="DAEEF3"/>
            <w:noWrap/>
            <w:vAlign w:val="center"/>
          </w:tcPr>
          <w:p w:rsidR="00BC341E" w:rsidRPr="000063FC" w:rsidRDefault="00BC341E">
            <w:pPr>
              <w:spacing w:line="276" w:lineRule="auto"/>
              <w:jc w:val="center"/>
              <w:rPr>
                <w:rFonts w:asciiTheme="minorHAnsi" w:hAnsiTheme="minorHAnsi" w:cs="Arial"/>
                <w:sz w:val="20"/>
                <w:lang w:eastAsia="hr-HR"/>
              </w:rPr>
            </w:pPr>
          </w:p>
        </w:tc>
        <w:tc>
          <w:tcPr>
            <w:tcW w:w="3704" w:type="dxa"/>
            <w:tcBorders>
              <w:bottom w:val="single" w:sz="4" w:space="0" w:color="4BACC6"/>
            </w:tcBorders>
            <w:shd w:val="clear" w:color="auto" w:fill="DAEEF3"/>
            <w:noWrap/>
            <w:vAlign w:val="center"/>
          </w:tcPr>
          <w:p w:rsidR="00BC341E" w:rsidRPr="000063FC" w:rsidRDefault="008B2E49">
            <w:pPr>
              <w:spacing w:line="276" w:lineRule="auto"/>
              <w:jc w:val="center"/>
              <w:rPr>
                <w:rFonts w:asciiTheme="minorHAnsi" w:hAnsiTheme="minorHAnsi" w:cs="Arial"/>
                <w:sz w:val="20"/>
                <w:lang w:eastAsia="hr-HR"/>
              </w:rPr>
            </w:pPr>
            <w:r w:rsidRPr="000063FC">
              <w:rPr>
                <w:rFonts w:asciiTheme="minorHAnsi" w:hAnsiTheme="minorHAnsi" w:cs="Arial"/>
                <w:sz w:val="20"/>
                <w:lang w:eastAsia="hr-HR"/>
              </w:rPr>
              <w:t>UKUPNO</w:t>
            </w:r>
          </w:p>
        </w:tc>
        <w:tc>
          <w:tcPr>
            <w:tcW w:w="1280" w:type="dxa"/>
            <w:tcBorders>
              <w:bottom w:val="single" w:sz="4" w:space="0" w:color="4BACC6"/>
            </w:tcBorders>
            <w:shd w:val="clear" w:color="auto" w:fill="DAEEF3"/>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5.167.673,28</w:t>
            </w:r>
          </w:p>
        </w:tc>
        <w:tc>
          <w:tcPr>
            <w:tcW w:w="1259" w:type="dxa"/>
            <w:tcBorders>
              <w:bottom w:val="single" w:sz="4" w:space="0" w:color="4BACC6"/>
            </w:tcBorders>
            <w:shd w:val="clear" w:color="auto" w:fill="DAEEF3"/>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589.465,95</w:t>
            </w:r>
          </w:p>
        </w:tc>
        <w:tc>
          <w:tcPr>
            <w:tcW w:w="1276" w:type="dxa"/>
            <w:tcBorders>
              <w:bottom w:val="single" w:sz="4" w:space="0" w:color="4BACC6"/>
            </w:tcBorders>
            <w:shd w:val="clear" w:color="auto" w:fill="DAEEF3"/>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33.233,97</w:t>
            </w:r>
          </w:p>
        </w:tc>
        <w:tc>
          <w:tcPr>
            <w:tcW w:w="1134" w:type="dxa"/>
            <w:tcBorders>
              <w:bottom w:val="single" w:sz="4" w:space="0" w:color="4BACC6"/>
            </w:tcBorders>
            <w:shd w:val="clear" w:color="auto" w:fill="DAEEF3"/>
            <w:noWrap/>
            <w:vAlign w:val="center"/>
          </w:tcPr>
          <w:p w:rsidR="00BC341E" w:rsidRPr="000063FC" w:rsidRDefault="008B2E49">
            <w:pPr>
              <w:spacing w:line="276" w:lineRule="auto"/>
              <w:jc w:val="right"/>
              <w:rPr>
                <w:rFonts w:asciiTheme="minorHAnsi" w:hAnsiTheme="minorHAnsi"/>
                <w:sz w:val="20"/>
              </w:rPr>
            </w:pPr>
            <w:r w:rsidRPr="000063FC">
              <w:rPr>
                <w:rFonts w:asciiTheme="minorHAnsi" w:hAnsiTheme="minorHAnsi"/>
                <w:sz w:val="20"/>
              </w:rPr>
              <w:t>2.517,0</w:t>
            </w:r>
          </w:p>
        </w:tc>
      </w:tr>
    </w:tbl>
    <w:p w:rsidR="00772AF0" w:rsidRPr="000063FC" w:rsidRDefault="00772AF0">
      <w:pPr>
        <w:spacing w:line="276" w:lineRule="auto"/>
      </w:pPr>
    </w:p>
    <w:p w:rsidR="00772AF0" w:rsidRPr="000063FC" w:rsidRDefault="00772AF0">
      <w:pPr>
        <w:tabs>
          <w:tab w:val="clear" w:pos="720"/>
          <w:tab w:val="clear" w:pos="6912"/>
        </w:tabs>
        <w:spacing w:line="240" w:lineRule="auto"/>
        <w:jc w:val="left"/>
      </w:pPr>
      <w:r w:rsidRPr="000063FC">
        <w:br w:type="page"/>
      </w:r>
    </w:p>
    <w:p w:rsidR="00753E04" w:rsidRPr="000063FC" w:rsidRDefault="008B2E49" w:rsidP="00753E04">
      <w:pPr>
        <w:spacing w:line="276" w:lineRule="auto"/>
        <w:rPr>
          <w:szCs w:val="22"/>
        </w:rPr>
      </w:pPr>
      <w:r w:rsidRPr="000063FC">
        <w:rPr>
          <w:szCs w:val="22"/>
        </w:rPr>
        <w:lastRenderedPageBreak/>
        <w:t xml:space="preserve">U tablici </w:t>
      </w:r>
      <w:r w:rsidR="008E1FA8" w:rsidRPr="000063FC">
        <w:rPr>
          <w:szCs w:val="22"/>
        </w:rPr>
        <w:t>2.16</w:t>
      </w:r>
      <w:r w:rsidRPr="000063FC">
        <w:rPr>
          <w:szCs w:val="22"/>
        </w:rPr>
        <w:t xml:space="preserve"> su prikazane potrošnje goriva i emisije </w:t>
      </w:r>
      <w:r w:rsidR="00D522AD" w:rsidRPr="000063FC">
        <w:rPr>
          <w:szCs w:val="22"/>
        </w:rPr>
        <w:t xml:space="preserve">stakleničkih plinova </w:t>
      </w:r>
      <w:r w:rsidR="000063FC" w:rsidRPr="000063FC">
        <w:rPr>
          <w:szCs w:val="22"/>
        </w:rPr>
        <w:t>za</w:t>
      </w:r>
      <w:r w:rsidR="00D522AD" w:rsidRPr="000063FC">
        <w:rPr>
          <w:szCs w:val="22"/>
        </w:rPr>
        <w:t xml:space="preserve"> vozni park u vlasništvu Grada, pri čemu treba napomenuti da </w:t>
      </w:r>
      <w:r w:rsidR="00753E04" w:rsidRPr="000063FC">
        <w:rPr>
          <w:szCs w:val="22"/>
        </w:rPr>
        <w:t>zbog nedostatnosti podataka nije korišten COPERT model, već je prema prvoj razini proračuna IPCC metodologije</w:t>
      </w:r>
      <w:r w:rsidR="00753E04" w:rsidRPr="000063FC">
        <w:rPr>
          <w:rStyle w:val="FootnoteReference"/>
          <w:szCs w:val="22"/>
        </w:rPr>
        <w:footnoteReference w:id="18"/>
      </w:r>
      <w:r w:rsidR="00753E04" w:rsidRPr="000063FC">
        <w:rPr>
          <w:szCs w:val="22"/>
        </w:rPr>
        <w:t xml:space="preserve">, emisija dobivena prema formuli: </w:t>
      </w:r>
    </w:p>
    <w:p w:rsidR="00753E04" w:rsidRPr="000063FC" w:rsidRDefault="00753E04" w:rsidP="00753E04">
      <w:pPr>
        <w:numPr>
          <w:ilvl w:val="12"/>
          <w:numId w:val="0"/>
        </w:numPr>
        <w:spacing w:after="120" w:line="276" w:lineRule="auto"/>
        <w:rPr>
          <w:szCs w:val="22"/>
        </w:rPr>
      </w:pPr>
    </w:p>
    <w:p w:rsidR="00753E04" w:rsidRPr="000063FC" w:rsidRDefault="00263443" w:rsidP="00753E04">
      <w:pPr>
        <w:spacing w:line="276" w:lineRule="auto"/>
        <w:ind w:firstLine="720"/>
        <w:rPr>
          <w:szCs w:val="22"/>
        </w:rPr>
      </w:pPr>
      <m:oMathPara>
        <m:oMath>
          <m:sSub>
            <m:sSubPr>
              <m:ctrlPr>
                <w:rPr>
                  <w:rFonts w:ascii="Cambria Math" w:hAnsi="Cambria Math"/>
                  <w:i/>
                  <w:szCs w:val="22"/>
                </w:rPr>
              </m:ctrlPr>
            </m:sSubPr>
            <m:e>
              <m:r>
                <w:rPr>
                  <w:rFonts w:ascii="Cambria Math" w:hAnsi="Cambria Math"/>
                  <w:szCs w:val="22"/>
                </w:rPr>
                <m:t>Emisija</m:t>
              </m:r>
            </m:e>
            <m:sub>
              <m:r>
                <w:rPr>
                  <w:rFonts w:ascii="Cambria Math" w:hAnsi="Cambria Math"/>
                  <w:szCs w:val="22"/>
                </w:rPr>
                <m:t>gorivo</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Potrosnja goriva</m:t>
              </m:r>
            </m:e>
            <m:sub>
              <m:r>
                <w:rPr>
                  <w:rFonts w:ascii="Cambria Math" w:hAnsi="Cambria Math"/>
                  <w:szCs w:val="22"/>
                </w:rPr>
                <m:t>gorivo</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Emisijski faktor</m:t>
              </m:r>
            </m:e>
            <m:sub>
              <m:r>
                <w:rPr>
                  <w:rFonts w:ascii="Cambria Math" w:hAnsi="Cambria Math"/>
                  <w:szCs w:val="22"/>
                </w:rPr>
                <m:t>gorivo</m:t>
              </m:r>
            </m:sub>
          </m:sSub>
        </m:oMath>
      </m:oMathPara>
    </w:p>
    <w:p w:rsidR="00753E04" w:rsidRPr="000063FC" w:rsidRDefault="00753E04" w:rsidP="00753E04">
      <w:pPr>
        <w:spacing w:line="276" w:lineRule="auto"/>
        <w:ind w:firstLine="720"/>
        <w:rPr>
          <w:szCs w:val="22"/>
        </w:rPr>
      </w:pPr>
    </w:p>
    <w:p w:rsidR="00753E04" w:rsidRPr="000063FC" w:rsidRDefault="00753E04" w:rsidP="00753E04">
      <w:pPr>
        <w:spacing w:line="276" w:lineRule="auto"/>
        <w:ind w:firstLine="720"/>
        <w:rPr>
          <w:szCs w:val="22"/>
        </w:rPr>
      </w:pPr>
      <m:oMathPara>
        <m:oMath>
          <m:r>
            <w:rPr>
              <w:rFonts w:ascii="Cambria Math" w:hAnsi="Cambria Math"/>
              <w:szCs w:val="22"/>
            </w:rPr>
            <m:t>Ukupna emisija=</m:t>
          </m:r>
          <m:nary>
            <m:naryPr>
              <m:chr m:val="∑"/>
              <m:limLoc m:val="undOvr"/>
              <m:supHide m:val="1"/>
              <m:ctrlPr>
                <w:rPr>
                  <w:rFonts w:ascii="Cambria Math" w:hAnsi="Cambria Math"/>
                  <w:i/>
                  <w:szCs w:val="22"/>
                </w:rPr>
              </m:ctrlPr>
            </m:naryPr>
            <m:sub>
              <m:r>
                <w:rPr>
                  <w:rFonts w:ascii="Cambria Math" w:hAnsi="Cambria Math"/>
                  <w:szCs w:val="22"/>
                </w:rPr>
                <m:t>gorivo</m:t>
              </m:r>
            </m:sub>
            <m:sup/>
            <m:e>
              <m:sSub>
                <m:sSubPr>
                  <m:ctrlPr>
                    <w:rPr>
                      <w:rFonts w:ascii="Cambria Math" w:hAnsi="Cambria Math"/>
                      <w:i/>
                      <w:szCs w:val="22"/>
                    </w:rPr>
                  </m:ctrlPr>
                </m:sSubPr>
                <m:e>
                  <m:r>
                    <w:rPr>
                      <w:rFonts w:ascii="Cambria Math" w:hAnsi="Cambria Math"/>
                      <w:szCs w:val="22"/>
                    </w:rPr>
                    <m:t>Emisija</m:t>
                  </m:r>
                </m:e>
                <m:sub>
                  <m:r>
                    <w:rPr>
                      <w:rFonts w:ascii="Cambria Math" w:hAnsi="Cambria Math"/>
                      <w:szCs w:val="22"/>
                    </w:rPr>
                    <m:t>gorivo</m:t>
                  </m:r>
                </m:sub>
              </m:sSub>
            </m:e>
          </m:nary>
        </m:oMath>
      </m:oMathPara>
    </w:p>
    <w:p w:rsidR="00B23695" w:rsidRPr="000063FC" w:rsidRDefault="00B23695">
      <w:pPr>
        <w:tabs>
          <w:tab w:val="left" w:pos="2460"/>
        </w:tabs>
        <w:spacing w:line="276" w:lineRule="auto"/>
      </w:pPr>
    </w:p>
    <w:p w:rsidR="00BC341E" w:rsidRPr="000063FC" w:rsidRDefault="00753E04" w:rsidP="00753E04">
      <w:pPr>
        <w:tabs>
          <w:tab w:val="clear" w:pos="720"/>
          <w:tab w:val="clear" w:pos="6912"/>
        </w:tabs>
        <w:spacing w:line="276" w:lineRule="auto"/>
        <w:jc w:val="left"/>
        <w:rPr>
          <w:i/>
        </w:rPr>
      </w:pPr>
      <w:r w:rsidRPr="000063FC">
        <w:rPr>
          <w:i/>
        </w:rPr>
        <w:t>T</w:t>
      </w:r>
      <w:r w:rsidR="008B2E49" w:rsidRPr="000063FC">
        <w:rPr>
          <w:i/>
        </w:rPr>
        <w:t xml:space="preserve">ablica </w:t>
      </w:r>
      <w:r w:rsidR="00091508" w:rsidRPr="000063FC">
        <w:rPr>
          <w:i/>
        </w:rPr>
        <w:t>2.16</w:t>
      </w:r>
      <w:r w:rsidR="008B2E49" w:rsidRPr="000063FC">
        <w:rPr>
          <w:i/>
        </w:rPr>
        <w:t>: Emisije voznog parka u vlasništvu Grada Zagreba</w:t>
      </w:r>
    </w:p>
    <w:tbl>
      <w:tblPr>
        <w:tblW w:w="9085" w:type="dxa"/>
        <w:tblInd w:w="95" w:type="dxa"/>
        <w:tblLook w:val="00A0" w:firstRow="1" w:lastRow="0" w:firstColumn="1" w:lastColumn="0" w:noHBand="0" w:noVBand="0"/>
      </w:tblPr>
      <w:tblGrid>
        <w:gridCol w:w="1714"/>
        <w:gridCol w:w="1276"/>
        <w:gridCol w:w="1276"/>
        <w:gridCol w:w="1276"/>
        <w:gridCol w:w="1134"/>
        <w:gridCol w:w="1134"/>
        <w:gridCol w:w="1275"/>
      </w:tblGrid>
      <w:tr w:rsidR="008B2E49" w:rsidRPr="000063FC" w:rsidTr="00EA3B8D">
        <w:trPr>
          <w:trHeight w:val="227"/>
        </w:trPr>
        <w:tc>
          <w:tcPr>
            <w:tcW w:w="1714" w:type="dxa"/>
            <w:vMerge w:val="restart"/>
            <w:tcBorders>
              <w:top w:val="single" w:sz="4" w:space="0" w:color="4BACC6"/>
              <w:left w:val="single" w:sz="4" w:space="0" w:color="4BACC6"/>
              <w:bottom w:val="single" w:sz="4" w:space="0" w:color="4BACC6"/>
              <w:right w:val="single" w:sz="4" w:space="0" w:color="FFFFFF"/>
            </w:tcBorders>
            <w:shd w:val="clear" w:color="000000" w:fill="4BACC6"/>
            <w:noWrap/>
            <w:vAlign w:val="center"/>
          </w:tcPr>
          <w:p w:rsidR="00B23695" w:rsidRPr="000063FC" w:rsidRDefault="008B2E49">
            <w:pPr>
              <w:spacing w:line="276"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Automobili u vlasništvu grada</w:t>
            </w:r>
          </w:p>
        </w:tc>
        <w:tc>
          <w:tcPr>
            <w:tcW w:w="2552" w:type="dxa"/>
            <w:gridSpan w:val="2"/>
            <w:tcBorders>
              <w:top w:val="single" w:sz="4" w:space="0" w:color="4BACC6"/>
              <w:left w:val="nil"/>
              <w:bottom w:val="single" w:sz="4" w:space="0" w:color="FFFFFF"/>
              <w:right w:val="single" w:sz="4" w:space="0" w:color="FFFFFF"/>
            </w:tcBorders>
            <w:shd w:val="clear" w:color="000000" w:fill="4BACC6"/>
            <w:noWrap/>
            <w:vAlign w:val="center"/>
          </w:tcPr>
          <w:p w:rsidR="00B23695" w:rsidRPr="000063FC" w:rsidRDefault="008B2E49">
            <w:pPr>
              <w:spacing w:line="276"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Količina potrošenog goriva</w:t>
            </w:r>
          </w:p>
        </w:tc>
        <w:tc>
          <w:tcPr>
            <w:tcW w:w="4819" w:type="dxa"/>
            <w:gridSpan w:val="4"/>
            <w:tcBorders>
              <w:top w:val="single" w:sz="4" w:space="0" w:color="4BACC6"/>
              <w:left w:val="nil"/>
              <w:bottom w:val="single" w:sz="4" w:space="0" w:color="FFFFFF"/>
              <w:right w:val="single" w:sz="4" w:space="0" w:color="4BACC6"/>
            </w:tcBorders>
            <w:shd w:val="clear" w:color="000000" w:fill="4BACC6"/>
            <w:noWrap/>
            <w:vAlign w:val="center"/>
          </w:tcPr>
          <w:p w:rsidR="00B23695" w:rsidRPr="000063FC" w:rsidRDefault="008B2E49">
            <w:pPr>
              <w:spacing w:line="276"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Emisija, t</w:t>
            </w:r>
          </w:p>
        </w:tc>
      </w:tr>
      <w:tr w:rsidR="008B2E49" w:rsidRPr="000063FC" w:rsidTr="00EA3B8D">
        <w:trPr>
          <w:trHeight w:val="227"/>
        </w:trPr>
        <w:tc>
          <w:tcPr>
            <w:tcW w:w="1714" w:type="dxa"/>
            <w:vMerge/>
            <w:tcBorders>
              <w:top w:val="single" w:sz="4" w:space="0" w:color="4BACC6"/>
              <w:left w:val="single" w:sz="4" w:space="0" w:color="4BACC6"/>
              <w:bottom w:val="single" w:sz="4" w:space="0" w:color="4BACC6"/>
              <w:right w:val="single" w:sz="4" w:space="0" w:color="FFFFFF"/>
            </w:tcBorders>
            <w:vAlign w:val="center"/>
          </w:tcPr>
          <w:p w:rsidR="00B23695" w:rsidRPr="000063FC" w:rsidRDefault="00B23695">
            <w:pPr>
              <w:spacing w:line="276" w:lineRule="auto"/>
              <w:rPr>
                <w:rFonts w:asciiTheme="minorHAnsi" w:hAnsiTheme="minorHAnsi" w:cs="Arial"/>
                <w:b/>
                <w:bCs/>
                <w:color w:val="FFFFFF"/>
                <w:sz w:val="20"/>
                <w:lang w:eastAsia="hr-HR"/>
              </w:rPr>
            </w:pPr>
          </w:p>
        </w:tc>
        <w:tc>
          <w:tcPr>
            <w:tcW w:w="1276" w:type="dxa"/>
            <w:tcBorders>
              <w:top w:val="nil"/>
              <w:left w:val="nil"/>
              <w:bottom w:val="single" w:sz="4" w:space="0" w:color="4BACC6"/>
              <w:right w:val="single" w:sz="4" w:space="0" w:color="FFFFFF"/>
            </w:tcBorders>
            <w:shd w:val="clear" w:color="000000" w:fill="4BACC6"/>
            <w:noWrap/>
            <w:vAlign w:val="center"/>
          </w:tcPr>
          <w:p w:rsidR="00B23695" w:rsidRPr="000063FC" w:rsidRDefault="008B2E49">
            <w:pPr>
              <w:spacing w:line="276"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t</w:t>
            </w:r>
          </w:p>
        </w:tc>
        <w:tc>
          <w:tcPr>
            <w:tcW w:w="1276" w:type="dxa"/>
            <w:tcBorders>
              <w:top w:val="nil"/>
              <w:left w:val="nil"/>
              <w:bottom w:val="single" w:sz="4" w:space="0" w:color="4BACC6"/>
              <w:right w:val="single" w:sz="4" w:space="0" w:color="FFFFFF"/>
            </w:tcBorders>
            <w:shd w:val="clear" w:color="000000" w:fill="4BACC6"/>
            <w:noWrap/>
            <w:vAlign w:val="center"/>
          </w:tcPr>
          <w:p w:rsidR="00B23695" w:rsidRPr="000063FC" w:rsidRDefault="008B2E49">
            <w:pPr>
              <w:spacing w:line="276"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TJ</w:t>
            </w:r>
          </w:p>
        </w:tc>
        <w:tc>
          <w:tcPr>
            <w:tcW w:w="1276" w:type="dxa"/>
            <w:tcBorders>
              <w:top w:val="nil"/>
              <w:left w:val="nil"/>
              <w:bottom w:val="single" w:sz="4" w:space="0" w:color="4BACC6"/>
              <w:right w:val="single" w:sz="4" w:space="0" w:color="FFFFFF"/>
            </w:tcBorders>
            <w:shd w:val="clear" w:color="000000" w:fill="4BACC6"/>
            <w:noWrap/>
            <w:vAlign w:val="center"/>
          </w:tcPr>
          <w:p w:rsidR="00B23695" w:rsidRPr="000063FC" w:rsidRDefault="008B2E49">
            <w:pPr>
              <w:spacing w:line="276"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CO</w:t>
            </w:r>
            <w:r w:rsidRPr="000063FC">
              <w:rPr>
                <w:rFonts w:asciiTheme="minorHAnsi" w:hAnsiTheme="minorHAnsi" w:cs="Arial"/>
                <w:b/>
                <w:bCs/>
                <w:color w:val="FFFFFF"/>
                <w:sz w:val="20"/>
                <w:vertAlign w:val="subscript"/>
                <w:lang w:eastAsia="hr-HR"/>
              </w:rPr>
              <w:t>2</w:t>
            </w:r>
          </w:p>
        </w:tc>
        <w:tc>
          <w:tcPr>
            <w:tcW w:w="1134" w:type="dxa"/>
            <w:tcBorders>
              <w:top w:val="nil"/>
              <w:left w:val="nil"/>
              <w:bottom w:val="single" w:sz="4" w:space="0" w:color="4BACC6"/>
              <w:right w:val="single" w:sz="4" w:space="0" w:color="FFFFFF"/>
            </w:tcBorders>
            <w:shd w:val="clear" w:color="000000" w:fill="4BACC6"/>
            <w:noWrap/>
            <w:vAlign w:val="center"/>
          </w:tcPr>
          <w:p w:rsidR="00B23695" w:rsidRPr="000063FC" w:rsidRDefault="008B2E49">
            <w:pPr>
              <w:spacing w:line="276"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CH</w:t>
            </w:r>
            <w:r w:rsidRPr="000063FC">
              <w:rPr>
                <w:rFonts w:asciiTheme="minorHAnsi" w:hAnsiTheme="minorHAnsi" w:cs="Arial"/>
                <w:b/>
                <w:bCs/>
                <w:color w:val="FFFFFF"/>
                <w:sz w:val="20"/>
                <w:vertAlign w:val="subscript"/>
                <w:lang w:eastAsia="hr-HR"/>
              </w:rPr>
              <w:t>4</w:t>
            </w:r>
          </w:p>
        </w:tc>
        <w:tc>
          <w:tcPr>
            <w:tcW w:w="1134" w:type="dxa"/>
            <w:tcBorders>
              <w:top w:val="nil"/>
              <w:left w:val="nil"/>
              <w:bottom w:val="single" w:sz="4" w:space="0" w:color="4BACC6"/>
              <w:right w:val="single" w:sz="4" w:space="0" w:color="FFFFFF"/>
            </w:tcBorders>
            <w:shd w:val="clear" w:color="000000" w:fill="4BACC6"/>
            <w:noWrap/>
            <w:vAlign w:val="center"/>
          </w:tcPr>
          <w:p w:rsidR="00B23695" w:rsidRPr="000063FC" w:rsidRDefault="008B2E49">
            <w:pPr>
              <w:spacing w:line="276"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N</w:t>
            </w:r>
            <w:r w:rsidRPr="000063FC">
              <w:rPr>
                <w:rFonts w:asciiTheme="minorHAnsi" w:hAnsiTheme="minorHAnsi" w:cs="Arial"/>
                <w:b/>
                <w:bCs/>
                <w:color w:val="FFFFFF"/>
                <w:sz w:val="20"/>
                <w:vertAlign w:val="subscript"/>
                <w:lang w:eastAsia="hr-HR"/>
              </w:rPr>
              <w:t>2</w:t>
            </w:r>
            <w:r w:rsidRPr="000063FC">
              <w:rPr>
                <w:rFonts w:asciiTheme="minorHAnsi" w:hAnsiTheme="minorHAnsi" w:cs="Arial"/>
                <w:b/>
                <w:bCs/>
                <w:color w:val="FFFFFF"/>
                <w:sz w:val="20"/>
                <w:lang w:eastAsia="hr-HR"/>
              </w:rPr>
              <w:t>O</w:t>
            </w:r>
          </w:p>
        </w:tc>
        <w:tc>
          <w:tcPr>
            <w:tcW w:w="1275" w:type="dxa"/>
            <w:tcBorders>
              <w:top w:val="nil"/>
              <w:left w:val="nil"/>
              <w:bottom w:val="single" w:sz="4" w:space="0" w:color="4BACC6"/>
              <w:right w:val="single" w:sz="4" w:space="0" w:color="4BACC6"/>
            </w:tcBorders>
            <w:shd w:val="clear" w:color="000000" w:fill="4BACC6"/>
            <w:noWrap/>
            <w:vAlign w:val="center"/>
          </w:tcPr>
          <w:p w:rsidR="00B23695" w:rsidRPr="000063FC" w:rsidRDefault="008B2E49">
            <w:pPr>
              <w:spacing w:line="276"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CO</w:t>
            </w:r>
            <w:r w:rsidRPr="000063FC">
              <w:rPr>
                <w:rFonts w:asciiTheme="minorHAnsi" w:hAnsiTheme="minorHAnsi" w:cs="Arial"/>
                <w:b/>
                <w:bCs/>
                <w:color w:val="FFFFFF"/>
                <w:sz w:val="20"/>
                <w:vertAlign w:val="subscript"/>
                <w:lang w:eastAsia="hr-HR"/>
              </w:rPr>
              <w:t>2</w:t>
            </w:r>
            <w:r w:rsidRPr="000063FC">
              <w:rPr>
                <w:rFonts w:asciiTheme="minorHAnsi" w:hAnsiTheme="minorHAnsi" w:cs="Arial"/>
                <w:b/>
                <w:bCs/>
                <w:color w:val="FFFFFF"/>
                <w:sz w:val="20"/>
                <w:lang w:eastAsia="hr-HR"/>
              </w:rPr>
              <w:t>-ekv</w:t>
            </w:r>
          </w:p>
        </w:tc>
      </w:tr>
      <w:tr w:rsidR="008B2E49" w:rsidRPr="000063FC" w:rsidTr="00EA3B8D">
        <w:trPr>
          <w:trHeight w:val="227"/>
        </w:trPr>
        <w:tc>
          <w:tcPr>
            <w:tcW w:w="1714" w:type="dxa"/>
            <w:tcBorders>
              <w:top w:val="nil"/>
              <w:left w:val="single" w:sz="4" w:space="0" w:color="4BACC6"/>
              <w:bottom w:val="single" w:sz="4" w:space="0" w:color="4BACC6"/>
              <w:right w:val="single" w:sz="4" w:space="0" w:color="4BACC6"/>
            </w:tcBorders>
            <w:noWrap/>
            <w:vAlign w:val="bottom"/>
          </w:tcPr>
          <w:p w:rsidR="00B23695" w:rsidRPr="000063FC" w:rsidRDefault="008B2E49">
            <w:pPr>
              <w:spacing w:line="276" w:lineRule="auto"/>
              <w:rPr>
                <w:rFonts w:asciiTheme="minorHAnsi" w:hAnsiTheme="minorHAnsi" w:cs="Arial"/>
                <w:sz w:val="20"/>
                <w:lang w:eastAsia="hr-HR"/>
              </w:rPr>
            </w:pPr>
            <w:r w:rsidRPr="000063FC">
              <w:rPr>
                <w:rFonts w:asciiTheme="minorHAnsi" w:hAnsiTheme="minorHAnsi" w:cs="Arial"/>
                <w:sz w:val="20"/>
                <w:lang w:eastAsia="hr-HR"/>
              </w:rPr>
              <w:t>Motorni benzin</w:t>
            </w:r>
          </w:p>
        </w:tc>
        <w:tc>
          <w:tcPr>
            <w:tcW w:w="1276"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424,42</w:t>
            </w:r>
          </w:p>
        </w:tc>
        <w:tc>
          <w:tcPr>
            <w:tcW w:w="1276"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18,93</w:t>
            </w:r>
          </w:p>
        </w:tc>
        <w:tc>
          <w:tcPr>
            <w:tcW w:w="1276"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1298,52</w:t>
            </w:r>
          </w:p>
        </w:tc>
        <w:tc>
          <w:tcPr>
            <w:tcW w:w="1134"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0,09</w:t>
            </w:r>
          </w:p>
        </w:tc>
        <w:tc>
          <w:tcPr>
            <w:tcW w:w="1134"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0,01</w:t>
            </w:r>
          </w:p>
        </w:tc>
        <w:tc>
          <w:tcPr>
            <w:tcW w:w="1275"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1304,03</w:t>
            </w:r>
          </w:p>
        </w:tc>
      </w:tr>
      <w:tr w:rsidR="008B2E49" w:rsidRPr="000063FC" w:rsidTr="00EA3B8D">
        <w:trPr>
          <w:trHeight w:val="227"/>
        </w:trPr>
        <w:tc>
          <w:tcPr>
            <w:tcW w:w="1714" w:type="dxa"/>
            <w:tcBorders>
              <w:top w:val="nil"/>
              <w:left w:val="single" w:sz="4" w:space="0" w:color="4BACC6"/>
              <w:bottom w:val="single" w:sz="4" w:space="0" w:color="4BACC6"/>
              <w:right w:val="single" w:sz="4" w:space="0" w:color="4BACC6"/>
            </w:tcBorders>
            <w:noWrap/>
            <w:vAlign w:val="bottom"/>
          </w:tcPr>
          <w:p w:rsidR="00B23695" w:rsidRPr="000063FC" w:rsidRDefault="008B2E49">
            <w:pPr>
              <w:spacing w:line="276" w:lineRule="auto"/>
              <w:rPr>
                <w:rFonts w:asciiTheme="minorHAnsi" w:hAnsiTheme="minorHAnsi" w:cs="Arial"/>
                <w:sz w:val="20"/>
                <w:lang w:eastAsia="hr-HR"/>
              </w:rPr>
            </w:pPr>
            <w:r w:rsidRPr="000063FC">
              <w:rPr>
                <w:rFonts w:asciiTheme="minorHAnsi" w:hAnsiTheme="minorHAnsi" w:cs="Arial"/>
                <w:sz w:val="20"/>
                <w:lang w:eastAsia="hr-HR"/>
              </w:rPr>
              <w:t>Dizel</w:t>
            </w:r>
          </w:p>
        </w:tc>
        <w:tc>
          <w:tcPr>
            <w:tcW w:w="1276"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4237,49</w:t>
            </w:r>
          </w:p>
        </w:tc>
        <w:tc>
          <w:tcPr>
            <w:tcW w:w="1276"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180,94</w:t>
            </w:r>
          </w:p>
        </w:tc>
        <w:tc>
          <w:tcPr>
            <w:tcW w:w="1276"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13262,97</w:t>
            </w:r>
          </w:p>
        </w:tc>
        <w:tc>
          <w:tcPr>
            <w:tcW w:w="1134"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0,90</w:t>
            </w:r>
          </w:p>
        </w:tc>
        <w:tc>
          <w:tcPr>
            <w:tcW w:w="1134"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0,11</w:t>
            </w:r>
          </w:p>
        </w:tc>
        <w:tc>
          <w:tcPr>
            <w:tcW w:w="1275"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13315,62</w:t>
            </w:r>
          </w:p>
        </w:tc>
      </w:tr>
      <w:tr w:rsidR="008B2E49" w:rsidRPr="000063FC" w:rsidTr="00EA3B8D">
        <w:trPr>
          <w:trHeight w:val="227"/>
        </w:trPr>
        <w:tc>
          <w:tcPr>
            <w:tcW w:w="1714" w:type="dxa"/>
            <w:tcBorders>
              <w:top w:val="nil"/>
              <w:left w:val="single" w:sz="4" w:space="0" w:color="4BACC6"/>
              <w:bottom w:val="single" w:sz="4" w:space="0" w:color="4BACC6"/>
              <w:right w:val="single" w:sz="4" w:space="0" w:color="4BACC6"/>
            </w:tcBorders>
            <w:noWrap/>
            <w:vAlign w:val="bottom"/>
          </w:tcPr>
          <w:p w:rsidR="00B23695" w:rsidRPr="000063FC" w:rsidRDefault="008B2E49">
            <w:pPr>
              <w:spacing w:line="276" w:lineRule="auto"/>
              <w:rPr>
                <w:rFonts w:asciiTheme="minorHAnsi" w:hAnsiTheme="minorHAnsi" w:cs="Arial"/>
                <w:sz w:val="20"/>
                <w:lang w:eastAsia="hr-HR"/>
              </w:rPr>
            </w:pPr>
            <w:r w:rsidRPr="000063FC">
              <w:rPr>
                <w:rFonts w:asciiTheme="minorHAnsi" w:hAnsiTheme="minorHAnsi" w:cs="Arial"/>
                <w:sz w:val="20"/>
                <w:lang w:eastAsia="hr-HR"/>
              </w:rPr>
              <w:t>UNP</w:t>
            </w:r>
          </w:p>
        </w:tc>
        <w:tc>
          <w:tcPr>
            <w:tcW w:w="1276"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2,52</w:t>
            </w:r>
          </w:p>
        </w:tc>
        <w:tc>
          <w:tcPr>
            <w:tcW w:w="1276"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0,12</w:t>
            </w:r>
          </w:p>
        </w:tc>
        <w:tc>
          <w:tcPr>
            <w:tcW w:w="1276"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7,37</w:t>
            </w:r>
          </w:p>
        </w:tc>
        <w:tc>
          <w:tcPr>
            <w:tcW w:w="1134"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0,00</w:t>
            </w:r>
          </w:p>
        </w:tc>
        <w:tc>
          <w:tcPr>
            <w:tcW w:w="1134"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0,00</w:t>
            </w:r>
          </w:p>
        </w:tc>
        <w:tc>
          <w:tcPr>
            <w:tcW w:w="1275"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7,40</w:t>
            </w:r>
          </w:p>
        </w:tc>
      </w:tr>
      <w:tr w:rsidR="008B2E49" w:rsidRPr="000063FC" w:rsidTr="00EA3B8D">
        <w:trPr>
          <w:trHeight w:val="227"/>
        </w:trPr>
        <w:tc>
          <w:tcPr>
            <w:tcW w:w="1714" w:type="dxa"/>
            <w:tcBorders>
              <w:top w:val="nil"/>
              <w:left w:val="single" w:sz="4" w:space="0" w:color="4BACC6"/>
              <w:bottom w:val="single" w:sz="4" w:space="0" w:color="4BACC6"/>
              <w:right w:val="single" w:sz="4" w:space="0" w:color="4BACC6"/>
            </w:tcBorders>
            <w:noWrap/>
            <w:vAlign w:val="bottom"/>
          </w:tcPr>
          <w:p w:rsidR="00B23695" w:rsidRPr="000063FC" w:rsidRDefault="008B2E49">
            <w:pPr>
              <w:spacing w:line="276" w:lineRule="auto"/>
              <w:rPr>
                <w:rFonts w:asciiTheme="minorHAnsi" w:hAnsiTheme="minorHAnsi" w:cs="Arial"/>
                <w:sz w:val="20"/>
                <w:lang w:eastAsia="hr-HR"/>
              </w:rPr>
            </w:pPr>
            <w:r w:rsidRPr="000063FC">
              <w:rPr>
                <w:rFonts w:asciiTheme="minorHAnsi" w:hAnsiTheme="minorHAnsi" w:cs="Arial"/>
                <w:sz w:val="20"/>
                <w:lang w:eastAsia="hr-HR"/>
              </w:rPr>
              <w:t>Prirodni plin</w:t>
            </w:r>
          </w:p>
        </w:tc>
        <w:tc>
          <w:tcPr>
            <w:tcW w:w="1276"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33,23</w:t>
            </w:r>
          </w:p>
        </w:tc>
        <w:tc>
          <w:tcPr>
            <w:tcW w:w="1276"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1,61</w:t>
            </w:r>
          </w:p>
        </w:tc>
        <w:tc>
          <w:tcPr>
            <w:tcW w:w="1276"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90,07</w:t>
            </w:r>
          </w:p>
        </w:tc>
        <w:tc>
          <w:tcPr>
            <w:tcW w:w="1134"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0,01</w:t>
            </w:r>
          </w:p>
        </w:tc>
        <w:tc>
          <w:tcPr>
            <w:tcW w:w="1134"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0,00</w:t>
            </w:r>
          </w:p>
        </w:tc>
        <w:tc>
          <w:tcPr>
            <w:tcW w:w="1275" w:type="dxa"/>
            <w:tcBorders>
              <w:top w:val="nil"/>
              <w:left w:val="nil"/>
              <w:bottom w:val="single" w:sz="4" w:space="0" w:color="4BACC6"/>
              <w:right w:val="single" w:sz="4"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90,29</w:t>
            </w:r>
          </w:p>
        </w:tc>
      </w:tr>
      <w:tr w:rsidR="008B2E49" w:rsidRPr="000063FC" w:rsidTr="00EA3B8D">
        <w:trPr>
          <w:trHeight w:val="227"/>
        </w:trPr>
        <w:tc>
          <w:tcPr>
            <w:tcW w:w="1714" w:type="dxa"/>
            <w:tcBorders>
              <w:top w:val="nil"/>
              <w:left w:val="single" w:sz="4" w:space="0" w:color="4BACC6"/>
              <w:bottom w:val="single" w:sz="4" w:space="0" w:color="4BACC6"/>
              <w:right w:val="single" w:sz="4" w:space="0" w:color="4BACC6"/>
            </w:tcBorders>
            <w:shd w:val="clear" w:color="000000" w:fill="DBEEF3"/>
            <w:noWrap/>
            <w:vAlign w:val="bottom"/>
          </w:tcPr>
          <w:p w:rsidR="00B23695" w:rsidRPr="000063FC" w:rsidRDefault="008B2E49">
            <w:pPr>
              <w:spacing w:line="276" w:lineRule="auto"/>
              <w:rPr>
                <w:rFonts w:asciiTheme="minorHAnsi" w:hAnsiTheme="minorHAnsi" w:cs="Arial"/>
                <w:b/>
                <w:bCs/>
                <w:sz w:val="20"/>
                <w:lang w:eastAsia="hr-HR"/>
              </w:rPr>
            </w:pPr>
            <w:r w:rsidRPr="000063FC">
              <w:rPr>
                <w:rFonts w:asciiTheme="minorHAnsi" w:hAnsiTheme="minorHAnsi" w:cs="Arial"/>
                <w:b/>
                <w:bCs/>
                <w:sz w:val="20"/>
                <w:lang w:eastAsia="hr-HR"/>
              </w:rPr>
              <w:t>UKUPNO</w:t>
            </w:r>
          </w:p>
        </w:tc>
        <w:tc>
          <w:tcPr>
            <w:tcW w:w="1276" w:type="dxa"/>
            <w:tcBorders>
              <w:top w:val="nil"/>
              <w:left w:val="nil"/>
              <w:bottom w:val="single" w:sz="4" w:space="0" w:color="4BACC6"/>
              <w:right w:val="single" w:sz="4" w:space="0" w:color="4BACC6"/>
            </w:tcBorders>
            <w:shd w:val="clear" w:color="000000" w:fill="DBEEF3"/>
            <w:noWrap/>
            <w:vAlign w:val="bottom"/>
          </w:tcPr>
          <w:p w:rsidR="00B23695" w:rsidRPr="000063FC" w:rsidRDefault="008B2E49">
            <w:pPr>
              <w:spacing w:line="276" w:lineRule="auto"/>
              <w:jc w:val="right"/>
              <w:rPr>
                <w:rFonts w:asciiTheme="minorHAnsi" w:hAnsiTheme="minorHAnsi" w:cs="Arial"/>
                <w:b/>
                <w:bCs/>
                <w:sz w:val="20"/>
              </w:rPr>
            </w:pPr>
            <w:r w:rsidRPr="000063FC">
              <w:rPr>
                <w:rFonts w:asciiTheme="minorHAnsi" w:hAnsiTheme="minorHAnsi" w:cs="Arial"/>
                <w:b/>
                <w:bCs/>
                <w:sz w:val="20"/>
              </w:rPr>
              <w:t> </w:t>
            </w:r>
          </w:p>
        </w:tc>
        <w:tc>
          <w:tcPr>
            <w:tcW w:w="1276" w:type="dxa"/>
            <w:tcBorders>
              <w:top w:val="nil"/>
              <w:left w:val="nil"/>
              <w:bottom w:val="single" w:sz="4" w:space="0" w:color="4BACC6"/>
              <w:right w:val="single" w:sz="4" w:space="0" w:color="4BACC6"/>
            </w:tcBorders>
            <w:shd w:val="clear" w:color="000000" w:fill="DBEEF3"/>
            <w:noWrap/>
            <w:vAlign w:val="bottom"/>
          </w:tcPr>
          <w:p w:rsidR="00B23695" w:rsidRPr="000063FC" w:rsidRDefault="008B2E49">
            <w:pPr>
              <w:spacing w:line="276" w:lineRule="auto"/>
              <w:jc w:val="right"/>
              <w:rPr>
                <w:rFonts w:asciiTheme="minorHAnsi" w:hAnsiTheme="minorHAnsi" w:cs="Arial"/>
                <w:b/>
                <w:bCs/>
                <w:sz w:val="20"/>
              </w:rPr>
            </w:pPr>
            <w:r w:rsidRPr="000063FC">
              <w:rPr>
                <w:rFonts w:asciiTheme="minorHAnsi" w:hAnsiTheme="minorHAnsi" w:cs="Arial"/>
                <w:b/>
                <w:bCs/>
                <w:sz w:val="20"/>
              </w:rPr>
              <w:t>201,60</w:t>
            </w:r>
          </w:p>
        </w:tc>
        <w:tc>
          <w:tcPr>
            <w:tcW w:w="1276" w:type="dxa"/>
            <w:tcBorders>
              <w:top w:val="nil"/>
              <w:left w:val="nil"/>
              <w:bottom w:val="single" w:sz="4" w:space="0" w:color="4BACC6"/>
              <w:right w:val="single" w:sz="4" w:space="0" w:color="4BACC6"/>
            </w:tcBorders>
            <w:shd w:val="clear" w:color="000000" w:fill="DBEEF3"/>
            <w:noWrap/>
            <w:vAlign w:val="bottom"/>
          </w:tcPr>
          <w:p w:rsidR="00B23695" w:rsidRPr="000063FC" w:rsidRDefault="008B2E49">
            <w:pPr>
              <w:spacing w:line="276" w:lineRule="auto"/>
              <w:jc w:val="right"/>
              <w:rPr>
                <w:rFonts w:asciiTheme="minorHAnsi" w:hAnsiTheme="minorHAnsi" w:cs="Arial"/>
                <w:b/>
                <w:bCs/>
                <w:sz w:val="20"/>
              </w:rPr>
            </w:pPr>
            <w:r w:rsidRPr="000063FC">
              <w:rPr>
                <w:rFonts w:asciiTheme="minorHAnsi" w:hAnsiTheme="minorHAnsi" w:cs="Arial"/>
                <w:b/>
                <w:bCs/>
                <w:sz w:val="20"/>
              </w:rPr>
              <w:t>14658,93</w:t>
            </w:r>
          </w:p>
        </w:tc>
        <w:tc>
          <w:tcPr>
            <w:tcW w:w="1134" w:type="dxa"/>
            <w:tcBorders>
              <w:top w:val="nil"/>
              <w:left w:val="nil"/>
              <w:bottom w:val="single" w:sz="4" w:space="0" w:color="4BACC6"/>
              <w:right w:val="single" w:sz="4" w:space="0" w:color="4BACC6"/>
            </w:tcBorders>
            <w:shd w:val="clear" w:color="000000" w:fill="DBEEF3"/>
            <w:noWrap/>
            <w:vAlign w:val="bottom"/>
          </w:tcPr>
          <w:p w:rsidR="00B23695" w:rsidRPr="000063FC" w:rsidRDefault="008B2E49">
            <w:pPr>
              <w:spacing w:line="276" w:lineRule="auto"/>
              <w:jc w:val="right"/>
              <w:rPr>
                <w:rFonts w:asciiTheme="minorHAnsi" w:hAnsiTheme="minorHAnsi" w:cs="Arial"/>
                <w:b/>
                <w:bCs/>
                <w:sz w:val="20"/>
              </w:rPr>
            </w:pPr>
            <w:r w:rsidRPr="000063FC">
              <w:rPr>
                <w:rFonts w:asciiTheme="minorHAnsi" w:hAnsiTheme="minorHAnsi" w:cs="Arial"/>
                <w:b/>
                <w:bCs/>
                <w:sz w:val="20"/>
              </w:rPr>
              <w:t>1,01</w:t>
            </w:r>
          </w:p>
        </w:tc>
        <w:tc>
          <w:tcPr>
            <w:tcW w:w="1134" w:type="dxa"/>
            <w:tcBorders>
              <w:top w:val="nil"/>
              <w:left w:val="nil"/>
              <w:bottom w:val="single" w:sz="4" w:space="0" w:color="4BACC6"/>
              <w:right w:val="single" w:sz="4" w:space="0" w:color="4BACC6"/>
            </w:tcBorders>
            <w:shd w:val="clear" w:color="000000" w:fill="DBEEF3"/>
            <w:noWrap/>
            <w:vAlign w:val="bottom"/>
          </w:tcPr>
          <w:p w:rsidR="00B23695" w:rsidRPr="000063FC" w:rsidRDefault="008B2E49">
            <w:pPr>
              <w:spacing w:line="276" w:lineRule="auto"/>
              <w:jc w:val="right"/>
              <w:rPr>
                <w:rFonts w:asciiTheme="minorHAnsi" w:hAnsiTheme="minorHAnsi" w:cs="Arial"/>
                <w:b/>
                <w:bCs/>
                <w:sz w:val="20"/>
              </w:rPr>
            </w:pPr>
            <w:r w:rsidRPr="000063FC">
              <w:rPr>
                <w:rFonts w:asciiTheme="minorHAnsi" w:hAnsiTheme="minorHAnsi" w:cs="Arial"/>
                <w:b/>
                <w:bCs/>
                <w:sz w:val="20"/>
              </w:rPr>
              <w:t>0,12</w:t>
            </w:r>
          </w:p>
        </w:tc>
        <w:tc>
          <w:tcPr>
            <w:tcW w:w="1275" w:type="dxa"/>
            <w:tcBorders>
              <w:top w:val="nil"/>
              <w:left w:val="nil"/>
              <w:bottom w:val="single" w:sz="4" w:space="0" w:color="4BACC6"/>
              <w:right w:val="single" w:sz="4" w:space="0" w:color="4BACC6"/>
            </w:tcBorders>
            <w:shd w:val="clear" w:color="000000" w:fill="DBEEF3"/>
            <w:noWrap/>
            <w:vAlign w:val="bottom"/>
          </w:tcPr>
          <w:p w:rsidR="00B23695" w:rsidRPr="000063FC" w:rsidRDefault="008B2E49">
            <w:pPr>
              <w:spacing w:line="276" w:lineRule="auto"/>
              <w:jc w:val="right"/>
              <w:rPr>
                <w:rFonts w:asciiTheme="minorHAnsi" w:hAnsiTheme="minorHAnsi" w:cs="Arial"/>
                <w:b/>
                <w:bCs/>
                <w:sz w:val="20"/>
              </w:rPr>
            </w:pPr>
            <w:r w:rsidRPr="000063FC">
              <w:rPr>
                <w:rFonts w:asciiTheme="minorHAnsi" w:hAnsiTheme="minorHAnsi" w:cs="Arial"/>
                <w:b/>
                <w:bCs/>
                <w:sz w:val="20"/>
              </w:rPr>
              <w:t>14717,35</w:t>
            </w:r>
          </w:p>
        </w:tc>
      </w:tr>
    </w:tbl>
    <w:p w:rsidR="00B23695" w:rsidRPr="000063FC" w:rsidRDefault="00B23695">
      <w:pPr>
        <w:spacing w:line="276" w:lineRule="auto"/>
      </w:pPr>
    </w:p>
    <w:p w:rsidR="00B23695" w:rsidRPr="000063FC" w:rsidRDefault="007B0169">
      <w:pPr>
        <w:spacing w:line="276" w:lineRule="auto"/>
        <w:rPr>
          <w:szCs w:val="22"/>
        </w:rPr>
      </w:pPr>
      <w:r w:rsidRPr="000063FC">
        <w:rPr>
          <w:szCs w:val="22"/>
        </w:rPr>
        <w:t>Udio emisija voznog parka Grada Zagreba u ukupnim emisijama osobnih vozila iznosi 2,8%</w:t>
      </w:r>
      <w:r w:rsidR="006A57A4" w:rsidRPr="000063FC">
        <w:rPr>
          <w:rStyle w:val="FootnoteReference"/>
          <w:szCs w:val="22"/>
        </w:rPr>
        <w:footnoteReference w:id="19"/>
      </w:r>
      <w:r w:rsidRPr="000063FC">
        <w:rPr>
          <w:szCs w:val="22"/>
        </w:rPr>
        <w:t xml:space="preserve">. </w:t>
      </w:r>
    </w:p>
    <w:p w:rsidR="00B23695" w:rsidRPr="000063FC" w:rsidRDefault="00B23695">
      <w:pPr>
        <w:spacing w:line="276" w:lineRule="auto"/>
        <w:ind w:firstLine="720"/>
        <w:rPr>
          <w:szCs w:val="22"/>
        </w:rPr>
      </w:pPr>
    </w:p>
    <w:p w:rsidR="00B23695" w:rsidRPr="000063FC" w:rsidRDefault="007B0169">
      <w:pPr>
        <w:spacing w:line="276" w:lineRule="auto"/>
        <w:rPr>
          <w:szCs w:val="22"/>
        </w:rPr>
      </w:pPr>
      <w:r w:rsidRPr="000063FC">
        <w:rPr>
          <w:szCs w:val="22"/>
        </w:rPr>
        <w:t xml:space="preserve">U tablici </w:t>
      </w:r>
      <w:r w:rsidR="008E1FA8" w:rsidRPr="000063FC">
        <w:rPr>
          <w:szCs w:val="22"/>
        </w:rPr>
        <w:t>2.17</w:t>
      </w:r>
      <w:r w:rsidR="00A77CD7" w:rsidRPr="000063FC">
        <w:rPr>
          <w:szCs w:val="22"/>
        </w:rPr>
        <w:t xml:space="preserve"> prikazane su karakteristike korištenog goriva i standardni emisijski faktori te specifične ogrjevne vrijednosti</w:t>
      </w:r>
      <w:r w:rsidRPr="000063FC">
        <w:rPr>
          <w:szCs w:val="22"/>
        </w:rPr>
        <w:t xml:space="preserve"> iz Nacionalne energetske bilance</w:t>
      </w:r>
      <w:r w:rsidR="00A77CD7" w:rsidRPr="000063FC">
        <w:rPr>
          <w:szCs w:val="22"/>
        </w:rPr>
        <w:t xml:space="preserve"> Republike Hrvatske </w:t>
      </w:r>
      <w:r w:rsidR="006A57A4" w:rsidRPr="000063FC">
        <w:rPr>
          <w:rStyle w:val="FootnoteReference"/>
          <w:szCs w:val="22"/>
        </w:rPr>
        <w:footnoteReference w:id="20"/>
      </w:r>
      <w:r w:rsidRPr="000063FC">
        <w:rPr>
          <w:szCs w:val="22"/>
        </w:rPr>
        <w:t xml:space="preserve"> za 2008. godinu. </w:t>
      </w:r>
    </w:p>
    <w:p w:rsidR="00BC341E" w:rsidRPr="000063FC" w:rsidRDefault="00BC341E">
      <w:pPr>
        <w:pStyle w:val="Caption"/>
      </w:pPr>
    </w:p>
    <w:p w:rsidR="00BC341E" w:rsidRPr="000063FC" w:rsidRDefault="008B2E49" w:rsidP="00B33E2F">
      <w:pPr>
        <w:pStyle w:val="Heading6"/>
      </w:pPr>
      <w:bookmarkStart w:id="145" w:name="_Toc254010245"/>
      <w:r w:rsidRPr="000063FC">
        <w:t xml:space="preserve">Tablica </w:t>
      </w:r>
      <w:r w:rsidR="00091508" w:rsidRPr="000063FC">
        <w:t>2.17</w:t>
      </w:r>
      <w:r w:rsidRPr="000063FC">
        <w:t xml:space="preserve">: </w:t>
      </w:r>
      <w:r w:rsidR="00A77CD7" w:rsidRPr="000063FC">
        <w:t>Karakteristike goriva i standardni emisijski faktori</w:t>
      </w:r>
      <w:bookmarkEnd w:id="145"/>
    </w:p>
    <w:tbl>
      <w:tblPr>
        <w:tblW w:w="9084" w:type="dxa"/>
        <w:tblInd w:w="96" w:type="dxa"/>
        <w:tblBorders>
          <w:top w:val="single" w:sz="6" w:space="0" w:color="4BACC6"/>
          <w:left w:val="single" w:sz="6" w:space="0" w:color="4BACC6"/>
          <w:bottom w:val="single" w:sz="6" w:space="0" w:color="4BACC6"/>
          <w:right w:val="single" w:sz="6" w:space="0" w:color="4BACC6"/>
          <w:insideH w:val="single" w:sz="6" w:space="0" w:color="4BACC6"/>
          <w:insideV w:val="single" w:sz="6" w:space="0" w:color="4BACC6"/>
        </w:tblBorders>
        <w:tblLook w:val="00A0" w:firstRow="1" w:lastRow="0" w:firstColumn="1" w:lastColumn="0" w:noHBand="0" w:noVBand="0"/>
      </w:tblPr>
      <w:tblGrid>
        <w:gridCol w:w="1713"/>
        <w:gridCol w:w="1418"/>
        <w:gridCol w:w="1984"/>
        <w:gridCol w:w="1276"/>
        <w:gridCol w:w="1418"/>
        <w:gridCol w:w="1275"/>
      </w:tblGrid>
      <w:tr w:rsidR="008B2E49" w:rsidRPr="000063FC" w:rsidTr="00EA3B8D">
        <w:trPr>
          <w:trHeight w:val="283"/>
        </w:trPr>
        <w:tc>
          <w:tcPr>
            <w:tcW w:w="1713" w:type="dxa"/>
            <w:vMerge w:val="restart"/>
            <w:tcBorders>
              <w:bottom w:val="single" w:sz="6" w:space="0" w:color="FFFFFF"/>
              <w:right w:val="single" w:sz="6" w:space="0" w:color="FFFFFF"/>
            </w:tcBorders>
            <w:shd w:val="clear" w:color="auto" w:fill="4BACC6"/>
            <w:noWrap/>
            <w:vAlign w:val="center"/>
          </w:tcPr>
          <w:p w:rsidR="00B23695" w:rsidRPr="000063FC" w:rsidRDefault="008B2E49">
            <w:pPr>
              <w:spacing w:line="276" w:lineRule="auto"/>
              <w:jc w:val="center"/>
              <w:rPr>
                <w:rFonts w:cs="Arial"/>
                <w:b/>
                <w:color w:val="FFFFFF"/>
                <w:sz w:val="20"/>
                <w:lang w:eastAsia="hr-HR"/>
              </w:rPr>
            </w:pPr>
            <w:r w:rsidRPr="000063FC">
              <w:rPr>
                <w:rFonts w:cs="Arial"/>
                <w:b/>
                <w:color w:val="FFFFFF"/>
                <w:sz w:val="20"/>
                <w:lang w:eastAsia="hr-HR"/>
              </w:rPr>
              <w:t>Vrsta goriva</w:t>
            </w:r>
          </w:p>
        </w:tc>
        <w:tc>
          <w:tcPr>
            <w:tcW w:w="1418" w:type="dxa"/>
            <w:vMerge w:val="restart"/>
            <w:tcBorders>
              <w:left w:val="single" w:sz="6" w:space="0" w:color="FFFFFF"/>
              <w:bottom w:val="single" w:sz="6" w:space="0" w:color="FFFFFF"/>
              <w:right w:val="single" w:sz="6" w:space="0" w:color="FFFFFF"/>
            </w:tcBorders>
            <w:shd w:val="clear" w:color="auto" w:fill="4BACC6"/>
            <w:noWrap/>
            <w:vAlign w:val="bottom"/>
          </w:tcPr>
          <w:p w:rsidR="00B23695" w:rsidRPr="000063FC" w:rsidRDefault="008B2E49">
            <w:pPr>
              <w:spacing w:line="276" w:lineRule="auto"/>
              <w:jc w:val="center"/>
              <w:rPr>
                <w:rFonts w:cs="Arial"/>
                <w:b/>
                <w:color w:val="FFFFFF"/>
                <w:sz w:val="20"/>
                <w:lang w:eastAsia="hr-HR"/>
              </w:rPr>
            </w:pPr>
            <w:r w:rsidRPr="000063FC">
              <w:rPr>
                <w:rFonts w:cs="Arial"/>
                <w:b/>
                <w:color w:val="FFFFFF"/>
                <w:sz w:val="20"/>
                <w:lang w:eastAsia="hr-HR"/>
              </w:rPr>
              <w:t>Gustoća</w:t>
            </w:r>
            <w:r w:rsidRPr="000063FC">
              <w:rPr>
                <w:rStyle w:val="FootnoteReference"/>
                <w:rFonts w:cs="Arial"/>
                <w:b/>
                <w:color w:val="FFFFFF"/>
                <w:sz w:val="20"/>
                <w:lang w:eastAsia="hr-HR"/>
              </w:rPr>
              <w:footnoteReference w:id="21"/>
            </w:r>
            <w:r w:rsidRPr="000063FC">
              <w:rPr>
                <w:rFonts w:cs="Arial"/>
                <w:b/>
                <w:color w:val="FFFFFF"/>
                <w:sz w:val="20"/>
                <w:lang w:eastAsia="hr-HR"/>
              </w:rPr>
              <w:t>, kg/m</w:t>
            </w:r>
            <w:r w:rsidRPr="000063FC">
              <w:rPr>
                <w:rFonts w:cs="Arial"/>
                <w:b/>
                <w:color w:val="FFFFFF"/>
                <w:sz w:val="20"/>
                <w:vertAlign w:val="superscript"/>
                <w:lang w:eastAsia="hr-HR"/>
              </w:rPr>
              <w:t>3</w:t>
            </w:r>
          </w:p>
        </w:tc>
        <w:tc>
          <w:tcPr>
            <w:tcW w:w="1984" w:type="dxa"/>
            <w:vMerge w:val="restart"/>
            <w:tcBorders>
              <w:left w:val="single" w:sz="6" w:space="0" w:color="FFFFFF"/>
              <w:bottom w:val="single" w:sz="6" w:space="0" w:color="FFFFFF"/>
              <w:right w:val="single" w:sz="6" w:space="0" w:color="FFFFFF"/>
            </w:tcBorders>
            <w:shd w:val="clear" w:color="auto" w:fill="4BACC6"/>
            <w:vAlign w:val="bottom"/>
          </w:tcPr>
          <w:p w:rsidR="00B23695" w:rsidRPr="000063FC" w:rsidRDefault="008B2E49">
            <w:pPr>
              <w:spacing w:line="276" w:lineRule="auto"/>
              <w:jc w:val="center"/>
              <w:rPr>
                <w:rFonts w:cs="Arial"/>
                <w:b/>
                <w:color w:val="FFFFFF"/>
                <w:sz w:val="20"/>
                <w:lang w:eastAsia="hr-HR"/>
              </w:rPr>
            </w:pPr>
            <w:r w:rsidRPr="000063FC">
              <w:rPr>
                <w:rFonts w:cs="Arial"/>
                <w:b/>
                <w:color w:val="FFFFFF"/>
                <w:sz w:val="20"/>
                <w:lang w:eastAsia="hr-HR"/>
              </w:rPr>
              <w:t>Ogrjevna vrijednost, MJ/m</w:t>
            </w:r>
            <w:r w:rsidRPr="000063FC">
              <w:rPr>
                <w:rFonts w:cs="Arial"/>
                <w:b/>
                <w:color w:val="FFFFFF"/>
                <w:sz w:val="20"/>
                <w:vertAlign w:val="superscript"/>
                <w:lang w:eastAsia="hr-HR"/>
              </w:rPr>
              <w:t xml:space="preserve">3 </w:t>
            </w:r>
            <w:r w:rsidRPr="000063FC">
              <w:rPr>
                <w:rFonts w:cs="Arial"/>
                <w:b/>
                <w:color w:val="FFFFFF"/>
                <w:sz w:val="20"/>
                <w:lang w:eastAsia="hr-HR"/>
              </w:rPr>
              <w:t>(kg)</w:t>
            </w:r>
          </w:p>
        </w:tc>
        <w:tc>
          <w:tcPr>
            <w:tcW w:w="3969" w:type="dxa"/>
            <w:gridSpan w:val="3"/>
            <w:tcBorders>
              <w:left w:val="single" w:sz="6" w:space="0" w:color="FFFFFF"/>
              <w:bottom w:val="single" w:sz="6" w:space="0" w:color="FFFFFF"/>
            </w:tcBorders>
            <w:shd w:val="clear" w:color="auto" w:fill="4BACC6"/>
            <w:noWrap/>
            <w:vAlign w:val="bottom"/>
          </w:tcPr>
          <w:p w:rsidR="00B23695" w:rsidRPr="000063FC" w:rsidRDefault="008B2E49">
            <w:pPr>
              <w:spacing w:line="276" w:lineRule="auto"/>
              <w:jc w:val="center"/>
              <w:rPr>
                <w:rFonts w:cs="Arial"/>
                <w:b/>
                <w:color w:val="FFFFFF"/>
                <w:sz w:val="20"/>
                <w:lang w:eastAsia="hr-HR"/>
              </w:rPr>
            </w:pPr>
            <w:r w:rsidRPr="000063FC">
              <w:rPr>
                <w:rFonts w:cs="Arial"/>
                <w:b/>
                <w:color w:val="FFFFFF"/>
                <w:sz w:val="20"/>
                <w:lang w:eastAsia="hr-HR"/>
              </w:rPr>
              <w:t>Emisijski faktori, t/TJ</w:t>
            </w:r>
          </w:p>
        </w:tc>
      </w:tr>
      <w:tr w:rsidR="008B2E49" w:rsidRPr="000063FC" w:rsidTr="00EA3B8D">
        <w:trPr>
          <w:trHeight w:val="283"/>
        </w:trPr>
        <w:tc>
          <w:tcPr>
            <w:tcW w:w="1713" w:type="dxa"/>
            <w:vMerge/>
            <w:tcBorders>
              <w:top w:val="single" w:sz="6" w:space="0" w:color="FFFFFF"/>
              <w:right w:val="single" w:sz="6" w:space="0" w:color="FFFFFF"/>
            </w:tcBorders>
            <w:shd w:val="clear" w:color="auto" w:fill="4BACC6"/>
            <w:vAlign w:val="center"/>
          </w:tcPr>
          <w:p w:rsidR="00B23695" w:rsidRPr="000063FC" w:rsidRDefault="00B23695">
            <w:pPr>
              <w:spacing w:line="276" w:lineRule="auto"/>
              <w:rPr>
                <w:rFonts w:cs="Arial"/>
                <w:b/>
                <w:color w:val="FFFFFF"/>
                <w:sz w:val="20"/>
                <w:lang w:eastAsia="hr-HR"/>
              </w:rPr>
            </w:pPr>
          </w:p>
        </w:tc>
        <w:tc>
          <w:tcPr>
            <w:tcW w:w="1418" w:type="dxa"/>
            <w:vMerge/>
            <w:tcBorders>
              <w:top w:val="single" w:sz="6" w:space="0" w:color="FFFFFF"/>
              <w:left w:val="single" w:sz="6" w:space="0" w:color="FFFFFF"/>
              <w:right w:val="single" w:sz="6" w:space="0" w:color="FFFFFF"/>
            </w:tcBorders>
            <w:shd w:val="clear" w:color="auto" w:fill="4BACC6"/>
            <w:vAlign w:val="center"/>
          </w:tcPr>
          <w:p w:rsidR="00B23695" w:rsidRPr="000063FC" w:rsidRDefault="00B23695">
            <w:pPr>
              <w:spacing w:line="276" w:lineRule="auto"/>
              <w:rPr>
                <w:rFonts w:cs="Arial"/>
                <w:b/>
                <w:color w:val="FFFFFF"/>
                <w:sz w:val="20"/>
                <w:lang w:eastAsia="hr-HR"/>
              </w:rPr>
            </w:pPr>
          </w:p>
        </w:tc>
        <w:tc>
          <w:tcPr>
            <w:tcW w:w="1984" w:type="dxa"/>
            <w:vMerge/>
            <w:tcBorders>
              <w:top w:val="single" w:sz="6" w:space="0" w:color="FFFFFF"/>
              <w:left w:val="single" w:sz="6" w:space="0" w:color="FFFFFF"/>
              <w:right w:val="single" w:sz="6" w:space="0" w:color="FFFFFF"/>
            </w:tcBorders>
            <w:shd w:val="clear" w:color="auto" w:fill="4BACC6"/>
            <w:vAlign w:val="center"/>
          </w:tcPr>
          <w:p w:rsidR="00B23695" w:rsidRPr="000063FC" w:rsidRDefault="00B23695">
            <w:pPr>
              <w:spacing w:line="276" w:lineRule="auto"/>
              <w:rPr>
                <w:rFonts w:cs="Arial"/>
                <w:b/>
                <w:color w:val="FFFFFF"/>
                <w:sz w:val="20"/>
                <w:lang w:eastAsia="hr-HR"/>
              </w:rPr>
            </w:pPr>
          </w:p>
        </w:tc>
        <w:tc>
          <w:tcPr>
            <w:tcW w:w="1276" w:type="dxa"/>
            <w:tcBorders>
              <w:top w:val="single" w:sz="6" w:space="0" w:color="FFFFFF"/>
              <w:left w:val="single" w:sz="6" w:space="0" w:color="FFFFFF"/>
              <w:right w:val="single" w:sz="6" w:space="0" w:color="FFFFFF"/>
            </w:tcBorders>
            <w:shd w:val="clear" w:color="auto" w:fill="4BACC6"/>
            <w:noWrap/>
            <w:vAlign w:val="bottom"/>
          </w:tcPr>
          <w:p w:rsidR="00B23695" w:rsidRPr="000063FC" w:rsidRDefault="008B2E49">
            <w:pPr>
              <w:spacing w:line="276" w:lineRule="auto"/>
              <w:jc w:val="center"/>
              <w:rPr>
                <w:rFonts w:cs="Arial"/>
                <w:b/>
                <w:color w:val="FFFFFF"/>
                <w:sz w:val="20"/>
                <w:lang w:eastAsia="hr-HR"/>
              </w:rPr>
            </w:pPr>
            <w:r w:rsidRPr="000063FC">
              <w:rPr>
                <w:rFonts w:cs="Arial"/>
                <w:b/>
                <w:color w:val="FFFFFF"/>
                <w:sz w:val="20"/>
                <w:lang w:eastAsia="hr-HR"/>
              </w:rPr>
              <w:t>CO</w:t>
            </w:r>
            <w:r w:rsidRPr="000063FC">
              <w:rPr>
                <w:rFonts w:cs="Arial"/>
                <w:b/>
                <w:color w:val="FFFFFF"/>
                <w:sz w:val="20"/>
                <w:vertAlign w:val="subscript"/>
                <w:lang w:eastAsia="hr-HR"/>
              </w:rPr>
              <w:t>2</w:t>
            </w:r>
          </w:p>
        </w:tc>
        <w:tc>
          <w:tcPr>
            <w:tcW w:w="1418" w:type="dxa"/>
            <w:tcBorders>
              <w:top w:val="single" w:sz="6" w:space="0" w:color="FFFFFF"/>
              <w:left w:val="single" w:sz="6" w:space="0" w:color="FFFFFF"/>
              <w:right w:val="single" w:sz="6" w:space="0" w:color="FFFFFF"/>
            </w:tcBorders>
            <w:shd w:val="clear" w:color="auto" w:fill="4BACC6"/>
            <w:noWrap/>
            <w:vAlign w:val="bottom"/>
          </w:tcPr>
          <w:p w:rsidR="00B23695" w:rsidRPr="000063FC" w:rsidRDefault="008B2E49">
            <w:pPr>
              <w:spacing w:line="276" w:lineRule="auto"/>
              <w:jc w:val="center"/>
              <w:rPr>
                <w:rFonts w:cs="Arial"/>
                <w:b/>
                <w:color w:val="FFFFFF"/>
                <w:sz w:val="20"/>
                <w:lang w:eastAsia="hr-HR"/>
              </w:rPr>
            </w:pPr>
            <w:r w:rsidRPr="000063FC">
              <w:rPr>
                <w:rFonts w:cs="Arial"/>
                <w:b/>
                <w:color w:val="FFFFFF"/>
                <w:sz w:val="20"/>
                <w:lang w:eastAsia="hr-HR"/>
              </w:rPr>
              <w:t>CH</w:t>
            </w:r>
            <w:r w:rsidRPr="000063FC">
              <w:rPr>
                <w:rFonts w:cs="Arial"/>
                <w:b/>
                <w:color w:val="FFFFFF"/>
                <w:sz w:val="20"/>
                <w:vertAlign w:val="subscript"/>
                <w:lang w:eastAsia="hr-HR"/>
              </w:rPr>
              <w:t>4</w:t>
            </w:r>
          </w:p>
        </w:tc>
        <w:tc>
          <w:tcPr>
            <w:tcW w:w="1275" w:type="dxa"/>
            <w:tcBorders>
              <w:top w:val="single" w:sz="6" w:space="0" w:color="FFFFFF"/>
              <w:left w:val="single" w:sz="6" w:space="0" w:color="FFFFFF"/>
            </w:tcBorders>
            <w:shd w:val="clear" w:color="auto" w:fill="4BACC6"/>
            <w:noWrap/>
            <w:vAlign w:val="bottom"/>
          </w:tcPr>
          <w:p w:rsidR="00B23695" w:rsidRPr="000063FC" w:rsidRDefault="008B2E49">
            <w:pPr>
              <w:spacing w:line="276" w:lineRule="auto"/>
              <w:jc w:val="center"/>
              <w:rPr>
                <w:rFonts w:cs="Arial"/>
                <w:b/>
                <w:color w:val="FFFFFF"/>
                <w:sz w:val="20"/>
                <w:lang w:eastAsia="hr-HR"/>
              </w:rPr>
            </w:pPr>
            <w:r w:rsidRPr="000063FC">
              <w:rPr>
                <w:rFonts w:cs="Arial"/>
                <w:b/>
                <w:color w:val="FFFFFF"/>
                <w:sz w:val="20"/>
                <w:lang w:eastAsia="hr-HR"/>
              </w:rPr>
              <w:t>N</w:t>
            </w:r>
            <w:r w:rsidRPr="000063FC">
              <w:rPr>
                <w:rFonts w:cs="Arial"/>
                <w:b/>
                <w:color w:val="FFFFFF"/>
                <w:sz w:val="20"/>
                <w:vertAlign w:val="subscript"/>
                <w:lang w:eastAsia="hr-HR"/>
              </w:rPr>
              <w:t>2</w:t>
            </w:r>
            <w:r w:rsidRPr="000063FC">
              <w:rPr>
                <w:rFonts w:cs="Arial"/>
                <w:b/>
                <w:color w:val="FFFFFF"/>
                <w:sz w:val="20"/>
                <w:lang w:eastAsia="hr-HR"/>
              </w:rPr>
              <w:t>O</w:t>
            </w:r>
          </w:p>
        </w:tc>
      </w:tr>
      <w:tr w:rsidR="008B2E49" w:rsidRPr="000063FC" w:rsidTr="00EA3B8D">
        <w:trPr>
          <w:trHeight w:val="283"/>
        </w:trPr>
        <w:tc>
          <w:tcPr>
            <w:tcW w:w="1713" w:type="dxa"/>
            <w:noWrap/>
            <w:vAlign w:val="bottom"/>
          </w:tcPr>
          <w:p w:rsidR="00B23695" w:rsidRPr="000063FC" w:rsidRDefault="008B2E49">
            <w:pPr>
              <w:spacing w:line="276" w:lineRule="auto"/>
              <w:rPr>
                <w:rFonts w:cs="Arial"/>
                <w:sz w:val="20"/>
                <w:lang w:eastAsia="hr-HR"/>
              </w:rPr>
            </w:pPr>
            <w:r w:rsidRPr="000063FC">
              <w:rPr>
                <w:rFonts w:cs="Arial"/>
                <w:sz w:val="20"/>
                <w:lang w:eastAsia="hr-HR"/>
              </w:rPr>
              <w:t>Motorni benzin</w:t>
            </w:r>
          </w:p>
        </w:tc>
        <w:tc>
          <w:tcPr>
            <w:tcW w:w="1418"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720</w:t>
            </w:r>
          </w:p>
        </w:tc>
        <w:tc>
          <w:tcPr>
            <w:tcW w:w="1984"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44,6</w:t>
            </w:r>
          </w:p>
        </w:tc>
        <w:tc>
          <w:tcPr>
            <w:tcW w:w="1276"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68,6</w:t>
            </w:r>
          </w:p>
        </w:tc>
        <w:tc>
          <w:tcPr>
            <w:tcW w:w="1418"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0,005</w:t>
            </w:r>
          </w:p>
        </w:tc>
        <w:tc>
          <w:tcPr>
            <w:tcW w:w="1275"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0,0006</w:t>
            </w:r>
          </w:p>
        </w:tc>
      </w:tr>
      <w:tr w:rsidR="008B2E49" w:rsidRPr="000063FC" w:rsidTr="00EA3B8D">
        <w:trPr>
          <w:trHeight w:val="283"/>
        </w:trPr>
        <w:tc>
          <w:tcPr>
            <w:tcW w:w="1713" w:type="dxa"/>
            <w:noWrap/>
            <w:vAlign w:val="bottom"/>
          </w:tcPr>
          <w:p w:rsidR="00B23695" w:rsidRPr="000063FC" w:rsidRDefault="008B2E49">
            <w:pPr>
              <w:spacing w:line="276" w:lineRule="auto"/>
              <w:rPr>
                <w:rFonts w:cs="Arial"/>
                <w:sz w:val="20"/>
                <w:lang w:eastAsia="hr-HR"/>
              </w:rPr>
            </w:pPr>
            <w:r w:rsidRPr="000063FC">
              <w:rPr>
                <w:rFonts w:cs="Arial"/>
                <w:sz w:val="20"/>
                <w:lang w:eastAsia="hr-HR"/>
              </w:rPr>
              <w:t>Dizel</w:t>
            </w:r>
          </w:p>
        </w:tc>
        <w:tc>
          <w:tcPr>
            <w:tcW w:w="1418"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820</w:t>
            </w:r>
          </w:p>
        </w:tc>
        <w:tc>
          <w:tcPr>
            <w:tcW w:w="1984"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42,7</w:t>
            </w:r>
          </w:p>
        </w:tc>
        <w:tc>
          <w:tcPr>
            <w:tcW w:w="1276"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73,3</w:t>
            </w:r>
          </w:p>
        </w:tc>
        <w:tc>
          <w:tcPr>
            <w:tcW w:w="1418"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0,005</w:t>
            </w:r>
          </w:p>
        </w:tc>
        <w:tc>
          <w:tcPr>
            <w:tcW w:w="1275"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0,0006</w:t>
            </w:r>
          </w:p>
        </w:tc>
      </w:tr>
      <w:tr w:rsidR="008B2E49" w:rsidRPr="000063FC" w:rsidTr="00EA3B8D">
        <w:trPr>
          <w:trHeight w:val="283"/>
        </w:trPr>
        <w:tc>
          <w:tcPr>
            <w:tcW w:w="1713" w:type="dxa"/>
            <w:noWrap/>
            <w:vAlign w:val="bottom"/>
          </w:tcPr>
          <w:p w:rsidR="00B23695" w:rsidRPr="000063FC" w:rsidRDefault="008B2E49">
            <w:pPr>
              <w:spacing w:line="276" w:lineRule="auto"/>
              <w:rPr>
                <w:rFonts w:cs="Arial"/>
                <w:sz w:val="20"/>
                <w:lang w:eastAsia="hr-HR"/>
              </w:rPr>
            </w:pPr>
            <w:r w:rsidRPr="000063FC">
              <w:rPr>
                <w:rFonts w:cs="Arial"/>
                <w:sz w:val="20"/>
                <w:lang w:eastAsia="hr-HR"/>
              </w:rPr>
              <w:t>UNP</w:t>
            </w:r>
          </w:p>
        </w:tc>
        <w:tc>
          <w:tcPr>
            <w:tcW w:w="1418"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w:t>
            </w:r>
          </w:p>
        </w:tc>
        <w:tc>
          <w:tcPr>
            <w:tcW w:w="1984"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46,9</w:t>
            </w:r>
          </w:p>
        </w:tc>
        <w:tc>
          <w:tcPr>
            <w:tcW w:w="1276"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62,4</w:t>
            </w:r>
          </w:p>
        </w:tc>
        <w:tc>
          <w:tcPr>
            <w:tcW w:w="1418"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0,005</w:t>
            </w:r>
          </w:p>
        </w:tc>
        <w:tc>
          <w:tcPr>
            <w:tcW w:w="1275"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0,0006</w:t>
            </w:r>
          </w:p>
        </w:tc>
      </w:tr>
      <w:tr w:rsidR="008B2E49" w:rsidRPr="000063FC" w:rsidTr="00EA3B8D">
        <w:trPr>
          <w:trHeight w:val="283"/>
        </w:trPr>
        <w:tc>
          <w:tcPr>
            <w:tcW w:w="1713" w:type="dxa"/>
            <w:noWrap/>
            <w:vAlign w:val="bottom"/>
          </w:tcPr>
          <w:p w:rsidR="00B23695" w:rsidRPr="000063FC" w:rsidRDefault="008B2E49">
            <w:pPr>
              <w:spacing w:line="276" w:lineRule="auto"/>
              <w:rPr>
                <w:rFonts w:cs="Arial"/>
                <w:sz w:val="20"/>
                <w:lang w:eastAsia="hr-HR"/>
              </w:rPr>
            </w:pPr>
            <w:r w:rsidRPr="000063FC">
              <w:rPr>
                <w:rFonts w:cs="Arial"/>
                <w:sz w:val="20"/>
                <w:lang w:eastAsia="hr-HR"/>
              </w:rPr>
              <w:t>Prirodni plin</w:t>
            </w:r>
          </w:p>
        </w:tc>
        <w:tc>
          <w:tcPr>
            <w:tcW w:w="1418"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0,700</w:t>
            </w:r>
          </w:p>
        </w:tc>
        <w:tc>
          <w:tcPr>
            <w:tcW w:w="1984"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34,0</w:t>
            </w:r>
          </w:p>
        </w:tc>
        <w:tc>
          <w:tcPr>
            <w:tcW w:w="1276"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55,8</w:t>
            </w:r>
          </w:p>
        </w:tc>
        <w:tc>
          <w:tcPr>
            <w:tcW w:w="1418"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0,005</w:t>
            </w:r>
          </w:p>
        </w:tc>
        <w:tc>
          <w:tcPr>
            <w:tcW w:w="1275" w:type="dxa"/>
            <w:noWrap/>
            <w:vAlign w:val="center"/>
          </w:tcPr>
          <w:p w:rsidR="00B23695" w:rsidRPr="000063FC" w:rsidRDefault="008B2E49">
            <w:pPr>
              <w:spacing w:line="276" w:lineRule="auto"/>
              <w:jc w:val="center"/>
              <w:rPr>
                <w:rFonts w:cs="Arial"/>
                <w:sz w:val="20"/>
                <w:lang w:eastAsia="hr-HR"/>
              </w:rPr>
            </w:pPr>
            <w:r w:rsidRPr="000063FC">
              <w:rPr>
                <w:rFonts w:cs="Arial"/>
                <w:sz w:val="20"/>
                <w:lang w:eastAsia="hr-HR"/>
              </w:rPr>
              <w:t>0,0001</w:t>
            </w:r>
          </w:p>
        </w:tc>
      </w:tr>
    </w:tbl>
    <w:p w:rsidR="00772AF0" w:rsidRPr="000063FC" w:rsidRDefault="00772AF0">
      <w:pPr>
        <w:spacing w:line="276" w:lineRule="auto"/>
      </w:pPr>
    </w:p>
    <w:p w:rsidR="00772AF0" w:rsidRPr="000063FC" w:rsidRDefault="00772AF0">
      <w:pPr>
        <w:tabs>
          <w:tab w:val="clear" w:pos="720"/>
          <w:tab w:val="clear" w:pos="6912"/>
        </w:tabs>
        <w:spacing w:line="240" w:lineRule="auto"/>
        <w:jc w:val="left"/>
      </w:pPr>
      <w:r w:rsidRPr="000063FC">
        <w:br w:type="page"/>
      </w:r>
    </w:p>
    <w:p w:rsidR="00BC341E" w:rsidRPr="000063FC" w:rsidRDefault="008B2E49">
      <w:pPr>
        <w:pStyle w:val="Heading4"/>
      </w:pPr>
      <w:bookmarkStart w:id="146" w:name="_Toc254010189"/>
      <w:r w:rsidRPr="000063FC">
        <w:lastRenderedPageBreak/>
        <w:t xml:space="preserve">Emisije </w:t>
      </w:r>
      <w:r w:rsidR="00A77CD7" w:rsidRPr="000063FC">
        <w:t>CO</w:t>
      </w:r>
      <w:r w:rsidR="00A77CD7" w:rsidRPr="000063FC">
        <w:rPr>
          <w:vertAlign w:val="subscript"/>
        </w:rPr>
        <w:t>2</w:t>
      </w:r>
      <w:r w:rsidR="00A77CD7" w:rsidRPr="000063FC">
        <w:t xml:space="preserve"> iz podsektora</w:t>
      </w:r>
      <w:r w:rsidRPr="000063FC">
        <w:t xml:space="preserve"> javni </w:t>
      </w:r>
      <w:r w:rsidR="00A77CD7" w:rsidRPr="000063FC">
        <w:t xml:space="preserve">gradski </w:t>
      </w:r>
      <w:r w:rsidRPr="000063FC">
        <w:t>prijevoz</w:t>
      </w:r>
      <w:bookmarkEnd w:id="146"/>
    </w:p>
    <w:p w:rsidR="00B23695" w:rsidRPr="000063FC" w:rsidRDefault="008B2E49" w:rsidP="00C20113">
      <w:pPr>
        <w:pStyle w:val="ListParagraph"/>
        <w:numPr>
          <w:ilvl w:val="0"/>
          <w:numId w:val="12"/>
        </w:numPr>
        <w:spacing w:after="240"/>
        <w:ind w:left="426" w:hanging="426"/>
        <w:jc w:val="both"/>
        <w:rPr>
          <w:b/>
        </w:rPr>
      </w:pPr>
      <w:r w:rsidRPr="000063FC">
        <w:rPr>
          <w:b/>
        </w:rPr>
        <w:t xml:space="preserve">Emisije </w:t>
      </w:r>
      <w:r w:rsidR="00A77CD7" w:rsidRPr="000063FC">
        <w:rPr>
          <w:b/>
        </w:rPr>
        <w:t>CO</w:t>
      </w:r>
      <w:r w:rsidR="00A77CD7" w:rsidRPr="000063FC">
        <w:rPr>
          <w:b/>
          <w:vertAlign w:val="subscript"/>
        </w:rPr>
        <w:t>2</w:t>
      </w:r>
      <w:r w:rsidR="00A77CD7" w:rsidRPr="000063FC">
        <w:rPr>
          <w:vertAlign w:val="subscript"/>
        </w:rPr>
        <w:t xml:space="preserve"> </w:t>
      </w:r>
      <w:r w:rsidRPr="000063FC">
        <w:rPr>
          <w:b/>
        </w:rPr>
        <w:t xml:space="preserve">iz </w:t>
      </w:r>
      <w:r w:rsidR="00FE4DB7" w:rsidRPr="000063FC">
        <w:rPr>
          <w:b/>
        </w:rPr>
        <w:t>pot</w:t>
      </w:r>
      <w:r w:rsidRPr="000063FC">
        <w:rPr>
          <w:b/>
        </w:rPr>
        <w:t>kategorije autobusi</w:t>
      </w:r>
    </w:p>
    <w:p w:rsidR="00B23695" w:rsidRPr="000063FC" w:rsidRDefault="00A77CD7">
      <w:pPr>
        <w:spacing w:line="276" w:lineRule="auto"/>
        <w:rPr>
          <w:szCs w:val="22"/>
        </w:rPr>
      </w:pPr>
      <w:r w:rsidRPr="000063FC">
        <w:rPr>
          <w:szCs w:val="22"/>
        </w:rPr>
        <w:t>Prema dostavljenim podacima iz ZET-a u 2008. godini u javnom gradskom prijevozu je</w:t>
      </w:r>
      <w:r w:rsidR="00687D3F" w:rsidRPr="000063FC">
        <w:rPr>
          <w:szCs w:val="22"/>
        </w:rPr>
        <w:t xml:space="preserve"> sudjelovalo 323 autobusa, proizvođača</w:t>
      </w:r>
      <w:r w:rsidRPr="000063FC">
        <w:rPr>
          <w:szCs w:val="22"/>
        </w:rPr>
        <w:t xml:space="preserve"> MAN i Mercedes-Benz</w:t>
      </w:r>
      <w:r w:rsidR="00687D3F" w:rsidRPr="000063FC">
        <w:rPr>
          <w:szCs w:val="22"/>
        </w:rPr>
        <w:t>.</w:t>
      </w:r>
      <w:r w:rsidRPr="000063FC">
        <w:rPr>
          <w:szCs w:val="22"/>
        </w:rPr>
        <w:t xml:space="preserve"> </w:t>
      </w:r>
      <w:r w:rsidR="00687D3F" w:rsidRPr="000063FC">
        <w:rPr>
          <w:szCs w:val="22"/>
        </w:rPr>
        <w:t xml:space="preserve">Raspodjela </w:t>
      </w:r>
      <w:r w:rsidR="008B2E49" w:rsidRPr="000063FC">
        <w:rPr>
          <w:szCs w:val="22"/>
        </w:rPr>
        <w:t xml:space="preserve">broja autobusa prema godinama proizvodnje </w:t>
      </w:r>
      <w:r w:rsidR="00687D3F" w:rsidRPr="000063FC">
        <w:rPr>
          <w:szCs w:val="22"/>
        </w:rPr>
        <w:t>za oba proizvođača dana j</w:t>
      </w:r>
      <w:r w:rsidR="008B2E49" w:rsidRPr="000063FC">
        <w:rPr>
          <w:szCs w:val="22"/>
        </w:rPr>
        <w:t xml:space="preserve">e na slikama </w:t>
      </w:r>
      <w:r w:rsidR="00243323" w:rsidRPr="000063FC">
        <w:rPr>
          <w:szCs w:val="22"/>
        </w:rPr>
        <w:t>2.4</w:t>
      </w:r>
      <w:r w:rsidR="008B2E49" w:rsidRPr="000063FC">
        <w:rPr>
          <w:szCs w:val="22"/>
        </w:rPr>
        <w:t xml:space="preserve"> i </w:t>
      </w:r>
      <w:r w:rsidR="00243323" w:rsidRPr="000063FC">
        <w:rPr>
          <w:szCs w:val="22"/>
        </w:rPr>
        <w:t>2.5</w:t>
      </w:r>
      <w:r w:rsidR="008B2E49" w:rsidRPr="000063FC">
        <w:rPr>
          <w:szCs w:val="22"/>
        </w:rPr>
        <w:t xml:space="preserve">. Potrošnja goriva i emisije </w:t>
      </w:r>
      <w:r w:rsidR="00687D3F" w:rsidRPr="000063FC">
        <w:rPr>
          <w:szCs w:val="22"/>
        </w:rPr>
        <w:t>CO</w:t>
      </w:r>
      <w:r w:rsidR="00687D3F" w:rsidRPr="000063FC">
        <w:rPr>
          <w:szCs w:val="22"/>
          <w:vertAlign w:val="subscript"/>
        </w:rPr>
        <w:t>2</w:t>
      </w:r>
      <w:r w:rsidR="00687D3F" w:rsidRPr="000063FC">
        <w:rPr>
          <w:szCs w:val="22"/>
        </w:rPr>
        <w:t xml:space="preserve"> </w:t>
      </w:r>
      <w:r w:rsidR="008B2E49" w:rsidRPr="000063FC">
        <w:rPr>
          <w:szCs w:val="22"/>
        </w:rPr>
        <w:t xml:space="preserve">prikazane su u tablici </w:t>
      </w:r>
      <w:r w:rsidR="008E1FA8" w:rsidRPr="000063FC">
        <w:rPr>
          <w:szCs w:val="22"/>
        </w:rPr>
        <w:t>2.18</w:t>
      </w:r>
      <w:r w:rsidR="008B2E49" w:rsidRPr="000063FC">
        <w:rPr>
          <w:szCs w:val="22"/>
        </w:rPr>
        <w:t>.</w:t>
      </w:r>
    </w:p>
    <w:p w:rsidR="00B23695" w:rsidRPr="000063FC" w:rsidRDefault="00B23695">
      <w:pPr>
        <w:spacing w:line="276" w:lineRule="auto"/>
      </w:pPr>
    </w:p>
    <w:p w:rsidR="00B23695" w:rsidRPr="000063FC" w:rsidRDefault="00147C4F">
      <w:pPr>
        <w:spacing w:line="276" w:lineRule="auto"/>
        <w:jc w:val="center"/>
      </w:pPr>
      <w:r w:rsidRPr="000063FC">
        <w:rPr>
          <w:noProof/>
          <w:lang w:eastAsia="hr-HR"/>
        </w:rPr>
        <w:drawing>
          <wp:inline distT="0" distB="0" distL="0" distR="0">
            <wp:extent cx="4619625" cy="2600325"/>
            <wp:effectExtent l="0" t="0" r="0"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23695" w:rsidRPr="000063FC" w:rsidRDefault="00B23695">
      <w:pPr>
        <w:spacing w:line="276" w:lineRule="auto"/>
        <w:jc w:val="center"/>
      </w:pPr>
    </w:p>
    <w:p w:rsidR="00BC341E" w:rsidRPr="000063FC" w:rsidRDefault="008B2E49">
      <w:pPr>
        <w:pStyle w:val="Heading7"/>
      </w:pPr>
      <w:bookmarkStart w:id="147" w:name="_Toc251935563"/>
      <w:bookmarkStart w:id="148" w:name="_Toc254010287"/>
      <w:r w:rsidRPr="000063FC">
        <w:t xml:space="preserve">Slika </w:t>
      </w:r>
      <w:r w:rsidR="00243323" w:rsidRPr="000063FC">
        <w:t>2.4</w:t>
      </w:r>
      <w:r w:rsidR="00687D3F" w:rsidRPr="000063FC">
        <w:t>: Broj</w:t>
      </w:r>
      <w:r w:rsidRPr="000063FC">
        <w:t xml:space="preserve"> autobusa </w:t>
      </w:r>
      <w:r w:rsidR="00687D3F" w:rsidRPr="000063FC">
        <w:t xml:space="preserve">proizvođača </w:t>
      </w:r>
      <w:r w:rsidRPr="000063FC">
        <w:t>MAN prema godini proizvodnje</w:t>
      </w:r>
      <w:bookmarkEnd w:id="147"/>
      <w:bookmarkEnd w:id="148"/>
    </w:p>
    <w:p w:rsidR="00BC341E" w:rsidRPr="000063FC" w:rsidRDefault="00BC341E">
      <w:pPr>
        <w:spacing w:line="276" w:lineRule="auto"/>
      </w:pPr>
    </w:p>
    <w:p w:rsidR="00B23695" w:rsidRPr="000063FC" w:rsidRDefault="00147C4F">
      <w:pPr>
        <w:spacing w:line="276" w:lineRule="auto"/>
        <w:jc w:val="center"/>
      </w:pPr>
      <w:r w:rsidRPr="000063FC">
        <w:rPr>
          <w:noProof/>
          <w:lang w:eastAsia="hr-HR"/>
        </w:rPr>
        <w:drawing>
          <wp:inline distT="0" distB="0" distL="0" distR="0">
            <wp:extent cx="4543425" cy="2628900"/>
            <wp:effectExtent l="0" t="0" r="0"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C341E" w:rsidRPr="000063FC" w:rsidRDefault="00687D3F">
      <w:pPr>
        <w:pStyle w:val="Heading7"/>
      </w:pPr>
      <w:bookmarkStart w:id="149" w:name="_Toc254010288"/>
      <w:r w:rsidRPr="000063FC">
        <w:t>Slika 2.5: B</w:t>
      </w:r>
      <w:r w:rsidR="007B0169" w:rsidRPr="000063FC">
        <w:t xml:space="preserve">roja autobusa </w:t>
      </w:r>
      <w:r w:rsidRPr="000063FC">
        <w:t xml:space="preserve">proizvođača </w:t>
      </w:r>
      <w:r w:rsidR="007B0169" w:rsidRPr="000063FC">
        <w:t>Mercedes-Benz prema godini proizvodnje</w:t>
      </w:r>
      <w:bookmarkEnd w:id="149"/>
      <w:r w:rsidR="00AE1ECA" w:rsidRPr="000063FC">
        <w:t xml:space="preserve"> </w:t>
      </w:r>
      <w:r w:rsidR="008B2E49" w:rsidRPr="000063FC">
        <w:br w:type="page"/>
      </w:r>
    </w:p>
    <w:p w:rsidR="00BC341E" w:rsidRPr="000063FC" w:rsidRDefault="007B0169" w:rsidP="00B33E2F">
      <w:pPr>
        <w:pStyle w:val="Heading6"/>
      </w:pPr>
      <w:bookmarkStart w:id="150" w:name="_Toc254010246"/>
      <w:r w:rsidRPr="000063FC">
        <w:lastRenderedPageBreak/>
        <w:t>Tablica 2.18: Potrošnje goriva i emisije stakleničkih plinova po kategorijama autobusa</w:t>
      </w:r>
      <w:bookmarkEnd w:id="150"/>
    </w:p>
    <w:tbl>
      <w:tblPr>
        <w:tblW w:w="9082" w:type="dxa"/>
        <w:tblInd w:w="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944"/>
        <w:gridCol w:w="1334"/>
        <w:gridCol w:w="1418"/>
        <w:gridCol w:w="825"/>
        <w:gridCol w:w="1134"/>
        <w:gridCol w:w="876"/>
        <w:gridCol w:w="709"/>
        <w:gridCol w:w="708"/>
        <w:gridCol w:w="1134"/>
      </w:tblGrid>
      <w:tr w:rsidR="008B2E49" w:rsidRPr="000063FC" w:rsidTr="00EA3B8D">
        <w:trPr>
          <w:trHeight w:val="227"/>
        </w:trPr>
        <w:tc>
          <w:tcPr>
            <w:tcW w:w="944" w:type="dxa"/>
            <w:tcBorders>
              <w:left w:val="single" w:sz="12" w:space="0" w:color="4BACC6"/>
              <w:right w:val="single" w:sz="8" w:space="0" w:color="FFFFFF"/>
            </w:tcBorders>
            <w:shd w:val="clear" w:color="auto" w:fill="4BACC6"/>
            <w:vAlign w:val="center"/>
          </w:tcPr>
          <w:p w:rsidR="00B23695" w:rsidRPr="000063FC" w:rsidRDefault="008B2E49">
            <w:pPr>
              <w:spacing w:line="276" w:lineRule="auto"/>
              <w:jc w:val="center"/>
              <w:rPr>
                <w:rFonts w:asciiTheme="minorHAnsi" w:hAnsiTheme="minorHAnsi" w:cs="Arial"/>
                <w:b/>
                <w:color w:val="FFFFFF"/>
                <w:sz w:val="20"/>
              </w:rPr>
            </w:pPr>
            <w:r w:rsidRPr="000063FC">
              <w:rPr>
                <w:rFonts w:asciiTheme="minorHAnsi" w:hAnsiTheme="minorHAnsi" w:cs="Arial"/>
                <w:b/>
                <w:color w:val="FFFFFF"/>
                <w:sz w:val="20"/>
              </w:rPr>
              <w:t>SEKTOR</w:t>
            </w:r>
          </w:p>
        </w:tc>
        <w:tc>
          <w:tcPr>
            <w:tcW w:w="1334" w:type="dxa"/>
            <w:tcBorders>
              <w:left w:val="single" w:sz="8" w:space="0" w:color="FFFFFF"/>
              <w:right w:val="single" w:sz="8" w:space="0" w:color="FFFFFF"/>
            </w:tcBorders>
            <w:shd w:val="clear" w:color="auto" w:fill="4BACC6"/>
            <w:vAlign w:val="center"/>
          </w:tcPr>
          <w:p w:rsidR="00B23695" w:rsidRPr="000063FC" w:rsidRDefault="008B2E49">
            <w:pPr>
              <w:spacing w:line="276" w:lineRule="auto"/>
              <w:jc w:val="center"/>
              <w:rPr>
                <w:rFonts w:asciiTheme="minorHAnsi" w:hAnsiTheme="minorHAnsi" w:cs="Arial"/>
                <w:b/>
                <w:color w:val="FFFFFF"/>
                <w:sz w:val="20"/>
              </w:rPr>
            </w:pPr>
            <w:r w:rsidRPr="000063FC">
              <w:rPr>
                <w:rFonts w:asciiTheme="minorHAnsi" w:hAnsiTheme="minorHAnsi" w:cs="Arial"/>
                <w:b/>
                <w:color w:val="FFFFFF"/>
                <w:sz w:val="20"/>
              </w:rPr>
              <w:t>PODSEKTOR</w:t>
            </w:r>
          </w:p>
        </w:tc>
        <w:tc>
          <w:tcPr>
            <w:tcW w:w="1418" w:type="dxa"/>
            <w:tcBorders>
              <w:left w:val="single" w:sz="8" w:space="0" w:color="FFFFFF"/>
              <w:right w:val="single" w:sz="6" w:space="0" w:color="FFFFFF"/>
            </w:tcBorders>
            <w:shd w:val="clear" w:color="auto" w:fill="4BACC6"/>
            <w:vAlign w:val="center"/>
          </w:tcPr>
          <w:p w:rsidR="00B23695" w:rsidRPr="000063FC" w:rsidRDefault="008B2E49">
            <w:pPr>
              <w:spacing w:line="276" w:lineRule="auto"/>
              <w:jc w:val="center"/>
              <w:rPr>
                <w:rFonts w:asciiTheme="minorHAnsi" w:hAnsiTheme="minorHAnsi" w:cs="Arial"/>
                <w:b/>
                <w:color w:val="FFFFFF"/>
                <w:sz w:val="20"/>
              </w:rPr>
            </w:pPr>
            <w:r w:rsidRPr="000063FC">
              <w:rPr>
                <w:rFonts w:asciiTheme="minorHAnsi" w:hAnsiTheme="minorHAnsi" w:cs="Arial"/>
                <w:b/>
                <w:color w:val="FFFFFF"/>
                <w:sz w:val="20"/>
              </w:rPr>
              <w:t>TEHNOLOGIJA</w:t>
            </w:r>
          </w:p>
        </w:tc>
        <w:tc>
          <w:tcPr>
            <w:tcW w:w="825" w:type="dxa"/>
            <w:tcBorders>
              <w:left w:val="single" w:sz="6" w:space="0" w:color="FFFFFF"/>
              <w:right w:val="single" w:sz="8" w:space="0" w:color="FFFFFF"/>
            </w:tcBorders>
            <w:shd w:val="clear" w:color="auto" w:fill="4BACC6"/>
            <w:vAlign w:val="center"/>
          </w:tcPr>
          <w:p w:rsidR="00B23695" w:rsidRPr="000063FC" w:rsidRDefault="008B2E49">
            <w:pPr>
              <w:spacing w:line="276" w:lineRule="auto"/>
              <w:jc w:val="center"/>
              <w:rPr>
                <w:rFonts w:asciiTheme="minorHAnsi" w:hAnsiTheme="minorHAnsi" w:cs="Arial"/>
                <w:b/>
                <w:color w:val="FFFFFF"/>
                <w:sz w:val="20"/>
              </w:rPr>
            </w:pPr>
            <w:r w:rsidRPr="000063FC">
              <w:rPr>
                <w:rFonts w:asciiTheme="minorHAnsi" w:hAnsiTheme="minorHAnsi" w:cs="Arial"/>
                <w:b/>
                <w:color w:val="FFFFFF"/>
                <w:sz w:val="20"/>
              </w:rPr>
              <w:t>BROJ VOZILA</w:t>
            </w:r>
          </w:p>
        </w:tc>
        <w:tc>
          <w:tcPr>
            <w:tcW w:w="1134" w:type="dxa"/>
            <w:tcBorders>
              <w:left w:val="single" w:sz="8" w:space="0" w:color="FFFFFF"/>
              <w:right w:val="single" w:sz="8" w:space="0" w:color="FFFFFF"/>
            </w:tcBorders>
            <w:shd w:val="clear" w:color="auto" w:fill="4BACC6"/>
            <w:vAlign w:val="center"/>
          </w:tcPr>
          <w:p w:rsidR="00B23695" w:rsidRPr="000063FC" w:rsidRDefault="008B2E49">
            <w:pPr>
              <w:spacing w:line="276" w:lineRule="auto"/>
              <w:jc w:val="center"/>
              <w:rPr>
                <w:rFonts w:asciiTheme="minorHAnsi" w:hAnsiTheme="minorHAnsi" w:cs="Arial"/>
                <w:b/>
                <w:color w:val="FFFFFF"/>
                <w:sz w:val="20"/>
              </w:rPr>
            </w:pPr>
            <w:r w:rsidRPr="000063FC">
              <w:rPr>
                <w:rFonts w:asciiTheme="minorHAnsi" w:hAnsiTheme="minorHAnsi" w:cs="Arial"/>
                <w:b/>
                <w:color w:val="FFFFFF"/>
                <w:sz w:val="20"/>
              </w:rPr>
              <w:t>POTR. GORIVA, t</w:t>
            </w:r>
          </w:p>
        </w:tc>
        <w:tc>
          <w:tcPr>
            <w:tcW w:w="876" w:type="dxa"/>
            <w:tcBorders>
              <w:left w:val="single" w:sz="8" w:space="0" w:color="FFFFFF"/>
              <w:right w:val="single" w:sz="8" w:space="0" w:color="FFFFFF"/>
            </w:tcBorders>
            <w:shd w:val="clear" w:color="auto" w:fill="4BACC6"/>
            <w:vAlign w:val="center"/>
          </w:tcPr>
          <w:p w:rsidR="00B23695" w:rsidRPr="000063FC" w:rsidRDefault="008B2E49">
            <w:pPr>
              <w:spacing w:line="276" w:lineRule="auto"/>
              <w:jc w:val="center"/>
              <w:rPr>
                <w:rFonts w:asciiTheme="minorHAnsi" w:hAnsiTheme="minorHAnsi" w:cs="Arial"/>
                <w:b/>
                <w:color w:val="FFFFFF"/>
                <w:sz w:val="20"/>
              </w:rPr>
            </w:pPr>
            <w:r w:rsidRPr="000063FC">
              <w:rPr>
                <w:rFonts w:asciiTheme="minorHAnsi" w:hAnsiTheme="minorHAnsi" w:cs="Arial"/>
                <w:b/>
                <w:color w:val="FFFFFF"/>
                <w:sz w:val="20"/>
              </w:rPr>
              <w:t>CO</w:t>
            </w:r>
            <w:r w:rsidRPr="000063FC">
              <w:rPr>
                <w:rFonts w:asciiTheme="minorHAnsi" w:hAnsiTheme="minorHAnsi" w:cs="Arial"/>
                <w:b/>
                <w:color w:val="FFFFFF"/>
                <w:sz w:val="20"/>
                <w:vertAlign w:val="subscript"/>
              </w:rPr>
              <w:t>2</w:t>
            </w:r>
            <w:r w:rsidRPr="000063FC">
              <w:rPr>
                <w:rFonts w:asciiTheme="minorHAnsi" w:hAnsiTheme="minorHAnsi" w:cs="Arial"/>
                <w:b/>
                <w:color w:val="FFFFFF"/>
                <w:sz w:val="20"/>
              </w:rPr>
              <w:t>, t</w:t>
            </w:r>
          </w:p>
        </w:tc>
        <w:tc>
          <w:tcPr>
            <w:tcW w:w="709" w:type="dxa"/>
            <w:tcBorders>
              <w:left w:val="single" w:sz="8" w:space="0" w:color="FFFFFF"/>
              <w:right w:val="single" w:sz="8" w:space="0" w:color="FFFFFF"/>
            </w:tcBorders>
            <w:shd w:val="clear" w:color="auto" w:fill="4BACC6"/>
            <w:vAlign w:val="center"/>
          </w:tcPr>
          <w:p w:rsidR="00B23695" w:rsidRPr="000063FC" w:rsidRDefault="008B2E49">
            <w:pPr>
              <w:spacing w:line="276" w:lineRule="auto"/>
              <w:jc w:val="center"/>
              <w:rPr>
                <w:rFonts w:asciiTheme="minorHAnsi" w:hAnsiTheme="minorHAnsi" w:cs="Arial"/>
                <w:b/>
                <w:color w:val="FFFFFF"/>
                <w:sz w:val="20"/>
              </w:rPr>
            </w:pPr>
            <w:r w:rsidRPr="000063FC">
              <w:rPr>
                <w:rFonts w:asciiTheme="minorHAnsi" w:hAnsiTheme="minorHAnsi" w:cs="Arial"/>
                <w:b/>
                <w:color w:val="FFFFFF"/>
                <w:sz w:val="20"/>
              </w:rPr>
              <w:t>CH</w:t>
            </w:r>
            <w:r w:rsidRPr="000063FC">
              <w:rPr>
                <w:rFonts w:asciiTheme="minorHAnsi" w:hAnsiTheme="minorHAnsi" w:cs="Arial"/>
                <w:b/>
                <w:color w:val="FFFFFF"/>
                <w:sz w:val="20"/>
                <w:vertAlign w:val="subscript"/>
              </w:rPr>
              <w:t>4</w:t>
            </w:r>
            <w:r w:rsidRPr="000063FC">
              <w:rPr>
                <w:rFonts w:asciiTheme="minorHAnsi" w:hAnsiTheme="minorHAnsi" w:cs="Arial"/>
                <w:b/>
                <w:color w:val="FFFFFF"/>
                <w:sz w:val="20"/>
              </w:rPr>
              <w:t>, t</w:t>
            </w:r>
          </w:p>
        </w:tc>
        <w:tc>
          <w:tcPr>
            <w:tcW w:w="708" w:type="dxa"/>
            <w:tcBorders>
              <w:left w:val="single" w:sz="8" w:space="0" w:color="FFFFFF"/>
              <w:right w:val="single" w:sz="8" w:space="0" w:color="FFFFFF"/>
            </w:tcBorders>
            <w:shd w:val="clear" w:color="auto" w:fill="4BACC6"/>
            <w:vAlign w:val="center"/>
          </w:tcPr>
          <w:p w:rsidR="00B23695" w:rsidRPr="000063FC" w:rsidRDefault="008B2E49">
            <w:pPr>
              <w:spacing w:line="276" w:lineRule="auto"/>
              <w:jc w:val="center"/>
              <w:rPr>
                <w:rFonts w:asciiTheme="minorHAnsi" w:hAnsiTheme="minorHAnsi" w:cs="Arial"/>
                <w:b/>
                <w:color w:val="FFFFFF"/>
                <w:sz w:val="20"/>
              </w:rPr>
            </w:pPr>
            <w:r w:rsidRPr="000063FC">
              <w:rPr>
                <w:rFonts w:asciiTheme="minorHAnsi" w:hAnsiTheme="minorHAnsi" w:cs="Arial"/>
                <w:b/>
                <w:color w:val="FFFFFF"/>
                <w:sz w:val="20"/>
              </w:rPr>
              <w:t>N</w:t>
            </w:r>
            <w:r w:rsidRPr="000063FC">
              <w:rPr>
                <w:rFonts w:asciiTheme="minorHAnsi" w:hAnsiTheme="minorHAnsi" w:cs="Arial"/>
                <w:b/>
                <w:color w:val="FFFFFF"/>
                <w:sz w:val="20"/>
                <w:vertAlign w:val="subscript"/>
              </w:rPr>
              <w:t>2</w:t>
            </w:r>
            <w:r w:rsidRPr="000063FC">
              <w:rPr>
                <w:rFonts w:asciiTheme="minorHAnsi" w:hAnsiTheme="minorHAnsi" w:cs="Arial"/>
                <w:b/>
                <w:color w:val="FFFFFF"/>
                <w:sz w:val="20"/>
              </w:rPr>
              <w:t>O, t</w:t>
            </w:r>
          </w:p>
        </w:tc>
        <w:tc>
          <w:tcPr>
            <w:tcW w:w="1134" w:type="dxa"/>
            <w:tcBorders>
              <w:left w:val="single" w:sz="8" w:space="0" w:color="FFFFFF"/>
              <w:right w:val="single" w:sz="12" w:space="0" w:color="4BACC6"/>
            </w:tcBorders>
            <w:shd w:val="clear" w:color="auto" w:fill="4BACC6"/>
            <w:vAlign w:val="center"/>
          </w:tcPr>
          <w:p w:rsidR="00B23695" w:rsidRPr="000063FC" w:rsidRDefault="008B2E49">
            <w:pPr>
              <w:spacing w:line="276" w:lineRule="auto"/>
              <w:jc w:val="center"/>
              <w:rPr>
                <w:rFonts w:asciiTheme="minorHAnsi" w:hAnsiTheme="minorHAnsi" w:cs="Arial"/>
                <w:b/>
                <w:color w:val="FFFFFF"/>
                <w:sz w:val="20"/>
              </w:rPr>
            </w:pPr>
            <w:r w:rsidRPr="000063FC">
              <w:rPr>
                <w:rFonts w:asciiTheme="minorHAnsi" w:hAnsiTheme="minorHAnsi" w:cs="Arial"/>
                <w:b/>
                <w:color w:val="FFFFFF"/>
                <w:sz w:val="20"/>
              </w:rPr>
              <w:t>CO</w:t>
            </w:r>
            <w:r w:rsidRPr="000063FC">
              <w:rPr>
                <w:rFonts w:asciiTheme="minorHAnsi" w:hAnsiTheme="minorHAnsi" w:cs="Arial"/>
                <w:b/>
                <w:color w:val="FFFFFF"/>
                <w:sz w:val="20"/>
                <w:vertAlign w:val="subscript"/>
              </w:rPr>
              <w:t>2</w:t>
            </w:r>
            <w:r w:rsidRPr="000063FC">
              <w:rPr>
                <w:rFonts w:asciiTheme="minorHAnsi" w:hAnsiTheme="minorHAnsi" w:cs="Arial"/>
                <w:b/>
                <w:color w:val="FFFFFF"/>
                <w:sz w:val="20"/>
              </w:rPr>
              <w:t>-ekv, t</w:t>
            </w:r>
          </w:p>
        </w:tc>
      </w:tr>
      <w:tr w:rsidR="008B2E49" w:rsidRPr="000063FC" w:rsidTr="00EA3B8D">
        <w:trPr>
          <w:trHeight w:val="227"/>
        </w:trPr>
        <w:tc>
          <w:tcPr>
            <w:tcW w:w="944" w:type="dxa"/>
            <w:vMerge w:val="restart"/>
            <w:tcBorders>
              <w:left w:val="single" w:sz="12" w:space="0" w:color="4BACC6"/>
              <w:right w:val="single" w:sz="6" w:space="0" w:color="4BACC6"/>
            </w:tcBorders>
            <w:noWrap/>
            <w:vAlign w:val="center"/>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Autobusi</w:t>
            </w:r>
          </w:p>
        </w:tc>
        <w:tc>
          <w:tcPr>
            <w:tcW w:w="1334" w:type="dxa"/>
            <w:vMerge w:val="restart"/>
            <w:tcBorders>
              <w:left w:val="single" w:sz="6" w:space="0" w:color="4BACC6"/>
            </w:tcBorders>
            <w:noWrap/>
            <w:vAlign w:val="center"/>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Međugradski</w:t>
            </w:r>
          </w:p>
        </w:tc>
        <w:tc>
          <w:tcPr>
            <w:tcW w:w="1418" w:type="dxa"/>
            <w:tcBorders>
              <w:right w:val="single" w:sz="6" w:space="0" w:color="4BACC6"/>
            </w:tcBorders>
            <w:noWrap/>
            <w:vAlign w:val="bottom"/>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Conventional</w:t>
            </w:r>
          </w:p>
        </w:tc>
        <w:tc>
          <w:tcPr>
            <w:tcW w:w="825" w:type="dxa"/>
            <w:tcBorders>
              <w:left w:val="single" w:sz="6" w:space="0" w:color="4BACC6"/>
            </w:tcBorders>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267</w:t>
            </w:r>
          </w:p>
        </w:tc>
        <w:tc>
          <w:tcPr>
            <w:tcW w:w="1134" w:type="dxa"/>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565,9</w:t>
            </w:r>
          </w:p>
        </w:tc>
        <w:tc>
          <w:tcPr>
            <w:tcW w:w="876"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1775,9</w:t>
            </w:r>
          </w:p>
        </w:tc>
        <w:tc>
          <w:tcPr>
            <w:tcW w:w="709"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0,14</w:t>
            </w:r>
          </w:p>
        </w:tc>
        <w:tc>
          <w:tcPr>
            <w:tcW w:w="708"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0,06</w:t>
            </w:r>
          </w:p>
        </w:tc>
        <w:tc>
          <w:tcPr>
            <w:tcW w:w="1134" w:type="dxa"/>
            <w:tcBorders>
              <w:right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1797,0</w:t>
            </w:r>
          </w:p>
        </w:tc>
      </w:tr>
      <w:tr w:rsidR="008B2E49" w:rsidRPr="000063FC" w:rsidTr="00EA3B8D">
        <w:trPr>
          <w:trHeight w:val="227"/>
        </w:trPr>
        <w:tc>
          <w:tcPr>
            <w:tcW w:w="944" w:type="dxa"/>
            <w:vMerge/>
            <w:tcBorders>
              <w:left w:val="single" w:sz="12" w:space="0" w:color="4BACC6"/>
              <w:righ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334" w:type="dxa"/>
            <w:vMerge/>
            <w:tcBorders>
              <w:lef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418" w:type="dxa"/>
            <w:tcBorders>
              <w:right w:val="single" w:sz="6" w:space="0" w:color="4BACC6"/>
            </w:tcBorders>
            <w:noWrap/>
            <w:vAlign w:val="bottom"/>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 xml:space="preserve">Euro I </w:t>
            </w:r>
          </w:p>
        </w:tc>
        <w:tc>
          <w:tcPr>
            <w:tcW w:w="825" w:type="dxa"/>
            <w:tcBorders>
              <w:left w:val="single" w:sz="6" w:space="0" w:color="4BACC6"/>
            </w:tcBorders>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89</w:t>
            </w:r>
          </w:p>
        </w:tc>
        <w:tc>
          <w:tcPr>
            <w:tcW w:w="1134" w:type="dxa"/>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188,6</w:t>
            </w:r>
          </w:p>
        </w:tc>
        <w:tc>
          <w:tcPr>
            <w:tcW w:w="876"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592,0</w:t>
            </w:r>
          </w:p>
        </w:tc>
        <w:tc>
          <w:tcPr>
            <w:tcW w:w="709"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0,04</w:t>
            </w:r>
          </w:p>
        </w:tc>
        <w:tc>
          <w:tcPr>
            <w:tcW w:w="708"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0,02</w:t>
            </w:r>
          </w:p>
        </w:tc>
        <w:tc>
          <w:tcPr>
            <w:tcW w:w="1134" w:type="dxa"/>
            <w:tcBorders>
              <w:right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598,9</w:t>
            </w:r>
          </w:p>
        </w:tc>
      </w:tr>
      <w:tr w:rsidR="008B2E49" w:rsidRPr="000063FC" w:rsidTr="00EA3B8D">
        <w:trPr>
          <w:trHeight w:val="227"/>
        </w:trPr>
        <w:tc>
          <w:tcPr>
            <w:tcW w:w="944" w:type="dxa"/>
            <w:vMerge/>
            <w:tcBorders>
              <w:left w:val="single" w:sz="12" w:space="0" w:color="4BACC6"/>
              <w:righ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334" w:type="dxa"/>
            <w:vMerge/>
            <w:tcBorders>
              <w:lef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418" w:type="dxa"/>
            <w:tcBorders>
              <w:right w:val="single" w:sz="6" w:space="0" w:color="4BACC6"/>
            </w:tcBorders>
            <w:noWrap/>
            <w:vAlign w:val="bottom"/>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 xml:space="preserve">Euro II </w:t>
            </w:r>
          </w:p>
        </w:tc>
        <w:tc>
          <w:tcPr>
            <w:tcW w:w="825" w:type="dxa"/>
            <w:tcBorders>
              <w:left w:val="single" w:sz="6" w:space="0" w:color="4BACC6"/>
            </w:tcBorders>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101</w:t>
            </w:r>
          </w:p>
        </w:tc>
        <w:tc>
          <w:tcPr>
            <w:tcW w:w="1134" w:type="dxa"/>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214,1</w:t>
            </w:r>
          </w:p>
        </w:tc>
        <w:tc>
          <w:tcPr>
            <w:tcW w:w="876"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671,8</w:t>
            </w:r>
          </w:p>
        </w:tc>
        <w:tc>
          <w:tcPr>
            <w:tcW w:w="709"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0,03</w:t>
            </w:r>
          </w:p>
        </w:tc>
        <w:tc>
          <w:tcPr>
            <w:tcW w:w="708"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0,02</w:t>
            </w:r>
          </w:p>
        </w:tc>
        <w:tc>
          <w:tcPr>
            <w:tcW w:w="1134" w:type="dxa"/>
            <w:tcBorders>
              <w:right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679,4</w:t>
            </w:r>
          </w:p>
        </w:tc>
      </w:tr>
      <w:tr w:rsidR="008B2E49" w:rsidRPr="000063FC" w:rsidTr="00EA3B8D">
        <w:trPr>
          <w:trHeight w:val="227"/>
        </w:trPr>
        <w:tc>
          <w:tcPr>
            <w:tcW w:w="944" w:type="dxa"/>
            <w:vMerge/>
            <w:tcBorders>
              <w:left w:val="single" w:sz="12" w:space="0" w:color="4BACC6"/>
              <w:righ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334" w:type="dxa"/>
            <w:vMerge/>
            <w:tcBorders>
              <w:lef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418" w:type="dxa"/>
            <w:tcBorders>
              <w:right w:val="single" w:sz="6" w:space="0" w:color="4BACC6"/>
            </w:tcBorders>
            <w:noWrap/>
            <w:vAlign w:val="bottom"/>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 xml:space="preserve">Euro III </w:t>
            </w:r>
          </w:p>
        </w:tc>
        <w:tc>
          <w:tcPr>
            <w:tcW w:w="825" w:type="dxa"/>
            <w:tcBorders>
              <w:left w:val="single" w:sz="6" w:space="0" w:color="4BACC6"/>
            </w:tcBorders>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95</w:t>
            </w:r>
          </w:p>
        </w:tc>
        <w:tc>
          <w:tcPr>
            <w:tcW w:w="1134" w:type="dxa"/>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201,3</w:t>
            </w:r>
          </w:p>
        </w:tc>
        <w:tc>
          <w:tcPr>
            <w:tcW w:w="876"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631,9</w:t>
            </w:r>
          </w:p>
        </w:tc>
        <w:tc>
          <w:tcPr>
            <w:tcW w:w="709"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0,02</w:t>
            </w:r>
          </w:p>
        </w:tc>
        <w:tc>
          <w:tcPr>
            <w:tcW w:w="708"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0,02</w:t>
            </w:r>
          </w:p>
        </w:tc>
        <w:tc>
          <w:tcPr>
            <w:tcW w:w="1134" w:type="dxa"/>
            <w:tcBorders>
              <w:right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638,8</w:t>
            </w:r>
          </w:p>
        </w:tc>
      </w:tr>
      <w:tr w:rsidR="008B2E49" w:rsidRPr="000063FC" w:rsidTr="00EA3B8D">
        <w:trPr>
          <w:trHeight w:val="227"/>
        </w:trPr>
        <w:tc>
          <w:tcPr>
            <w:tcW w:w="944" w:type="dxa"/>
            <w:vMerge/>
            <w:tcBorders>
              <w:left w:val="single" w:sz="12" w:space="0" w:color="4BACC6"/>
              <w:righ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334" w:type="dxa"/>
            <w:vMerge/>
            <w:tcBorders>
              <w:lef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418" w:type="dxa"/>
            <w:tcBorders>
              <w:bottom w:val="single" w:sz="12" w:space="0" w:color="4BACC6"/>
              <w:right w:val="single" w:sz="6" w:space="0" w:color="4BACC6"/>
            </w:tcBorders>
            <w:noWrap/>
            <w:vAlign w:val="bottom"/>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 xml:space="preserve">Euro IV </w:t>
            </w:r>
          </w:p>
        </w:tc>
        <w:tc>
          <w:tcPr>
            <w:tcW w:w="825" w:type="dxa"/>
            <w:tcBorders>
              <w:left w:val="single" w:sz="6" w:space="0" w:color="4BACC6"/>
              <w:bottom w:val="single" w:sz="12" w:space="0" w:color="4BACC6"/>
            </w:tcBorders>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76</w:t>
            </w:r>
          </w:p>
        </w:tc>
        <w:tc>
          <w:tcPr>
            <w:tcW w:w="1134" w:type="dxa"/>
            <w:tcBorders>
              <w:bottom w:val="single" w:sz="12"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161,1</w:t>
            </w:r>
          </w:p>
        </w:tc>
        <w:tc>
          <w:tcPr>
            <w:tcW w:w="876" w:type="dxa"/>
            <w:tcBorders>
              <w:bottom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512,2</w:t>
            </w:r>
          </w:p>
        </w:tc>
        <w:tc>
          <w:tcPr>
            <w:tcW w:w="709" w:type="dxa"/>
            <w:tcBorders>
              <w:bottom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0,02</w:t>
            </w:r>
          </w:p>
        </w:tc>
        <w:tc>
          <w:tcPr>
            <w:tcW w:w="708" w:type="dxa"/>
            <w:tcBorders>
              <w:bottom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0,02</w:t>
            </w:r>
          </w:p>
        </w:tc>
        <w:tc>
          <w:tcPr>
            <w:tcW w:w="1134" w:type="dxa"/>
            <w:tcBorders>
              <w:bottom w:val="single" w:sz="12" w:space="0" w:color="4BACC6"/>
              <w:right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517,8</w:t>
            </w:r>
          </w:p>
        </w:tc>
      </w:tr>
      <w:tr w:rsidR="008B2E49" w:rsidRPr="000063FC" w:rsidTr="00EA3B8D">
        <w:trPr>
          <w:trHeight w:val="227"/>
        </w:trPr>
        <w:tc>
          <w:tcPr>
            <w:tcW w:w="944" w:type="dxa"/>
            <w:vMerge/>
            <w:tcBorders>
              <w:left w:val="single" w:sz="12" w:space="0" w:color="4BACC6"/>
              <w:righ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334" w:type="dxa"/>
            <w:vMerge/>
            <w:tcBorders>
              <w:left w:val="single" w:sz="6" w:space="0" w:color="4BACC6"/>
              <w:bottom w:val="single" w:sz="12" w:space="0" w:color="4BACC6"/>
            </w:tcBorders>
            <w:shd w:val="clear" w:color="auto" w:fill="DAEEF3"/>
            <w:noWrap/>
            <w:vAlign w:val="center"/>
          </w:tcPr>
          <w:p w:rsidR="00B23695" w:rsidRPr="000063FC" w:rsidRDefault="00B23695">
            <w:pPr>
              <w:spacing w:line="276" w:lineRule="auto"/>
              <w:jc w:val="center"/>
              <w:rPr>
                <w:rFonts w:asciiTheme="minorHAnsi" w:hAnsiTheme="minorHAnsi" w:cs="Arial"/>
                <w:sz w:val="20"/>
              </w:rPr>
            </w:pPr>
          </w:p>
        </w:tc>
        <w:tc>
          <w:tcPr>
            <w:tcW w:w="1418" w:type="dxa"/>
            <w:tcBorders>
              <w:top w:val="single" w:sz="12" w:space="0" w:color="4BACC6"/>
              <w:bottom w:val="single" w:sz="12" w:space="0" w:color="4BACC6"/>
              <w:right w:val="single" w:sz="6" w:space="0" w:color="4BACC6"/>
            </w:tcBorders>
            <w:shd w:val="clear" w:color="auto" w:fill="DAEEF3"/>
            <w:noWrap/>
            <w:vAlign w:val="bottom"/>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UKUPNO</w:t>
            </w:r>
          </w:p>
        </w:tc>
        <w:tc>
          <w:tcPr>
            <w:tcW w:w="825" w:type="dxa"/>
            <w:tcBorders>
              <w:top w:val="single" w:sz="12" w:space="0" w:color="4BACC6"/>
              <w:left w:val="single" w:sz="6" w:space="0" w:color="4BACC6"/>
              <w:bottom w:val="single" w:sz="12" w:space="0" w:color="4BACC6"/>
            </w:tcBorders>
            <w:shd w:val="clear" w:color="auto" w:fill="DAEEF3"/>
            <w:vAlign w:val="bottom"/>
          </w:tcPr>
          <w:p w:rsidR="00B23695"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628</w:t>
            </w:r>
          </w:p>
        </w:tc>
        <w:tc>
          <w:tcPr>
            <w:tcW w:w="1134" w:type="dxa"/>
            <w:tcBorders>
              <w:top w:val="single" w:sz="12" w:space="0" w:color="4BACC6"/>
              <w:bottom w:val="single" w:sz="12" w:space="0" w:color="4BACC6"/>
            </w:tcBorders>
            <w:shd w:val="clear" w:color="auto" w:fill="DAEEF3"/>
            <w:noWrap/>
            <w:vAlign w:val="bottom"/>
          </w:tcPr>
          <w:p w:rsidR="00B23695"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1331</w:t>
            </w:r>
          </w:p>
        </w:tc>
        <w:tc>
          <w:tcPr>
            <w:tcW w:w="876" w:type="dxa"/>
            <w:tcBorders>
              <w:top w:val="single" w:sz="12" w:space="0" w:color="4BACC6"/>
              <w:bottom w:val="single" w:sz="12" w:space="0" w:color="4BACC6"/>
            </w:tcBorders>
            <w:shd w:val="clear" w:color="auto" w:fill="DAEEF3"/>
            <w:noWrap/>
            <w:vAlign w:val="bottom"/>
          </w:tcPr>
          <w:p w:rsidR="00B23695"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4183,8</w:t>
            </w:r>
          </w:p>
        </w:tc>
        <w:tc>
          <w:tcPr>
            <w:tcW w:w="709" w:type="dxa"/>
            <w:tcBorders>
              <w:top w:val="single" w:sz="12" w:space="0" w:color="4BACC6"/>
              <w:bottom w:val="single" w:sz="12" w:space="0" w:color="4BACC6"/>
            </w:tcBorders>
            <w:shd w:val="clear" w:color="auto" w:fill="DAEEF3"/>
            <w:noWrap/>
            <w:vAlign w:val="bottom"/>
          </w:tcPr>
          <w:p w:rsidR="00B23695"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0,25</w:t>
            </w:r>
          </w:p>
        </w:tc>
        <w:tc>
          <w:tcPr>
            <w:tcW w:w="708" w:type="dxa"/>
            <w:tcBorders>
              <w:top w:val="single" w:sz="12" w:space="0" w:color="4BACC6"/>
              <w:bottom w:val="single" w:sz="12" w:space="0" w:color="4BACC6"/>
            </w:tcBorders>
            <w:shd w:val="clear" w:color="auto" w:fill="DAEEF3"/>
            <w:noWrap/>
            <w:vAlign w:val="bottom"/>
          </w:tcPr>
          <w:p w:rsidR="00B23695"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0.14</w:t>
            </w:r>
          </w:p>
        </w:tc>
        <w:tc>
          <w:tcPr>
            <w:tcW w:w="1134" w:type="dxa"/>
            <w:tcBorders>
              <w:top w:val="single" w:sz="12" w:space="0" w:color="4BACC6"/>
              <w:bottom w:val="single" w:sz="12" w:space="0" w:color="4BACC6"/>
              <w:right w:val="single" w:sz="12" w:space="0" w:color="4BACC6"/>
            </w:tcBorders>
            <w:shd w:val="clear" w:color="auto" w:fill="DAEEF3"/>
            <w:noWrap/>
            <w:vAlign w:val="bottom"/>
          </w:tcPr>
          <w:p w:rsidR="00B23695"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4231.9</w:t>
            </w:r>
          </w:p>
        </w:tc>
      </w:tr>
      <w:tr w:rsidR="008B2E49" w:rsidRPr="000063FC" w:rsidTr="00EA3B8D">
        <w:trPr>
          <w:trHeight w:val="227"/>
        </w:trPr>
        <w:tc>
          <w:tcPr>
            <w:tcW w:w="944" w:type="dxa"/>
            <w:vMerge/>
            <w:tcBorders>
              <w:left w:val="single" w:sz="12" w:space="0" w:color="4BACC6"/>
              <w:righ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334" w:type="dxa"/>
            <w:vMerge w:val="restart"/>
            <w:tcBorders>
              <w:top w:val="single" w:sz="12" w:space="0" w:color="4BACC6"/>
              <w:left w:val="single" w:sz="6" w:space="0" w:color="4BACC6"/>
              <w:right w:val="single" w:sz="6" w:space="0" w:color="4BACC6"/>
            </w:tcBorders>
            <w:noWrap/>
            <w:vAlign w:val="center"/>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Gradski</w:t>
            </w:r>
          </w:p>
        </w:tc>
        <w:tc>
          <w:tcPr>
            <w:tcW w:w="1418" w:type="dxa"/>
            <w:tcBorders>
              <w:top w:val="single" w:sz="12" w:space="0" w:color="4BACC6"/>
              <w:left w:val="single" w:sz="6" w:space="0" w:color="4BACC6"/>
              <w:right w:val="single" w:sz="6" w:space="0" w:color="4BACC6"/>
            </w:tcBorders>
            <w:noWrap/>
            <w:vAlign w:val="bottom"/>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Conventional</w:t>
            </w:r>
          </w:p>
        </w:tc>
        <w:tc>
          <w:tcPr>
            <w:tcW w:w="825" w:type="dxa"/>
            <w:tcBorders>
              <w:top w:val="single" w:sz="12" w:space="0" w:color="4BACC6"/>
              <w:left w:val="single" w:sz="6" w:space="0" w:color="4BACC6"/>
            </w:tcBorders>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99</w:t>
            </w:r>
          </w:p>
        </w:tc>
        <w:tc>
          <w:tcPr>
            <w:tcW w:w="1134" w:type="dxa"/>
            <w:tcBorders>
              <w:top w:val="single" w:sz="12" w:space="0" w:color="4BACC6"/>
            </w:tcBorders>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3156,4</w:t>
            </w:r>
          </w:p>
        </w:tc>
        <w:tc>
          <w:tcPr>
            <w:tcW w:w="876" w:type="dxa"/>
            <w:tcBorders>
              <w:top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9890,8</w:t>
            </w:r>
          </w:p>
        </w:tc>
        <w:tc>
          <w:tcPr>
            <w:tcW w:w="709" w:type="dxa"/>
            <w:tcBorders>
              <w:top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1,69</w:t>
            </w:r>
          </w:p>
        </w:tc>
        <w:tc>
          <w:tcPr>
            <w:tcW w:w="708" w:type="dxa"/>
            <w:tcBorders>
              <w:top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0,31</w:t>
            </w:r>
          </w:p>
        </w:tc>
        <w:tc>
          <w:tcPr>
            <w:tcW w:w="1134" w:type="dxa"/>
            <w:tcBorders>
              <w:top w:val="single" w:sz="12" w:space="0" w:color="4BACC6"/>
              <w:right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10021,1</w:t>
            </w:r>
          </w:p>
        </w:tc>
      </w:tr>
      <w:tr w:rsidR="008B2E49" w:rsidRPr="000063FC" w:rsidTr="00EA3B8D">
        <w:trPr>
          <w:trHeight w:val="227"/>
        </w:trPr>
        <w:tc>
          <w:tcPr>
            <w:tcW w:w="944" w:type="dxa"/>
            <w:vMerge/>
            <w:tcBorders>
              <w:left w:val="single" w:sz="12" w:space="0" w:color="4BACC6"/>
              <w:righ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334" w:type="dxa"/>
            <w:vMerge/>
            <w:tcBorders>
              <w:left w:val="single" w:sz="6" w:space="0" w:color="4BACC6"/>
              <w:righ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418" w:type="dxa"/>
            <w:tcBorders>
              <w:left w:val="single" w:sz="6" w:space="0" w:color="4BACC6"/>
              <w:right w:val="single" w:sz="6" w:space="0" w:color="4BACC6"/>
            </w:tcBorders>
            <w:noWrap/>
            <w:vAlign w:val="bottom"/>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 xml:space="preserve">Euro I </w:t>
            </w:r>
          </w:p>
        </w:tc>
        <w:tc>
          <w:tcPr>
            <w:tcW w:w="825" w:type="dxa"/>
            <w:tcBorders>
              <w:left w:val="single" w:sz="6" w:space="0" w:color="4BACC6"/>
            </w:tcBorders>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19</w:t>
            </w:r>
          </w:p>
        </w:tc>
        <w:tc>
          <w:tcPr>
            <w:tcW w:w="1134" w:type="dxa"/>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605,8</w:t>
            </w:r>
          </w:p>
        </w:tc>
        <w:tc>
          <w:tcPr>
            <w:tcW w:w="876"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1898,2</w:t>
            </w:r>
          </w:p>
        </w:tc>
        <w:tc>
          <w:tcPr>
            <w:tcW w:w="709"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0,23</w:t>
            </w:r>
          </w:p>
        </w:tc>
        <w:tc>
          <w:tcPr>
            <w:tcW w:w="708"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0,06</w:t>
            </w:r>
          </w:p>
        </w:tc>
        <w:tc>
          <w:tcPr>
            <w:tcW w:w="1134" w:type="dxa"/>
            <w:tcBorders>
              <w:right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1921,3</w:t>
            </w:r>
          </w:p>
        </w:tc>
      </w:tr>
      <w:tr w:rsidR="008B2E49" w:rsidRPr="000063FC" w:rsidTr="00EA3B8D">
        <w:trPr>
          <w:trHeight w:val="227"/>
        </w:trPr>
        <w:tc>
          <w:tcPr>
            <w:tcW w:w="944" w:type="dxa"/>
            <w:vMerge/>
            <w:tcBorders>
              <w:left w:val="single" w:sz="12" w:space="0" w:color="4BACC6"/>
              <w:righ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334" w:type="dxa"/>
            <w:vMerge/>
            <w:tcBorders>
              <w:left w:val="single" w:sz="6" w:space="0" w:color="4BACC6"/>
              <w:righ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418" w:type="dxa"/>
            <w:tcBorders>
              <w:left w:val="single" w:sz="6" w:space="0" w:color="4BACC6"/>
              <w:right w:val="single" w:sz="6" w:space="0" w:color="4BACC6"/>
            </w:tcBorders>
            <w:noWrap/>
            <w:vAlign w:val="bottom"/>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 xml:space="preserve">Euro II </w:t>
            </w:r>
          </w:p>
        </w:tc>
        <w:tc>
          <w:tcPr>
            <w:tcW w:w="825" w:type="dxa"/>
            <w:tcBorders>
              <w:left w:val="single" w:sz="6" w:space="0" w:color="4BACC6"/>
            </w:tcBorders>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82</w:t>
            </w:r>
          </w:p>
        </w:tc>
        <w:tc>
          <w:tcPr>
            <w:tcW w:w="1134" w:type="dxa"/>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2614,4</w:t>
            </w:r>
          </w:p>
        </w:tc>
        <w:tc>
          <w:tcPr>
            <w:tcW w:w="876"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8192,4</w:t>
            </w:r>
          </w:p>
        </w:tc>
        <w:tc>
          <w:tcPr>
            <w:tcW w:w="709"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0,93</w:t>
            </w:r>
          </w:p>
        </w:tc>
        <w:tc>
          <w:tcPr>
            <w:tcW w:w="708"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0,25</w:t>
            </w:r>
          </w:p>
        </w:tc>
        <w:tc>
          <w:tcPr>
            <w:tcW w:w="1134" w:type="dxa"/>
            <w:tcBorders>
              <w:right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8290,5</w:t>
            </w:r>
          </w:p>
        </w:tc>
      </w:tr>
      <w:tr w:rsidR="008B2E49" w:rsidRPr="000063FC" w:rsidTr="00EA3B8D">
        <w:trPr>
          <w:trHeight w:val="227"/>
        </w:trPr>
        <w:tc>
          <w:tcPr>
            <w:tcW w:w="944" w:type="dxa"/>
            <w:vMerge/>
            <w:tcBorders>
              <w:left w:val="single" w:sz="12" w:space="0" w:color="4BACC6"/>
              <w:righ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334" w:type="dxa"/>
            <w:vMerge/>
            <w:tcBorders>
              <w:left w:val="single" w:sz="6" w:space="0" w:color="4BACC6"/>
              <w:righ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418" w:type="dxa"/>
            <w:tcBorders>
              <w:left w:val="single" w:sz="6" w:space="0" w:color="4BACC6"/>
              <w:right w:val="single" w:sz="6" w:space="0" w:color="4BACC6"/>
            </w:tcBorders>
            <w:noWrap/>
            <w:vAlign w:val="bottom"/>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 xml:space="preserve">Euro III </w:t>
            </w:r>
          </w:p>
        </w:tc>
        <w:tc>
          <w:tcPr>
            <w:tcW w:w="825" w:type="dxa"/>
            <w:tcBorders>
              <w:left w:val="single" w:sz="6" w:space="0" w:color="4BACC6"/>
            </w:tcBorders>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95</w:t>
            </w:r>
          </w:p>
        </w:tc>
        <w:tc>
          <w:tcPr>
            <w:tcW w:w="1134" w:type="dxa"/>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3028,9</w:t>
            </w:r>
          </w:p>
        </w:tc>
        <w:tc>
          <w:tcPr>
            <w:tcW w:w="876"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9491,2</w:t>
            </w:r>
          </w:p>
        </w:tc>
        <w:tc>
          <w:tcPr>
            <w:tcW w:w="709"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0,76</w:t>
            </w:r>
          </w:p>
        </w:tc>
        <w:tc>
          <w:tcPr>
            <w:tcW w:w="708"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0,29</w:t>
            </w:r>
          </w:p>
        </w:tc>
        <w:tc>
          <w:tcPr>
            <w:tcW w:w="1134" w:type="dxa"/>
            <w:tcBorders>
              <w:right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9598,1</w:t>
            </w:r>
          </w:p>
        </w:tc>
      </w:tr>
      <w:tr w:rsidR="008B2E49" w:rsidRPr="000063FC" w:rsidTr="00EA3B8D">
        <w:trPr>
          <w:trHeight w:val="227"/>
        </w:trPr>
        <w:tc>
          <w:tcPr>
            <w:tcW w:w="944" w:type="dxa"/>
            <w:vMerge/>
            <w:tcBorders>
              <w:left w:val="single" w:sz="12" w:space="0" w:color="4BACC6"/>
              <w:righ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334" w:type="dxa"/>
            <w:vMerge/>
            <w:tcBorders>
              <w:left w:val="single" w:sz="6" w:space="0" w:color="4BACC6"/>
              <w:right w:val="single" w:sz="6" w:space="0" w:color="4BACC6"/>
            </w:tcBorders>
            <w:vAlign w:val="center"/>
          </w:tcPr>
          <w:p w:rsidR="00B23695" w:rsidRPr="000063FC" w:rsidRDefault="00B23695">
            <w:pPr>
              <w:spacing w:line="276" w:lineRule="auto"/>
              <w:rPr>
                <w:rFonts w:asciiTheme="minorHAnsi" w:hAnsiTheme="minorHAnsi" w:cs="Arial"/>
                <w:sz w:val="20"/>
              </w:rPr>
            </w:pPr>
          </w:p>
        </w:tc>
        <w:tc>
          <w:tcPr>
            <w:tcW w:w="1418" w:type="dxa"/>
            <w:tcBorders>
              <w:left w:val="single" w:sz="6" w:space="0" w:color="4BACC6"/>
              <w:right w:val="single" w:sz="6" w:space="0" w:color="4BACC6"/>
            </w:tcBorders>
            <w:noWrap/>
            <w:vAlign w:val="bottom"/>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 xml:space="preserve">Euro IV </w:t>
            </w:r>
          </w:p>
        </w:tc>
        <w:tc>
          <w:tcPr>
            <w:tcW w:w="825" w:type="dxa"/>
            <w:tcBorders>
              <w:left w:val="single" w:sz="6" w:space="0" w:color="4BACC6"/>
            </w:tcBorders>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28</w:t>
            </w:r>
          </w:p>
        </w:tc>
        <w:tc>
          <w:tcPr>
            <w:tcW w:w="1134" w:type="dxa"/>
            <w:noWrap/>
            <w:vAlign w:val="bottom"/>
          </w:tcPr>
          <w:p w:rsidR="00B23695"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892,7</w:t>
            </w:r>
          </w:p>
        </w:tc>
        <w:tc>
          <w:tcPr>
            <w:tcW w:w="876"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2797,4</w:t>
            </w:r>
          </w:p>
        </w:tc>
        <w:tc>
          <w:tcPr>
            <w:tcW w:w="709"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0,16</w:t>
            </w:r>
          </w:p>
        </w:tc>
        <w:tc>
          <w:tcPr>
            <w:tcW w:w="708" w:type="dxa"/>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0,09</w:t>
            </w:r>
          </w:p>
        </w:tc>
        <w:tc>
          <w:tcPr>
            <w:tcW w:w="1134" w:type="dxa"/>
            <w:tcBorders>
              <w:right w:val="single" w:sz="12" w:space="0" w:color="4BACC6"/>
            </w:tcBorders>
            <w:noWrap/>
            <w:vAlign w:val="bottom"/>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2827,5</w:t>
            </w:r>
          </w:p>
        </w:tc>
      </w:tr>
      <w:tr w:rsidR="008B2E49" w:rsidRPr="000063FC" w:rsidTr="00EA3B8D">
        <w:trPr>
          <w:trHeight w:val="227"/>
        </w:trPr>
        <w:tc>
          <w:tcPr>
            <w:tcW w:w="944" w:type="dxa"/>
            <w:vMerge/>
            <w:tcBorders>
              <w:left w:val="single" w:sz="12" w:space="0" w:color="4BACC6"/>
              <w:bottom w:val="single" w:sz="12" w:space="0" w:color="4BACC6"/>
              <w:right w:val="single" w:sz="6" w:space="0" w:color="4BACC6"/>
            </w:tcBorders>
            <w:shd w:val="clear" w:color="auto" w:fill="DAEEF3"/>
            <w:noWrap/>
            <w:vAlign w:val="center"/>
          </w:tcPr>
          <w:p w:rsidR="00B23695" w:rsidRPr="000063FC" w:rsidRDefault="00B23695">
            <w:pPr>
              <w:spacing w:line="276" w:lineRule="auto"/>
              <w:rPr>
                <w:rFonts w:asciiTheme="minorHAnsi" w:hAnsiTheme="minorHAnsi" w:cs="Arial"/>
                <w:b/>
                <w:sz w:val="20"/>
              </w:rPr>
            </w:pPr>
          </w:p>
        </w:tc>
        <w:tc>
          <w:tcPr>
            <w:tcW w:w="1334" w:type="dxa"/>
            <w:vMerge/>
            <w:tcBorders>
              <w:left w:val="single" w:sz="6" w:space="0" w:color="4BACC6"/>
              <w:bottom w:val="single" w:sz="12" w:space="0" w:color="4BACC6"/>
              <w:right w:val="single" w:sz="6" w:space="0" w:color="4BACC6"/>
            </w:tcBorders>
            <w:shd w:val="clear" w:color="auto" w:fill="DAEEF3"/>
            <w:vAlign w:val="center"/>
          </w:tcPr>
          <w:p w:rsidR="00B23695" w:rsidRPr="000063FC" w:rsidRDefault="00B23695">
            <w:pPr>
              <w:spacing w:line="276" w:lineRule="auto"/>
              <w:rPr>
                <w:rFonts w:asciiTheme="minorHAnsi" w:hAnsiTheme="minorHAnsi" w:cs="Arial"/>
                <w:b/>
                <w:sz w:val="20"/>
              </w:rPr>
            </w:pPr>
          </w:p>
        </w:tc>
        <w:tc>
          <w:tcPr>
            <w:tcW w:w="1418" w:type="dxa"/>
            <w:tcBorders>
              <w:top w:val="single" w:sz="12" w:space="0" w:color="4BACC6"/>
              <w:left w:val="single" w:sz="6" w:space="0" w:color="4BACC6"/>
              <w:bottom w:val="single" w:sz="12" w:space="0" w:color="4BACC6"/>
              <w:right w:val="single" w:sz="6" w:space="0" w:color="4BACC6"/>
            </w:tcBorders>
            <w:shd w:val="clear" w:color="auto" w:fill="DAEEF3"/>
            <w:vAlign w:val="center"/>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UKUPNO</w:t>
            </w:r>
          </w:p>
        </w:tc>
        <w:tc>
          <w:tcPr>
            <w:tcW w:w="825" w:type="dxa"/>
            <w:tcBorders>
              <w:top w:val="single" w:sz="12" w:space="0" w:color="4BACC6"/>
              <w:left w:val="single" w:sz="6" w:space="0" w:color="4BACC6"/>
              <w:bottom w:val="single" w:sz="12" w:space="0" w:color="4BACC6"/>
            </w:tcBorders>
            <w:shd w:val="clear" w:color="auto" w:fill="DAEEF3"/>
            <w:vAlign w:val="bottom"/>
          </w:tcPr>
          <w:p w:rsidR="00B23695" w:rsidRPr="000063FC" w:rsidRDefault="008B2E49">
            <w:pPr>
              <w:spacing w:line="276" w:lineRule="auto"/>
              <w:jc w:val="center"/>
              <w:rPr>
                <w:rFonts w:asciiTheme="minorHAnsi" w:hAnsiTheme="minorHAnsi" w:cs="Arial"/>
                <w:color w:val="000000"/>
                <w:sz w:val="20"/>
              </w:rPr>
            </w:pPr>
            <w:r w:rsidRPr="000063FC">
              <w:rPr>
                <w:rFonts w:asciiTheme="minorHAnsi" w:hAnsiTheme="minorHAnsi" w:cs="Arial"/>
                <w:color w:val="000000"/>
                <w:sz w:val="20"/>
              </w:rPr>
              <w:t>323</w:t>
            </w:r>
          </w:p>
        </w:tc>
        <w:tc>
          <w:tcPr>
            <w:tcW w:w="1134" w:type="dxa"/>
            <w:tcBorders>
              <w:top w:val="single" w:sz="12" w:space="0" w:color="4BACC6"/>
              <w:bottom w:val="single" w:sz="12" w:space="0" w:color="4BACC6"/>
            </w:tcBorders>
            <w:shd w:val="clear" w:color="auto" w:fill="DAEEF3"/>
            <w:noWrap/>
            <w:vAlign w:val="bottom"/>
          </w:tcPr>
          <w:p w:rsidR="00B23695" w:rsidRPr="000063FC" w:rsidRDefault="008B2E49">
            <w:pPr>
              <w:spacing w:line="276" w:lineRule="auto"/>
              <w:jc w:val="center"/>
              <w:rPr>
                <w:rFonts w:asciiTheme="minorHAnsi" w:hAnsiTheme="minorHAnsi" w:cs="Arial"/>
                <w:color w:val="000000"/>
                <w:sz w:val="20"/>
              </w:rPr>
            </w:pPr>
            <w:r w:rsidRPr="000063FC">
              <w:rPr>
                <w:rFonts w:asciiTheme="minorHAnsi" w:hAnsiTheme="minorHAnsi" w:cs="Arial"/>
                <w:color w:val="000000"/>
                <w:sz w:val="20"/>
              </w:rPr>
              <w:t>10298,2</w:t>
            </w:r>
          </w:p>
        </w:tc>
        <w:tc>
          <w:tcPr>
            <w:tcW w:w="876" w:type="dxa"/>
            <w:tcBorders>
              <w:top w:val="single" w:sz="12" w:space="0" w:color="4BACC6"/>
              <w:bottom w:val="single" w:sz="12" w:space="0" w:color="4BACC6"/>
            </w:tcBorders>
            <w:shd w:val="clear" w:color="auto" w:fill="DAEEF3"/>
            <w:noWrap/>
            <w:vAlign w:val="bottom"/>
          </w:tcPr>
          <w:p w:rsidR="00B23695" w:rsidRPr="000063FC" w:rsidRDefault="008B2E49">
            <w:pPr>
              <w:spacing w:line="276" w:lineRule="auto"/>
              <w:jc w:val="center"/>
              <w:rPr>
                <w:rFonts w:asciiTheme="minorHAnsi" w:hAnsiTheme="minorHAnsi" w:cs="Arial"/>
                <w:color w:val="000000"/>
                <w:sz w:val="20"/>
              </w:rPr>
            </w:pPr>
            <w:r w:rsidRPr="000063FC">
              <w:rPr>
                <w:rFonts w:asciiTheme="minorHAnsi" w:hAnsiTheme="minorHAnsi" w:cs="Arial"/>
                <w:color w:val="000000"/>
                <w:sz w:val="20"/>
              </w:rPr>
              <w:t>32270</w:t>
            </w:r>
          </w:p>
        </w:tc>
        <w:tc>
          <w:tcPr>
            <w:tcW w:w="709" w:type="dxa"/>
            <w:tcBorders>
              <w:top w:val="single" w:sz="12" w:space="0" w:color="4BACC6"/>
              <w:bottom w:val="single" w:sz="12" w:space="0" w:color="4BACC6"/>
            </w:tcBorders>
            <w:shd w:val="clear" w:color="auto" w:fill="DAEEF3"/>
            <w:noWrap/>
            <w:vAlign w:val="bottom"/>
          </w:tcPr>
          <w:p w:rsidR="00B23695" w:rsidRPr="000063FC" w:rsidRDefault="008B2E49">
            <w:pPr>
              <w:spacing w:line="276" w:lineRule="auto"/>
              <w:jc w:val="center"/>
              <w:rPr>
                <w:rFonts w:asciiTheme="minorHAnsi" w:hAnsiTheme="minorHAnsi" w:cs="Arial"/>
                <w:color w:val="000000"/>
                <w:sz w:val="20"/>
              </w:rPr>
            </w:pPr>
            <w:r w:rsidRPr="000063FC">
              <w:rPr>
                <w:rFonts w:asciiTheme="minorHAnsi" w:hAnsiTheme="minorHAnsi" w:cs="Arial"/>
                <w:color w:val="000000"/>
                <w:sz w:val="20"/>
              </w:rPr>
              <w:t>3,77</w:t>
            </w:r>
          </w:p>
        </w:tc>
        <w:tc>
          <w:tcPr>
            <w:tcW w:w="708" w:type="dxa"/>
            <w:tcBorders>
              <w:top w:val="single" w:sz="12" w:space="0" w:color="4BACC6"/>
              <w:bottom w:val="single" w:sz="12" w:space="0" w:color="4BACC6"/>
            </w:tcBorders>
            <w:shd w:val="clear" w:color="auto" w:fill="DAEEF3"/>
            <w:noWrap/>
            <w:vAlign w:val="bottom"/>
          </w:tcPr>
          <w:p w:rsidR="00B23695" w:rsidRPr="000063FC" w:rsidRDefault="008B2E49">
            <w:pPr>
              <w:spacing w:line="276" w:lineRule="auto"/>
              <w:jc w:val="center"/>
              <w:rPr>
                <w:rFonts w:asciiTheme="minorHAnsi" w:hAnsiTheme="minorHAnsi" w:cs="Arial"/>
                <w:color w:val="000000"/>
                <w:sz w:val="20"/>
              </w:rPr>
            </w:pPr>
            <w:r w:rsidRPr="000063FC">
              <w:rPr>
                <w:rFonts w:asciiTheme="minorHAnsi" w:hAnsiTheme="minorHAnsi" w:cs="Arial"/>
                <w:color w:val="000000"/>
                <w:sz w:val="20"/>
              </w:rPr>
              <w:t>1.00</w:t>
            </w:r>
          </w:p>
        </w:tc>
        <w:tc>
          <w:tcPr>
            <w:tcW w:w="1134" w:type="dxa"/>
            <w:tcBorders>
              <w:top w:val="single" w:sz="12" w:space="0" w:color="4BACC6"/>
              <w:bottom w:val="single" w:sz="12" w:space="0" w:color="4BACC6"/>
              <w:right w:val="single" w:sz="12" w:space="0" w:color="4BACC6"/>
            </w:tcBorders>
            <w:shd w:val="clear" w:color="auto" w:fill="DAEEF3"/>
            <w:noWrap/>
            <w:vAlign w:val="bottom"/>
          </w:tcPr>
          <w:p w:rsidR="00B23695" w:rsidRPr="000063FC" w:rsidRDefault="008B2E49">
            <w:pPr>
              <w:spacing w:line="276" w:lineRule="auto"/>
              <w:jc w:val="center"/>
              <w:rPr>
                <w:rFonts w:asciiTheme="minorHAnsi" w:hAnsiTheme="minorHAnsi" w:cs="Arial"/>
                <w:color w:val="000000"/>
                <w:sz w:val="20"/>
              </w:rPr>
            </w:pPr>
            <w:r w:rsidRPr="000063FC">
              <w:rPr>
                <w:rFonts w:asciiTheme="minorHAnsi" w:hAnsiTheme="minorHAnsi" w:cs="Arial"/>
                <w:color w:val="000000"/>
                <w:sz w:val="20"/>
              </w:rPr>
              <w:t>32658.5</w:t>
            </w:r>
          </w:p>
        </w:tc>
      </w:tr>
      <w:tr w:rsidR="008B2E49" w:rsidRPr="000063FC" w:rsidTr="00EA3B8D">
        <w:trPr>
          <w:trHeight w:val="227"/>
        </w:trPr>
        <w:tc>
          <w:tcPr>
            <w:tcW w:w="3696" w:type="dxa"/>
            <w:gridSpan w:val="3"/>
            <w:tcBorders>
              <w:top w:val="single" w:sz="12" w:space="0" w:color="4BACC6"/>
              <w:left w:val="single" w:sz="12" w:space="0" w:color="4BACC6"/>
              <w:bottom w:val="single" w:sz="12" w:space="0" w:color="4BACC6"/>
              <w:right w:val="single" w:sz="6" w:space="0" w:color="FFFFFF"/>
            </w:tcBorders>
            <w:shd w:val="clear" w:color="auto" w:fill="4BACC6"/>
            <w:noWrap/>
            <w:vAlign w:val="center"/>
          </w:tcPr>
          <w:p w:rsidR="00B23695" w:rsidRPr="000063FC" w:rsidRDefault="008B2E49">
            <w:pPr>
              <w:spacing w:line="276" w:lineRule="auto"/>
              <w:rPr>
                <w:rFonts w:asciiTheme="minorHAnsi" w:hAnsiTheme="minorHAnsi" w:cs="Arial"/>
                <w:b/>
                <w:color w:val="FFFFFF"/>
                <w:sz w:val="20"/>
              </w:rPr>
            </w:pPr>
            <w:r w:rsidRPr="000063FC">
              <w:rPr>
                <w:rFonts w:asciiTheme="minorHAnsi" w:hAnsiTheme="minorHAnsi" w:cs="Arial"/>
                <w:b/>
                <w:color w:val="FFFFFF"/>
                <w:sz w:val="20"/>
              </w:rPr>
              <w:t>UKUPNO</w:t>
            </w:r>
          </w:p>
        </w:tc>
        <w:tc>
          <w:tcPr>
            <w:tcW w:w="825" w:type="dxa"/>
            <w:tcBorders>
              <w:top w:val="single" w:sz="12" w:space="0" w:color="4BACC6"/>
              <w:left w:val="single" w:sz="6" w:space="0" w:color="FFFFFF"/>
              <w:bottom w:val="single" w:sz="12" w:space="0" w:color="4BACC6"/>
              <w:right w:val="single" w:sz="6" w:space="0" w:color="FFFFFF"/>
            </w:tcBorders>
            <w:shd w:val="clear" w:color="auto" w:fill="4BACC6"/>
            <w:vAlign w:val="bottom"/>
          </w:tcPr>
          <w:p w:rsidR="00B23695" w:rsidRPr="000063FC" w:rsidRDefault="008B2E49">
            <w:pPr>
              <w:spacing w:line="276" w:lineRule="auto"/>
              <w:jc w:val="center"/>
              <w:rPr>
                <w:rFonts w:asciiTheme="minorHAnsi" w:hAnsiTheme="minorHAnsi" w:cs="Arial"/>
                <w:b/>
                <w:bCs/>
                <w:color w:val="FFFFFF"/>
                <w:sz w:val="20"/>
              </w:rPr>
            </w:pPr>
            <w:r w:rsidRPr="000063FC">
              <w:rPr>
                <w:rFonts w:asciiTheme="minorHAnsi" w:hAnsiTheme="minorHAnsi" w:cs="Arial"/>
                <w:b/>
                <w:bCs/>
                <w:color w:val="FFFFFF"/>
                <w:sz w:val="20"/>
              </w:rPr>
              <w:t>951</w:t>
            </w:r>
          </w:p>
        </w:tc>
        <w:tc>
          <w:tcPr>
            <w:tcW w:w="1134" w:type="dxa"/>
            <w:tcBorders>
              <w:top w:val="single" w:sz="12" w:space="0" w:color="4BACC6"/>
              <w:left w:val="single" w:sz="6" w:space="0" w:color="FFFFFF"/>
              <w:bottom w:val="single" w:sz="12" w:space="0" w:color="4BACC6"/>
              <w:right w:val="single" w:sz="6" w:space="0" w:color="FFFFFF"/>
            </w:tcBorders>
            <w:shd w:val="clear" w:color="auto" w:fill="4BACC6"/>
            <w:noWrap/>
            <w:vAlign w:val="bottom"/>
          </w:tcPr>
          <w:p w:rsidR="00B23695" w:rsidRPr="000063FC" w:rsidRDefault="008B2E49">
            <w:pPr>
              <w:spacing w:line="276" w:lineRule="auto"/>
              <w:jc w:val="center"/>
              <w:rPr>
                <w:rFonts w:asciiTheme="minorHAnsi" w:hAnsiTheme="minorHAnsi" w:cs="Arial"/>
                <w:b/>
                <w:bCs/>
                <w:color w:val="FFFFFF"/>
                <w:sz w:val="20"/>
              </w:rPr>
            </w:pPr>
            <w:r w:rsidRPr="000063FC">
              <w:rPr>
                <w:rFonts w:asciiTheme="minorHAnsi" w:hAnsiTheme="minorHAnsi" w:cs="Arial"/>
                <w:b/>
                <w:bCs/>
                <w:color w:val="FFFFFF"/>
                <w:sz w:val="20"/>
              </w:rPr>
              <w:t>11629,2</w:t>
            </w:r>
          </w:p>
        </w:tc>
        <w:tc>
          <w:tcPr>
            <w:tcW w:w="876" w:type="dxa"/>
            <w:tcBorders>
              <w:top w:val="single" w:sz="12" w:space="0" w:color="4BACC6"/>
              <w:left w:val="single" w:sz="6" w:space="0" w:color="FFFFFF"/>
              <w:bottom w:val="single" w:sz="12" w:space="0" w:color="4BACC6"/>
              <w:right w:val="single" w:sz="6" w:space="0" w:color="FFFFFF"/>
            </w:tcBorders>
            <w:shd w:val="clear" w:color="auto" w:fill="4BACC6"/>
            <w:noWrap/>
            <w:vAlign w:val="bottom"/>
          </w:tcPr>
          <w:p w:rsidR="00B23695" w:rsidRPr="000063FC" w:rsidRDefault="008B2E49">
            <w:pPr>
              <w:spacing w:line="276" w:lineRule="auto"/>
              <w:jc w:val="center"/>
              <w:rPr>
                <w:rFonts w:asciiTheme="minorHAnsi" w:hAnsiTheme="minorHAnsi" w:cs="Arial"/>
                <w:b/>
                <w:bCs/>
                <w:color w:val="FFFFFF"/>
                <w:sz w:val="20"/>
              </w:rPr>
            </w:pPr>
            <w:r w:rsidRPr="000063FC">
              <w:rPr>
                <w:rFonts w:asciiTheme="minorHAnsi" w:hAnsiTheme="minorHAnsi" w:cs="Arial"/>
                <w:b/>
                <w:bCs/>
                <w:color w:val="FFFFFF"/>
                <w:sz w:val="20"/>
              </w:rPr>
              <w:t>36453,8</w:t>
            </w:r>
          </w:p>
        </w:tc>
        <w:tc>
          <w:tcPr>
            <w:tcW w:w="709" w:type="dxa"/>
            <w:tcBorders>
              <w:top w:val="single" w:sz="12" w:space="0" w:color="4BACC6"/>
              <w:left w:val="single" w:sz="6" w:space="0" w:color="FFFFFF"/>
              <w:bottom w:val="single" w:sz="12" w:space="0" w:color="4BACC6"/>
              <w:right w:val="single" w:sz="6" w:space="0" w:color="FFFFFF"/>
            </w:tcBorders>
            <w:shd w:val="clear" w:color="auto" w:fill="4BACC6"/>
            <w:noWrap/>
            <w:vAlign w:val="bottom"/>
          </w:tcPr>
          <w:p w:rsidR="00B23695" w:rsidRPr="000063FC" w:rsidRDefault="008B2E49">
            <w:pPr>
              <w:spacing w:line="276" w:lineRule="auto"/>
              <w:jc w:val="center"/>
              <w:rPr>
                <w:rFonts w:asciiTheme="minorHAnsi" w:hAnsiTheme="minorHAnsi" w:cs="Arial"/>
                <w:b/>
                <w:bCs/>
                <w:color w:val="FFFFFF"/>
                <w:sz w:val="20"/>
              </w:rPr>
            </w:pPr>
            <w:r w:rsidRPr="000063FC">
              <w:rPr>
                <w:rFonts w:asciiTheme="minorHAnsi" w:hAnsiTheme="minorHAnsi" w:cs="Arial"/>
                <w:b/>
                <w:bCs/>
                <w:color w:val="FFFFFF"/>
                <w:sz w:val="20"/>
              </w:rPr>
              <w:t>4,02</w:t>
            </w:r>
          </w:p>
        </w:tc>
        <w:tc>
          <w:tcPr>
            <w:tcW w:w="708" w:type="dxa"/>
            <w:tcBorders>
              <w:top w:val="single" w:sz="12" w:space="0" w:color="4BACC6"/>
              <w:left w:val="single" w:sz="6" w:space="0" w:color="FFFFFF"/>
              <w:bottom w:val="single" w:sz="12" w:space="0" w:color="4BACC6"/>
              <w:right w:val="single" w:sz="6" w:space="0" w:color="FFFFFF"/>
            </w:tcBorders>
            <w:shd w:val="clear" w:color="auto" w:fill="4BACC6"/>
            <w:noWrap/>
            <w:vAlign w:val="bottom"/>
          </w:tcPr>
          <w:p w:rsidR="00B23695" w:rsidRPr="000063FC" w:rsidRDefault="008B2E49">
            <w:pPr>
              <w:spacing w:line="276" w:lineRule="auto"/>
              <w:jc w:val="center"/>
              <w:rPr>
                <w:rFonts w:asciiTheme="minorHAnsi" w:hAnsiTheme="minorHAnsi" w:cs="Arial"/>
                <w:b/>
                <w:bCs/>
                <w:color w:val="FFFFFF"/>
                <w:sz w:val="20"/>
              </w:rPr>
            </w:pPr>
            <w:r w:rsidRPr="000063FC">
              <w:rPr>
                <w:rFonts w:asciiTheme="minorHAnsi" w:hAnsiTheme="minorHAnsi" w:cs="Arial"/>
                <w:b/>
                <w:bCs/>
                <w:color w:val="FFFFFF"/>
                <w:sz w:val="20"/>
              </w:rPr>
              <w:t>1,14</w:t>
            </w:r>
          </w:p>
        </w:tc>
        <w:tc>
          <w:tcPr>
            <w:tcW w:w="1134" w:type="dxa"/>
            <w:tcBorders>
              <w:top w:val="single" w:sz="12" w:space="0" w:color="4BACC6"/>
              <w:left w:val="single" w:sz="6" w:space="0" w:color="FFFFFF"/>
              <w:bottom w:val="single" w:sz="12" w:space="0" w:color="4BACC6"/>
              <w:right w:val="single" w:sz="12" w:space="0" w:color="4BACC6"/>
            </w:tcBorders>
            <w:shd w:val="clear" w:color="auto" w:fill="4BACC6"/>
            <w:noWrap/>
            <w:vAlign w:val="bottom"/>
          </w:tcPr>
          <w:p w:rsidR="00B23695" w:rsidRPr="000063FC" w:rsidRDefault="008B2E49">
            <w:pPr>
              <w:spacing w:line="276" w:lineRule="auto"/>
              <w:jc w:val="center"/>
              <w:rPr>
                <w:rFonts w:asciiTheme="minorHAnsi" w:hAnsiTheme="minorHAnsi" w:cs="Arial"/>
                <w:b/>
                <w:bCs/>
                <w:color w:val="FFFFFF"/>
                <w:sz w:val="20"/>
              </w:rPr>
            </w:pPr>
            <w:r w:rsidRPr="000063FC">
              <w:rPr>
                <w:rFonts w:asciiTheme="minorHAnsi" w:hAnsiTheme="minorHAnsi" w:cs="Arial"/>
                <w:b/>
                <w:bCs/>
                <w:color w:val="FFFFFF"/>
                <w:sz w:val="20"/>
              </w:rPr>
              <w:t>36890,4</w:t>
            </w:r>
          </w:p>
        </w:tc>
      </w:tr>
    </w:tbl>
    <w:p w:rsidR="00B23695" w:rsidRPr="000063FC" w:rsidRDefault="00B23695">
      <w:pPr>
        <w:spacing w:line="276" w:lineRule="auto"/>
        <w:rPr>
          <w:i/>
        </w:rPr>
      </w:pPr>
    </w:p>
    <w:p w:rsidR="00B23695" w:rsidRPr="000063FC" w:rsidRDefault="008B2E49">
      <w:pPr>
        <w:spacing w:line="276" w:lineRule="auto"/>
        <w:rPr>
          <w:szCs w:val="22"/>
        </w:rPr>
      </w:pPr>
      <w:r w:rsidRPr="000063FC">
        <w:rPr>
          <w:szCs w:val="22"/>
        </w:rPr>
        <w:t>Gradski autobusi kao gorivo koriste dizel i biodizel. U 2008. godini potrošnja dizela je iznosila 10.298,2</w:t>
      </w:r>
      <w:r w:rsidRPr="000063FC">
        <w:rPr>
          <w:rStyle w:val="FootnoteReference"/>
          <w:szCs w:val="22"/>
        </w:rPr>
        <w:footnoteReference w:id="22"/>
      </w:r>
      <w:r w:rsidR="00687D3F" w:rsidRPr="000063FC">
        <w:rPr>
          <w:szCs w:val="22"/>
        </w:rPr>
        <w:t xml:space="preserve"> t, a</w:t>
      </w:r>
      <w:r w:rsidRPr="000063FC">
        <w:rPr>
          <w:szCs w:val="22"/>
        </w:rPr>
        <w:t xml:space="preserve"> biodizela iznosila 265,82 t, što čini 2,2% ukupne potrošnje goriva toga sektora. </w:t>
      </w:r>
    </w:p>
    <w:p w:rsidR="00B23695" w:rsidRPr="000063FC" w:rsidRDefault="00B23695">
      <w:pPr>
        <w:spacing w:line="276" w:lineRule="auto"/>
        <w:rPr>
          <w:szCs w:val="22"/>
        </w:rPr>
      </w:pPr>
    </w:p>
    <w:p w:rsidR="00B23695" w:rsidRPr="000063FC" w:rsidRDefault="008B2E49">
      <w:pPr>
        <w:spacing w:line="276" w:lineRule="auto"/>
        <w:rPr>
          <w:szCs w:val="22"/>
        </w:rPr>
      </w:pPr>
      <w:r w:rsidRPr="000063FC">
        <w:rPr>
          <w:szCs w:val="22"/>
        </w:rPr>
        <w:t xml:space="preserve">Na slici </w:t>
      </w:r>
      <w:r w:rsidR="00243323" w:rsidRPr="000063FC">
        <w:rPr>
          <w:szCs w:val="22"/>
        </w:rPr>
        <w:t>2.6</w:t>
      </w:r>
      <w:r w:rsidR="00FE4DB7" w:rsidRPr="000063FC">
        <w:rPr>
          <w:szCs w:val="22"/>
        </w:rPr>
        <w:t xml:space="preserve"> prikazana je potrošnja</w:t>
      </w:r>
      <w:r w:rsidRPr="000063FC">
        <w:rPr>
          <w:szCs w:val="22"/>
        </w:rPr>
        <w:t xml:space="preserve"> goriva gradskih autobusa</w:t>
      </w:r>
      <w:r w:rsidR="00FE4DB7" w:rsidRPr="000063FC">
        <w:rPr>
          <w:szCs w:val="22"/>
        </w:rPr>
        <w:t xml:space="preserve"> u 2008. godini</w:t>
      </w:r>
      <w:r w:rsidRPr="000063FC">
        <w:rPr>
          <w:szCs w:val="22"/>
        </w:rPr>
        <w:t>. Emisija CO</w:t>
      </w:r>
      <w:r w:rsidRPr="000063FC">
        <w:rPr>
          <w:szCs w:val="22"/>
          <w:vertAlign w:val="subscript"/>
        </w:rPr>
        <w:t>2</w:t>
      </w:r>
      <w:r w:rsidRPr="000063FC">
        <w:rPr>
          <w:szCs w:val="22"/>
        </w:rPr>
        <w:t xml:space="preserve"> iz potrošnje biodizela se ne bilancira jer je to gorivo CO</w:t>
      </w:r>
      <w:r w:rsidRPr="000063FC">
        <w:rPr>
          <w:szCs w:val="22"/>
          <w:vertAlign w:val="subscript"/>
        </w:rPr>
        <w:t>2</w:t>
      </w:r>
      <w:r w:rsidRPr="000063FC">
        <w:rPr>
          <w:szCs w:val="22"/>
        </w:rPr>
        <w:t xml:space="preserve"> neutralno. Emisijski faktori</w:t>
      </w:r>
      <w:r w:rsidR="00687D3F" w:rsidRPr="000063FC">
        <w:rPr>
          <w:szCs w:val="22"/>
        </w:rPr>
        <w:t xml:space="preserve">, kao i emisije proračunati su </w:t>
      </w:r>
      <w:r w:rsidRPr="000063FC">
        <w:rPr>
          <w:szCs w:val="22"/>
        </w:rPr>
        <w:t xml:space="preserve">COPERT </w:t>
      </w:r>
      <w:r w:rsidR="00FE4DB7" w:rsidRPr="000063FC">
        <w:rPr>
          <w:szCs w:val="22"/>
        </w:rPr>
        <w:t xml:space="preserve">III </w:t>
      </w:r>
      <w:r w:rsidRPr="000063FC">
        <w:rPr>
          <w:szCs w:val="22"/>
        </w:rPr>
        <w:t>modelom.</w:t>
      </w:r>
    </w:p>
    <w:p w:rsidR="00B23695" w:rsidRPr="000063FC" w:rsidRDefault="00B23695">
      <w:pPr>
        <w:spacing w:line="276" w:lineRule="auto"/>
      </w:pPr>
    </w:p>
    <w:p w:rsidR="00B23695" w:rsidRPr="000063FC" w:rsidRDefault="004D587A">
      <w:pPr>
        <w:spacing w:line="276" w:lineRule="auto"/>
        <w:jc w:val="center"/>
      </w:pPr>
      <w:r w:rsidRPr="000063FC">
        <w:rPr>
          <w:noProof/>
          <w:lang w:eastAsia="hr-HR"/>
        </w:rPr>
        <w:drawing>
          <wp:inline distT="0" distB="0" distL="0" distR="0">
            <wp:extent cx="4429125" cy="2352675"/>
            <wp:effectExtent l="0" t="0" r="0" b="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C341E" w:rsidRPr="000063FC" w:rsidRDefault="00FE4DB7">
      <w:pPr>
        <w:pStyle w:val="Heading7"/>
      </w:pPr>
      <w:bookmarkStart w:id="151" w:name="_Toc251935565"/>
      <w:bookmarkStart w:id="152" w:name="_Toc254010289"/>
      <w:r w:rsidRPr="000063FC">
        <w:t>Slika 2.6: Potrošnja</w:t>
      </w:r>
      <w:r w:rsidR="007B0169" w:rsidRPr="000063FC">
        <w:t xml:space="preserve"> goriva gradskih autobusa</w:t>
      </w:r>
      <w:bookmarkEnd w:id="151"/>
      <w:bookmarkEnd w:id="152"/>
    </w:p>
    <w:p w:rsidR="0047546D" w:rsidRPr="000063FC" w:rsidRDefault="0047546D">
      <w:pPr>
        <w:tabs>
          <w:tab w:val="clear" w:pos="720"/>
          <w:tab w:val="clear" w:pos="6912"/>
        </w:tabs>
        <w:spacing w:line="240" w:lineRule="auto"/>
        <w:jc w:val="left"/>
      </w:pPr>
      <w:r w:rsidRPr="000063FC">
        <w:br w:type="page"/>
      </w:r>
    </w:p>
    <w:p w:rsidR="00B23695" w:rsidRPr="000063FC" w:rsidRDefault="008B2E49">
      <w:pPr>
        <w:spacing w:line="276" w:lineRule="auto"/>
        <w:rPr>
          <w:szCs w:val="22"/>
        </w:rPr>
      </w:pPr>
      <w:r w:rsidRPr="000063FC">
        <w:rPr>
          <w:szCs w:val="22"/>
        </w:rPr>
        <w:lastRenderedPageBreak/>
        <w:t>Udio potrošnje dizel</w:t>
      </w:r>
      <w:r w:rsidR="00687D3F" w:rsidRPr="000063FC">
        <w:rPr>
          <w:szCs w:val="22"/>
        </w:rPr>
        <w:t>skog goriva u gradskom prijevozu</w:t>
      </w:r>
      <w:r w:rsidRPr="000063FC">
        <w:rPr>
          <w:szCs w:val="22"/>
        </w:rPr>
        <w:t xml:space="preserve"> iznos</w:t>
      </w:r>
      <w:r w:rsidR="00687D3F" w:rsidRPr="000063FC">
        <w:rPr>
          <w:szCs w:val="22"/>
        </w:rPr>
        <w:t>i</w:t>
      </w:r>
      <w:r w:rsidRPr="000063FC">
        <w:rPr>
          <w:szCs w:val="22"/>
        </w:rPr>
        <w:t xml:space="preserve"> 89%</w:t>
      </w:r>
      <w:r w:rsidR="00243323" w:rsidRPr="000063FC">
        <w:rPr>
          <w:szCs w:val="22"/>
        </w:rPr>
        <w:t>.</w:t>
      </w:r>
      <w:r w:rsidRPr="000063FC">
        <w:rPr>
          <w:szCs w:val="22"/>
        </w:rPr>
        <w:t xml:space="preserve"> Općenito, ukupna potrošnja međugradskih autobusa je veća od one korištene u ovom proračunu, ali zbog potrebe da se odrede emisije samo na području Grada dio goriva koji se odnosi na izvangradsku vožnju je izostavljen iz proračuna. Kao što je već spomenuto podaci o ukupnom broju kilometara koje naprave međugradski autobusi su korigirani (a time je korigirana i potrošnja goriva) uz pretpostavku da svi spomenuti autobusi imaju polazište na Glavom Kolodvoru te da na p</w:t>
      </w:r>
      <w:r w:rsidR="00315435" w:rsidRPr="000063FC">
        <w:rPr>
          <w:szCs w:val="22"/>
        </w:rPr>
        <w:t xml:space="preserve">odručju Grada dnevno </w:t>
      </w:r>
      <w:r w:rsidR="00FE4DB7" w:rsidRPr="000063FC">
        <w:rPr>
          <w:szCs w:val="22"/>
        </w:rPr>
        <w:t xml:space="preserve">prijeđu </w:t>
      </w:r>
      <w:r w:rsidR="00315435" w:rsidRPr="000063FC">
        <w:rPr>
          <w:szCs w:val="22"/>
        </w:rPr>
        <w:t>oko</w:t>
      </w:r>
      <w:r w:rsidRPr="000063FC">
        <w:rPr>
          <w:szCs w:val="22"/>
        </w:rPr>
        <w:t xml:space="preserve"> 20 km. </w:t>
      </w:r>
    </w:p>
    <w:p w:rsidR="00B23695" w:rsidRPr="000063FC" w:rsidRDefault="00B23695">
      <w:pPr>
        <w:spacing w:line="276" w:lineRule="auto"/>
      </w:pPr>
    </w:p>
    <w:p w:rsidR="00B23695" w:rsidRPr="000063FC" w:rsidRDefault="004D587A">
      <w:pPr>
        <w:spacing w:line="276" w:lineRule="auto"/>
        <w:jc w:val="center"/>
      </w:pPr>
      <w:r w:rsidRPr="000063FC">
        <w:rPr>
          <w:noProof/>
          <w:lang w:eastAsia="hr-HR"/>
        </w:rPr>
        <w:drawing>
          <wp:inline distT="0" distB="0" distL="0" distR="0">
            <wp:extent cx="4210050" cy="2190750"/>
            <wp:effectExtent l="0" t="0" r="0" b="0"/>
            <wp:docPr id="1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C341E" w:rsidRPr="000063FC" w:rsidRDefault="007B0169">
      <w:pPr>
        <w:pStyle w:val="Heading7"/>
      </w:pPr>
      <w:bookmarkStart w:id="153" w:name="_Toc251935566"/>
      <w:bookmarkStart w:id="154" w:name="_Toc254010290"/>
      <w:r w:rsidRPr="000063FC">
        <w:t>Slika 2.7: Potrošnja dizelskog goriva kategorije autobusi</w:t>
      </w:r>
      <w:bookmarkEnd w:id="153"/>
      <w:bookmarkEnd w:id="154"/>
    </w:p>
    <w:p w:rsidR="00B23695" w:rsidRPr="000063FC" w:rsidRDefault="00B23695">
      <w:pPr>
        <w:spacing w:line="276" w:lineRule="auto"/>
      </w:pPr>
    </w:p>
    <w:p w:rsidR="00B23695" w:rsidRPr="000063FC" w:rsidRDefault="008B2E49" w:rsidP="00C20113">
      <w:pPr>
        <w:pStyle w:val="ListParagraph"/>
        <w:numPr>
          <w:ilvl w:val="0"/>
          <w:numId w:val="12"/>
        </w:numPr>
        <w:spacing w:after="0"/>
        <w:ind w:left="426" w:hanging="426"/>
        <w:jc w:val="both"/>
        <w:rPr>
          <w:b/>
        </w:rPr>
      </w:pPr>
      <w:r w:rsidRPr="000063FC">
        <w:rPr>
          <w:b/>
        </w:rPr>
        <w:t>Emisije</w:t>
      </w:r>
      <w:r w:rsidR="00315435" w:rsidRPr="000063FC">
        <w:rPr>
          <w:b/>
        </w:rPr>
        <w:t xml:space="preserve"> CO</w:t>
      </w:r>
      <w:r w:rsidR="00315435" w:rsidRPr="000063FC">
        <w:rPr>
          <w:b/>
          <w:vertAlign w:val="subscript"/>
        </w:rPr>
        <w:t>2</w:t>
      </w:r>
      <w:r w:rsidR="00315435" w:rsidRPr="000063FC">
        <w:rPr>
          <w:b/>
        </w:rPr>
        <w:t xml:space="preserve"> </w:t>
      </w:r>
      <w:r w:rsidRPr="000063FC">
        <w:rPr>
          <w:b/>
        </w:rPr>
        <w:t xml:space="preserve"> iz </w:t>
      </w:r>
      <w:r w:rsidR="00FE4DB7" w:rsidRPr="000063FC">
        <w:rPr>
          <w:b/>
        </w:rPr>
        <w:t>pot</w:t>
      </w:r>
      <w:r w:rsidRPr="000063FC">
        <w:rPr>
          <w:b/>
        </w:rPr>
        <w:t xml:space="preserve">kategorije vozila </w:t>
      </w:r>
      <w:r w:rsidR="00315435" w:rsidRPr="000063FC">
        <w:rPr>
          <w:b/>
        </w:rPr>
        <w:t xml:space="preserve">javnog prijevoza </w:t>
      </w:r>
      <w:r w:rsidRPr="000063FC">
        <w:rPr>
          <w:b/>
        </w:rPr>
        <w:t>na električni pogon</w:t>
      </w:r>
    </w:p>
    <w:p w:rsidR="00B23695" w:rsidRPr="000063FC" w:rsidRDefault="00B23695">
      <w:pPr>
        <w:spacing w:line="276" w:lineRule="auto"/>
      </w:pPr>
    </w:p>
    <w:p w:rsidR="00315435" w:rsidRPr="000063FC" w:rsidRDefault="00315435" w:rsidP="00315435">
      <w:pPr>
        <w:spacing w:line="240" w:lineRule="auto"/>
      </w:pPr>
      <w:r w:rsidRPr="000063FC">
        <w:t>Vozila javnog prijevoza na električni pogon (tramvaji, žičara i uspinjača) neizravno doprinose emisiji stakleničkih plinova. U tablici 2.19 prikazane su potrošnje električne energije i emisije CO</w:t>
      </w:r>
      <w:r w:rsidRPr="000063FC">
        <w:rPr>
          <w:vertAlign w:val="subscript"/>
        </w:rPr>
        <w:t>2</w:t>
      </w:r>
      <w:r w:rsidRPr="000063FC">
        <w:t xml:space="preserve"> vozila </w:t>
      </w:r>
      <w:r w:rsidR="00FE4DB7" w:rsidRPr="000063FC">
        <w:t xml:space="preserve">javnog prijevoza </w:t>
      </w:r>
      <w:r w:rsidRPr="000063FC">
        <w:t>na električni pogon za 2008. godinu.</w:t>
      </w:r>
    </w:p>
    <w:p w:rsidR="00B23695" w:rsidRPr="000063FC" w:rsidRDefault="00B23695">
      <w:pPr>
        <w:spacing w:line="276" w:lineRule="auto"/>
        <w:rPr>
          <w:i/>
        </w:rPr>
      </w:pPr>
    </w:p>
    <w:p w:rsidR="00BC341E" w:rsidRPr="000063FC" w:rsidRDefault="008B2E49" w:rsidP="00B33E2F">
      <w:pPr>
        <w:pStyle w:val="Heading6"/>
      </w:pPr>
      <w:bookmarkStart w:id="155" w:name="_Toc254010247"/>
      <w:r w:rsidRPr="000063FC">
        <w:t xml:space="preserve">Tablica </w:t>
      </w:r>
      <w:r w:rsidR="00091508" w:rsidRPr="000063FC">
        <w:t>2.19</w:t>
      </w:r>
      <w:r w:rsidRPr="000063FC">
        <w:t xml:space="preserve">: Emisija </w:t>
      </w:r>
      <w:r w:rsidR="00315435" w:rsidRPr="000063FC">
        <w:t>CO</w:t>
      </w:r>
      <w:r w:rsidR="00315435" w:rsidRPr="000063FC">
        <w:rPr>
          <w:vertAlign w:val="subscript"/>
        </w:rPr>
        <w:t>2</w:t>
      </w:r>
      <w:r w:rsidR="00315435" w:rsidRPr="000063FC">
        <w:t xml:space="preserve"> </w:t>
      </w:r>
      <w:r w:rsidRPr="000063FC">
        <w:t xml:space="preserve">vozila </w:t>
      </w:r>
      <w:r w:rsidR="00315435" w:rsidRPr="000063FC">
        <w:t xml:space="preserve">javnog prijevoza </w:t>
      </w:r>
      <w:r w:rsidRPr="000063FC">
        <w:t>na električni pogon</w:t>
      </w:r>
      <w:bookmarkEnd w:id="155"/>
    </w:p>
    <w:tbl>
      <w:tblPr>
        <w:tblW w:w="9077" w:type="dxa"/>
        <w:tblInd w:w="103"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000" w:firstRow="0" w:lastRow="0" w:firstColumn="0" w:lastColumn="0" w:noHBand="0" w:noVBand="0"/>
      </w:tblPr>
      <w:tblGrid>
        <w:gridCol w:w="3549"/>
        <w:gridCol w:w="2268"/>
        <w:gridCol w:w="1701"/>
        <w:gridCol w:w="1559"/>
      </w:tblGrid>
      <w:tr w:rsidR="008B2E49" w:rsidRPr="000063FC" w:rsidTr="004D587A">
        <w:trPr>
          <w:trHeight w:val="283"/>
        </w:trPr>
        <w:tc>
          <w:tcPr>
            <w:tcW w:w="3549" w:type="dxa"/>
            <w:vMerge w:val="restart"/>
            <w:tcBorders>
              <w:bottom w:val="single" w:sz="4" w:space="0" w:color="FFFFFF"/>
              <w:right w:val="single" w:sz="4" w:space="0" w:color="FFFFFF"/>
            </w:tcBorders>
            <w:shd w:val="clear" w:color="auto" w:fill="4BACC6"/>
            <w:noWrap/>
            <w:vAlign w:val="center"/>
          </w:tcPr>
          <w:p w:rsidR="00B23695" w:rsidRPr="000063FC" w:rsidRDefault="008B2E49">
            <w:pPr>
              <w:spacing w:line="276" w:lineRule="auto"/>
              <w:jc w:val="center"/>
              <w:rPr>
                <w:rFonts w:cs="Arial"/>
                <w:b/>
                <w:bCs/>
                <w:color w:val="FFFFFF"/>
                <w:sz w:val="20"/>
              </w:rPr>
            </w:pPr>
            <w:r w:rsidRPr="000063FC">
              <w:rPr>
                <w:rFonts w:cs="Arial"/>
                <w:b/>
                <w:bCs/>
                <w:color w:val="FFFFFF"/>
                <w:sz w:val="20"/>
              </w:rPr>
              <w:t>KATEGORIJA</w:t>
            </w:r>
          </w:p>
        </w:tc>
        <w:tc>
          <w:tcPr>
            <w:tcW w:w="2268" w:type="dxa"/>
            <w:tcBorders>
              <w:left w:val="single" w:sz="4" w:space="0" w:color="FFFFFF"/>
              <w:bottom w:val="single" w:sz="4" w:space="0" w:color="FFFFFF"/>
              <w:right w:val="single" w:sz="4" w:space="0" w:color="FFFFFF"/>
            </w:tcBorders>
            <w:shd w:val="clear" w:color="auto" w:fill="4BACC6"/>
            <w:vAlign w:val="center"/>
          </w:tcPr>
          <w:p w:rsidR="00B23695" w:rsidRPr="000063FC" w:rsidRDefault="008B2E49">
            <w:pPr>
              <w:spacing w:line="276" w:lineRule="auto"/>
              <w:jc w:val="center"/>
              <w:rPr>
                <w:rFonts w:cs="Arial"/>
                <w:b/>
                <w:bCs/>
                <w:color w:val="FFFFFF"/>
                <w:sz w:val="20"/>
              </w:rPr>
            </w:pPr>
            <w:r w:rsidRPr="000063FC">
              <w:rPr>
                <w:rFonts w:cs="Arial"/>
                <w:b/>
                <w:bCs/>
                <w:color w:val="FFFFFF"/>
                <w:sz w:val="20"/>
              </w:rPr>
              <w:t>ELEKTRIČNA ENERGIJA</w:t>
            </w:r>
          </w:p>
        </w:tc>
        <w:tc>
          <w:tcPr>
            <w:tcW w:w="1701" w:type="dxa"/>
            <w:tcBorders>
              <w:left w:val="single" w:sz="4" w:space="0" w:color="FFFFFF"/>
              <w:bottom w:val="single" w:sz="4" w:space="0" w:color="FFFFFF"/>
              <w:right w:val="single" w:sz="4" w:space="0" w:color="FFFFFF"/>
            </w:tcBorders>
            <w:shd w:val="clear" w:color="auto" w:fill="4BACC6"/>
            <w:vAlign w:val="center"/>
          </w:tcPr>
          <w:p w:rsidR="00B23695" w:rsidRPr="000063FC" w:rsidRDefault="008B2E49">
            <w:pPr>
              <w:spacing w:line="276" w:lineRule="auto"/>
              <w:jc w:val="center"/>
              <w:rPr>
                <w:rFonts w:cs="Arial"/>
                <w:b/>
                <w:bCs/>
                <w:color w:val="FFFFFF"/>
                <w:sz w:val="20"/>
              </w:rPr>
            </w:pPr>
            <w:r w:rsidRPr="000063FC">
              <w:rPr>
                <w:rFonts w:cs="Arial"/>
                <w:b/>
                <w:bCs/>
                <w:color w:val="FFFFFF"/>
                <w:sz w:val="20"/>
              </w:rPr>
              <w:t>Emisijski faktor</w:t>
            </w:r>
          </w:p>
        </w:tc>
        <w:tc>
          <w:tcPr>
            <w:tcW w:w="1559" w:type="dxa"/>
            <w:tcBorders>
              <w:left w:val="single" w:sz="4" w:space="0" w:color="FFFFFF"/>
              <w:bottom w:val="single" w:sz="4" w:space="0" w:color="FFFFFF"/>
            </w:tcBorders>
            <w:shd w:val="clear" w:color="auto" w:fill="4BACC6"/>
            <w:vAlign w:val="center"/>
          </w:tcPr>
          <w:p w:rsidR="00B23695" w:rsidRPr="000063FC" w:rsidRDefault="00032C5D">
            <w:pPr>
              <w:spacing w:line="276" w:lineRule="auto"/>
              <w:jc w:val="center"/>
              <w:rPr>
                <w:rFonts w:cs="Arial"/>
                <w:b/>
                <w:bCs/>
                <w:color w:val="FFFFFF"/>
                <w:sz w:val="20"/>
              </w:rPr>
            </w:pPr>
            <w:r w:rsidRPr="000063FC">
              <w:rPr>
                <w:rFonts w:cs="Arial"/>
                <w:b/>
                <w:bCs/>
                <w:color w:val="FFFFFF"/>
                <w:sz w:val="20"/>
              </w:rPr>
              <w:t>N</w:t>
            </w:r>
            <w:r w:rsidR="008B2E49" w:rsidRPr="000063FC">
              <w:rPr>
                <w:rFonts w:cs="Arial"/>
                <w:b/>
                <w:bCs/>
                <w:color w:val="FFFFFF"/>
                <w:sz w:val="20"/>
              </w:rPr>
              <w:t>eizravna emisija CO</w:t>
            </w:r>
            <w:r w:rsidR="008B2E49" w:rsidRPr="000063FC">
              <w:rPr>
                <w:rFonts w:cs="Arial"/>
                <w:b/>
                <w:bCs/>
                <w:color w:val="FFFFFF"/>
                <w:sz w:val="20"/>
                <w:vertAlign w:val="subscript"/>
              </w:rPr>
              <w:t>2</w:t>
            </w:r>
          </w:p>
        </w:tc>
      </w:tr>
      <w:tr w:rsidR="008B2E49" w:rsidRPr="000063FC" w:rsidTr="004D587A">
        <w:trPr>
          <w:trHeight w:val="283"/>
        </w:trPr>
        <w:tc>
          <w:tcPr>
            <w:tcW w:w="3549" w:type="dxa"/>
            <w:vMerge/>
            <w:tcBorders>
              <w:top w:val="single" w:sz="4" w:space="0" w:color="FFFFFF"/>
              <w:right w:val="single" w:sz="4" w:space="0" w:color="FFFFFF"/>
            </w:tcBorders>
            <w:shd w:val="clear" w:color="auto" w:fill="4BACC6"/>
            <w:vAlign w:val="center"/>
          </w:tcPr>
          <w:p w:rsidR="00B23695" w:rsidRPr="000063FC" w:rsidRDefault="00B23695">
            <w:pPr>
              <w:spacing w:line="276" w:lineRule="auto"/>
              <w:rPr>
                <w:rFonts w:cs="Arial"/>
                <w:b/>
                <w:bCs/>
                <w:color w:val="FFFFFF"/>
                <w:sz w:val="20"/>
              </w:rPr>
            </w:pPr>
          </w:p>
        </w:tc>
        <w:tc>
          <w:tcPr>
            <w:tcW w:w="2268" w:type="dxa"/>
            <w:tcBorders>
              <w:top w:val="single" w:sz="4" w:space="0" w:color="FFFFFF"/>
              <w:left w:val="single" w:sz="4" w:space="0" w:color="FFFFFF"/>
              <w:right w:val="single" w:sz="4" w:space="0" w:color="FFFFFF"/>
            </w:tcBorders>
            <w:shd w:val="clear" w:color="auto" w:fill="4BACC6"/>
            <w:noWrap/>
            <w:vAlign w:val="bottom"/>
          </w:tcPr>
          <w:p w:rsidR="00B23695" w:rsidRPr="000063FC" w:rsidRDefault="008B2E49">
            <w:pPr>
              <w:spacing w:line="276" w:lineRule="auto"/>
              <w:jc w:val="center"/>
              <w:rPr>
                <w:rFonts w:cs="Arial"/>
                <w:b/>
                <w:bCs/>
                <w:color w:val="FFFFFF"/>
                <w:sz w:val="20"/>
              </w:rPr>
            </w:pPr>
            <w:r w:rsidRPr="000063FC">
              <w:rPr>
                <w:rFonts w:cs="Arial"/>
                <w:b/>
                <w:bCs/>
                <w:color w:val="FFFFFF"/>
                <w:sz w:val="20"/>
              </w:rPr>
              <w:t>kWh</w:t>
            </w:r>
          </w:p>
        </w:tc>
        <w:tc>
          <w:tcPr>
            <w:tcW w:w="1701" w:type="dxa"/>
            <w:tcBorders>
              <w:top w:val="single" w:sz="4" w:space="0" w:color="FFFFFF"/>
              <w:left w:val="single" w:sz="4" w:space="0" w:color="FFFFFF"/>
              <w:right w:val="single" w:sz="4" w:space="0" w:color="FFFFFF"/>
            </w:tcBorders>
            <w:shd w:val="clear" w:color="auto" w:fill="4BACC6"/>
            <w:noWrap/>
            <w:vAlign w:val="bottom"/>
          </w:tcPr>
          <w:p w:rsidR="00B23695" w:rsidRPr="000063FC" w:rsidRDefault="008B2E49">
            <w:pPr>
              <w:spacing w:line="276" w:lineRule="auto"/>
              <w:jc w:val="center"/>
              <w:rPr>
                <w:rFonts w:cs="Arial"/>
                <w:b/>
                <w:bCs/>
                <w:color w:val="FFFFFF"/>
                <w:sz w:val="20"/>
              </w:rPr>
            </w:pPr>
            <w:r w:rsidRPr="000063FC">
              <w:rPr>
                <w:rFonts w:cs="Arial"/>
                <w:b/>
                <w:bCs/>
                <w:color w:val="FFFFFF"/>
                <w:sz w:val="20"/>
              </w:rPr>
              <w:t>gCO</w:t>
            </w:r>
            <w:r w:rsidRPr="000063FC">
              <w:rPr>
                <w:rFonts w:cs="Arial"/>
                <w:b/>
                <w:bCs/>
                <w:color w:val="FFFFFF"/>
                <w:sz w:val="20"/>
                <w:vertAlign w:val="subscript"/>
              </w:rPr>
              <w:t>2</w:t>
            </w:r>
            <w:r w:rsidRPr="000063FC">
              <w:rPr>
                <w:rFonts w:cs="Arial"/>
                <w:b/>
                <w:bCs/>
                <w:color w:val="FFFFFF"/>
                <w:sz w:val="20"/>
              </w:rPr>
              <w:t>/kWh</w:t>
            </w:r>
          </w:p>
        </w:tc>
        <w:tc>
          <w:tcPr>
            <w:tcW w:w="1559" w:type="dxa"/>
            <w:tcBorders>
              <w:top w:val="single" w:sz="4" w:space="0" w:color="FFFFFF"/>
              <w:left w:val="single" w:sz="4" w:space="0" w:color="FFFFFF"/>
            </w:tcBorders>
            <w:shd w:val="clear" w:color="auto" w:fill="4BACC6"/>
            <w:noWrap/>
            <w:vAlign w:val="bottom"/>
          </w:tcPr>
          <w:p w:rsidR="00B23695" w:rsidRPr="000063FC" w:rsidRDefault="008B2E49">
            <w:pPr>
              <w:spacing w:line="276" w:lineRule="auto"/>
              <w:jc w:val="center"/>
              <w:rPr>
                <w:rFonts w:cs="Arial"/>
                <w:b/>
                <w:bCs/>
                <w:color w:val="FFFFFF"/>
                <w:sz w:val="20"/>
              </w:rPr>
            </w:pPr>
            <w:r w:rsidRPr="000063FC">
              <w:rPr>
                <w:rFonts w:cs="Arial"/>
                <w:b/>
                <w:bCs/>
                <w:color w:val="FFFFFF"/>
                <w:sz w:val="20"/>
              </w:rPr>
              <w:t>t CO</w:t>
            </w:r>
            <w:r w:rsidRPr="000063FC">
              <w:rPr>
                <w:rFonts w:cs="Arial"/>
                <w:b/>
                <w:bCs/>
                <w:color w:val="FFFFFF"/>
                <w:sz w:val="20"/>
                <w:vertAlign w:val="subscript"/>
              </w:rPr>
              <w:t>2</w:t>
            </w:r>
          </w:p>
        </w:tc>
      </w:tr>
      <w:tr w:rsidR="008B2E49" w:rsidRPr="000063FC" w:rsidTr="004D587A">
        <w:trPr>
          <w:trHeight w:val="283"/>
        </w:trPr>
        <w:tc>
          <w:tcPr>
            <w:tcW w:w="3549" w:type="dxa"/>
            <w:noWrap/>
            <w:vAlign w:val="bottom"/>
          </w:tcPr>
          <w:p w:rsidR="00B23695" w:rsidRPr="000063FC" w:rsidRDefault="008B2E49">
            <w:pPr>
              <w:spacing w:line="276" w:lineRule="auto"/>
              <w:rPr>
                <w:rFonts w:cs="Arial"/>
                <w:iCs/>
                <w:sz w:val="20"/>
              </w:rPr>
            </w:pPr>
            <w:r w:rsidRPr="000063FC">
              <w:rPr>
                <w:rFonts w:cs="Arial"/>
                <w:iCs/>
                <w:sz w:val="20"/>
              </w:rPr>
              <w:t xml:space="preserve">TRAMVAJI </w:t>
            </w:r>
          </w:p>
        </w:tc>
        <w:tc>
          <w:tcPr>
            <w:tcW w:w="2268" w:type="dxa"/>
            <w:noWrap/>
            <w:vAlign w:val="bottom"/>
          </w:tcPr>
          <w:p w:rsidR="00B23695" w:rsidRPr="000063FC" w:rsidRDefault="00315435">
            <w:pPr>
              <w:spacing w:line="276" w:lineRule="auto"/>
              <w:jc w:val="center"/>
              <w:rPr>
                <w:rFonts w:cs="Arial"/>
                <w:sz w:val="20"/>
              </w:rPr>
            </w:pPr>
            <w:r w:rsidRPr="000063FC">
              <w:rPr>
                <w:rFonts w:cs="Arial"/>
                <w:sz w:val="20"/>
              </w:rPr>
              <w:t xml:space="preserve">61 411 </w:t>
            </w:r>
            <w:r w:rsidR="008B2E49" w:rsidRPr="000063FC">
              <w:rPr>
                <w:rFonts w:cs="Arial"/>
                <w:sz w:val="20"/>
              </w:rPr>
              <w:t>060</w:t>
            </w:r>
          </w:p>
        </w:tc>
        <w:tc>
          <w:tcPr>
            <w:tcW w:w="1701" w:type="dxa"/>
            <w:noWrap/>
            <w:vAlign w:val="bottom"/>
          </w:tcPr>
          <w:p w:rsidR="00B23695" w:rsidRPr="000063FC" w:rsidRDefault="008B2E49">
            <w:pPr>
              <w:spacing w:line="276" w:lineRule="auto"/>
              <w:jc w:val="center"/>
              <w:rPr>
                <w:rFonts w:cs="Arial"/>
                <w:color w:val="000000"/>
                <w:sz w:val="20"/>
              </w:rPr>
            </w:pPr>
            <w:r w:rsidRPr="000063FC">
              <w:rPr>
                <w:rFonts w:cs="Arial"/>
                <w:color w:val="000000"/>
                <w:sz w:val="20"/>
              </w:rPr>
              <w:t>323</w:t>
            </w:r>
          </w:p>
        </w:tc>
        <w:tc>
          <w:tcPr>
            <w:tcW w:w="1559" w:type="dxa"/>
            <w:noWrap/>
            <w:vAlign w:val="bottom"/>
          </w:tcPr>
          <w:p w:rsidR="00B23695" w:rsidRPr="000063FC" w:rsidRDefault="00315435">
            <w:pPr>
              <w:spacing w:line="276" w:lineRule="auto"/>
              <w:jc w:val="right"/>
              <w:rPr>
                <w:rFonts w:cs="Arial"/>
                <w:color w:val="000000"/>
                <w:sz w:val="20"/>
              </w:rPr>
            </w:pPr>
            <w:r w:rsidRPr="000063FC">
              <w:rPr>
                <w:rFonts w:cs="Arial"/>
                <w:color w:val="000000"/>
                <w:sz w:val="20"/>
              </w:rPr>
              <w:t xml:space="preserve">19 </w:t>
            </w:r>
            <w:r w:rsidR="008B2E49" w:rsidRPr="000063FC">
              <w:rPr>
                <w:rFonts w:cs="Arial"/>
                <w:color w:val="000000"/>
                <w:sz w:val="20"/>
              </w:rPr>
              <w:t>842,91</w:t>
            </w:r>
          </w:p>
        </w:tc>
      </w:tr>
      <w:tr w:rsidR="008B2E49" w:rsidRPr="000063FC" w:rsidTr="004D587A">
        <w:trPr>
          <w:trHeight w:val="283"/>
        </w:trPr>
        <w:tc>
          <w:tcPr>
            <w:tcW w:w="3549" w:type="dxa"/>
            <w:noWrap/>
            <w:vAlign w:val="bottom"/>
          </w:tcPr>
          <w:p w:rsidR="00B23695" w:rsidRPr="000063FC" w:rsidRDefault="00315435">
            <w:pPr>
              <w:spacing w:line="276" w:lineRule="auto"/>
              <w:rPr>
                <w:rFonts w:cs="Arial"/>
                <w:iCs/>
                <w:sz w:val="20"/>
              </w:rPr>
            </w:pPr>
            <w:r w:rsidRPr="000063FC">
              <w:rPr>
                <w:rFonts w:cs="Arial"/>
                <w:iCs/>
                <w:sz w:val="20"/>
              </w:rPr>
              <w:t xml:space="preserve"> </w:t>
            </w:r>
            <w:r w:rsidR="008B2E49" w:rsidRPr="000063FC">
              <w:rPr>
                <w:rFonts w:cs="Arial"/>
                <w:iCs/>
                <w:sz w:val="20"/>
              </w:rPr>
              <w:t>ŽIČARA</w:t>
            </w:r>
          </w:p>
        </w:tc>
        <w:tc>
          <w:tcPr>
            <w:tcW w:w="2268" w:type="dxa"/>
            <w:noWrap/>
            <w:vAlign w:val="bottom"/>
          </w:tcPr>
          <w:p w:rsidR="00B23695" w:rsidRPr="000063FC" w:rsidRDefault="00315435">
            <w:pPr>
              <w:spacing w:line="276" w:lineRule="auto"/>
              <w:jc w:val="center"/>
              <w:rPr>
                <w:rFonts w:cs="Arial"/>
                <w:sz w:val="20"/>
              </w:rPr>
            </w:pPr>
            <w:r w:rsidRPr="000063FC">
              <w:rPr>
                <w:rFonts w:cs="Arial"/>
                <w:sz w:val="20"/>
              </w:rPr>
              <w:t xml:space="preserve">52 </w:t>
            </w:r>
            <w:r w:rsidR="008B2E49" w:rsidRPr="000063FC">
              <w:rPr>
                <w:rFonts w:cs="Arial"/>
                <w:sz w:val="20"/>
              </w:rPr>
              <w:t>942</w:t>
            </w:r>
          </w:p>
        </w:tc>
        <w:tc>
          <w:tcPr>
            <w:tcW w:w="1701" w:type="dxa"/>
            <w:noWrap/>
            <w:vAlign w:val="bottom"/>
          </w:tcPr>
          <w:p w:rsidR="00B23695" w:rsidRPr="000063FC" w:rsidRDefault="008B2E49">
            <w:pPr>
              <w:spacing w:line="276" w:lineRule="auto"/>
              <w:jc w:val="center"/>
              <w:rPr>
                <w:rFonts w:cs="Arial"/>
                <w:color w:val="000000"/>
                <w:sz w:val="20"/>
              </w:rPr>
            </w:pPr>
            <w:r w:rsidRPr="000063FC">
              <w:rPr>
                <w:rFonts w:cs="Arial"/>
                <w:color w:val="000000"/>
                <w:sz w:val="20"/>
              </w:rPr>
              <w:t>323</w:t>
            </w:r>
          </w:p>
        </w:tc>
        <w:tc>
          <w:tcPr>
            <w:tcW w:w="1559" w:type="dxa"/>
            <w:noWrap/>
            <w:vAlign w:val="bottom"/>
          </w:tcPr>
          <w:p w:rsidR="00B23695" w:rsidRPr="000063FC" w:rsidRDefault="008B2E49">
            <w:pPr>
              <w:spacing w:line="276" w:lineRule="auto"/>
              <w:jc w:val="right"/>
              <w:rPr>
                <w:rFonts w:cs="Arial"/>
                <w:color w:val="000000"/>
                <w:sz w:val="20"/>
              </w:rPr>
            </w:pPr>
            <w:r w:rsidRPr="000063FC">
              <w:rPr>
                <w:rFonts w:cs="Arial"/>
                <w:color w:val="000000"/>
                <w:sz w:val="20"/>
              </w:rPr>
              <w:t>17,11</w:t>
            </w:r>
          </w:p>
        </w:tc>
      </w:tr>
      <w:tr w:rsidR="008B2E49" w:rsidRPr="000063FC" w:rsidTr="004D587A">
        <w:trPr>
          <w:trHeight w:val="283"/>
        </w:trPr>
        <w:tc>
          <w:tcPr>
            <w:tcW w:w="3549" w:type="dxa"/>
            <w:noWrap/>
            <w:vAlign w:val="bottom"/>
          </w:tcPr>
          <w:p w:rsidR="00B23695" w:rsidRPr="000063FC" w:rsidRDefault="00315435">
            <w:pPr>
              <w:spacing w:line="276" w:lineRule="auto"/>
              <w:rPr>
                <w:rFonts w:cs="Arial"/>
                <w:iCs/>
                <w:sz w:val="20"/>
              </w:rPr>
            </w:pPr>
            <w:r w:rsidRPr="000063FC">
              <w:rPr>
                <w:rFonts w:cs="Arial"/>
                <w:iCs/>
                <w:sz w:val="20"/>
              </w:rPr>
              <w:t xml:space="preserve"> </w:t>
            </w:r>
            <w:r w:rsidR="008B2E49" w:rsidRPr="000063FC">
              <w:rPr>
                <w:rFonts w:cs="Arial"/>
                <w:iCs/>
                <w:sz w:val="20"/>
              </w:rPr>
              <w:t>USPINJAČA</w:t>
            </w:r>
          </w:p>
        </w:tc>
        <w:tc>
          <w:tcPr>
            <w:tcW w:w="2268" w:type="dxa"/>
            <w:noWrap/>
            <w:vAlign w:val="bottom"/>
          </w:tcPr>
          <w:p w:rsidR="00B23695" w:rsidRPr="000063FC" w:rsidRDefault="00315435">
            <w:pPr>
              <w:spacing w:line="276" w:lineRule="auto"/>
              <w:jc w:val="center"/>
              <w:rPr>
                <w:rFonts w:cs="Arial"/>
                <w:sz w:val="20"/>
              </w:rPr>
            </w:pPr>
            <w:r w:rsidRPr="000063FC">
              <w:rPr>
                <w:rFonts w:cs="Arial"/>
                <w:sz w:val="20"/>
              </w:rPr>
              <w:t xml:space="preserve">21 </w:t>
            </w:r>
            <w:r w:rsidR="008B2E49" w:rsidRPr="000063FC">
              <w:rPr>
                <w:rFonts w:cs="Arial"/>
                <w:sz w:val="20"/>
              </w:rPr>
              <w:t>926</w:t>
            </w:r>
          </w:p>
        </w:tc>
        <w:tc>
          <w:tcPr>
            <w:tcW w:w="1701" w:type="dxa"/>
            <w:noWrap/>
            <w:vAlign w:val="bottom"/>
          </w:tcPr>
          <w:p w:rsidR="00B23695" w:rsidRPr="000063FC" w:rsidRDefault="008B2E49">
            <w:pPr>
              <w:spacing w:line="276" w:lineRule="auto"/>
              <w:jc w:val="center"/>
              <w:rPr>
                <w:rFonts w:cs="Arial"/>
                <w:color w:val="000000"/>
                <w:sz w:val="20"/>
              </w:rPr>
            </w:pPr>
            <w:r w:rsidRPr="000063FC">
              <w:rPr>
                <w:rFonts w:cs="Arial"/>
                <w:color w:val="000000"/>
                <w:sz w:val="20"/>
              </w:rPr>
              <w:t>323</w:t>
            </w:r>
          </w:p>
        </w:tc>
        <w:tc>
          <w:tcPr>
            <w:tcW w:w="1559" w:type="dxa"/>
            <w:noWrap/>
            <w:vAlign w:val="bottom"/>
          </w:tcPr>
          <w:p w:rsidR="00B23695" w:rsidRPr="000063FC" w:rsidRDefault="008B2E49">
            <w:pPr>
              <w:spacing w:line="276" w:lineRule="auto"/>
              <w:jc w:val="right"/>
              <w:rPr>
                <w:rFonts w:cs="Arial"/>
                <w:color w:val="000000"/>
                <w:sz w:val="20"/>
              </w:rPr>
            </w:pPr>
            <w:r w:rsidRPr="000063FC">
              <w:rPr>
                <w:rFonts w:cs="Arial"/>
                <w:color w:val="000000"/>
                <w:sz w:val="20"/>
              </w:rPr>
              <w:t>7,08</w:t>
            </w:r>
          </w:p>
        </w:tc>
      </w:tr>
      <w:tr w:rsidR="008B2E49" w:rsidRPr="000063FC" w:rsidTr="004D587A">
        <w:trPr>
          <w:trHeight w:val="283"/>
        </w:trPr>
        <w:tc>
          <w:tcPr>
            <w:tcW w:w="3549" w:type="dxa"/>
            <w:shd w:val="clear" w:color="auto" w:fill="DAEEF3"/>
            <w:noWrap/>
            <w:vAlign w:val="center"/>
          </w:tcPr>
          <w:p w:rsidR="00B23695" w:rsidRPr="000063FC" w:rsidRDefault="008B2E49">
            <w:pPr>
              <w:spacing w:line="276" w:lineRule="auto"/>
              <w:jc w:val="center"/>
              <w:rPr>
                <w:rFonts w:cs="Arial"/>
                <w:b/>
                <w:bCs/>
                <w:sz w:val="20"/>
              </w:rPr>
            </w:pPr>
            <w:r w:rsidRPr="000063FC">
              <w:rPr>
                <w:rFonts w:cs="Arial"/>
                <w:b/>
                <w:bCs/>
                <w:sz w:val="20"/>
              </w:rPr>
              <w:t>UKUPNO</w:t>
            </w:r>
          </w:p>
        </w:tc>
        <w:tc>
          <w:tcPr>
            <w:tcW w:w="2268" w:type="dxa"/>
            <w:shd w:val="clear" w:color="auto" w:fill="DAEEF3"/>
            <w:noWrap/>
            <w:vAlign w:val="center"/>
          </w:tcPr>
          <w:p w:rsidR="00B23695" w:rsidRPr="000063FC" w:rsidRDefault="00315435">
            <w:pPr>
              <w:spacing w:line="276" w:lineRule="auto"/>
              <w:jc w:val="center"/>
              <w:rPr>
                <w:rFonts w:cs="Arial"/>
                <w:b/>
                <w:bCs/>
                <w:sz w:val="20"/>
              </w:rPr>
            </w:pPr>
            <w:r w:rsidRPr="000063FC">
              <w:rPr>
                <w:rFonts w:cs="Arial"/>
                <w:b/>
                <w:bCs/>
                <w:sz w:val="20"/>
              </w:rPr>
              <w:t xml:space="preserve">61 485 </w:t>
            </w:r>
            <w:r w:rsidR="008B2E49" w:rsidRPr="000063FC">
              <w:rPr>
                <w:rFonts w:cs="Arial"/>
                <w:b/>
                <w:bCs/>
                <w:sz w:val="20"/>
              </w:rPr>
              <w:t>928</w:t>
            </w:r>
          </w:p>
        </w:tc>
        <w:tc>
          <w:tcPr>
            <w:tcW w:w="1701" w:type="dxa"/>
            <w:shd w:val="clear" w:color="auto" w:fill="DAEEF3"/>
            <w:noWrap/>
            <w:vAlign w:val="center"/>
          </w:tcPr>
          <w:p w:rsidR="00B23695" w:rsidRPr="000063FC" w:rsidRDefault="008B2E49">
            <w:pPr>
              <w:spacing w:line="276" w:lineRule="auto"/>
              <w:jc w:val="center"/>
              <w:rPr>
                <w:rFonts w:cs="Arial"/>
                <w:b/>
                <w:color w:val="000000"/>
                <w:sz w:val="20"/>
              </w:rPr>
            </w:pPr>
            <w:r w:rsidRPr="000063FC">
              <w:rPr>
                <w:rFonts w:cs="Arial"/>
                <w:b/>
                <w:color w:val="000000"/>
                <w:sz w:val="20"/>
              </w:rPr>
              <w:t>323</w:t>
            </w:r>
          </w:p>
        </w:tc>
        <w:tc>
          <w:tcPr>
            <w:tcW w:w="1559" w:type="dxa"/>
            <w:shd w:val="clear" w:color="auto" w:fill="DAEEF3"/>
            <w:noWrap/>
            <w:vAlign w:val="center"/>
          </w:tcPr>
          <w:p w:rsidR="00B23695" w:rsidRPr="000063FC" w:rsidRDefault="00315435" w:rsidP="00315435">
            <w:pPr>
              <w:spacing w:line="276" w:lineRule="auto"/>
              <w:jc w:val="right"/>
              <w:rPr>
                <w:rFonts w:cs="Arial"/>
                <w:b/>
                <w:color w:val="000000"/>
                <w:sz w:val="20"/>
              </w:rPr>
            </w:pPr>
            <w:r w:rsidRPr="000063FC">
              <w:rPr>
                <w:rFonts w:cs="Arial"/>
                <w:b/>
                <w:color w:val="000000"/>
                <w:sz w:val="20"/>
              </w:rPr>
              <w:t xml:space="preserve">19 </w:t>
            </w:r>
            <w:r w:rsidR="008B2E49" w:rsidRPr="000063FC">
              <w:rPr>
                <w:rFonts w:cs="Arial"/>
                <w:b/>
                <w:color w:val="000000"/>
                <w:sz w:val="20"/>
              </w:rPr>
              <w:t>867,10</w:t>
            </w:r>
          </w:p>
        </w:tc>
      </w:tr>
    </w:tbl>
    <w:p w:rsidR="0047546D" w:rsidRPr="000063FC" w:rsidRDefault="0047546D">
      <w:pPr>
        <w:spacing w:line="276" w:lineRule="auto"/>
      </w:pPr>
    </w:p>
    <w:p w:rsidR="00FE4DB7" w:rsidRPr="000063FC" w:rsidRDefault="00FE4DB7" w:rsidP="00FE4DB7">
      <w:pPr>
        <w:pStyle w:val="ListParagraph"/>
        <w:numPr>
          <w:ilvl w:val="0"/>
          <w:numId w:val="12"/>
        </w:numPr>
        <w:spacing w:after="0" w:line="240" w:lineRule="auto"/>
        <w:ind w:left="426" w:hanging="426"/>
        <w:jc w:val="both"/>
      </w:pPr>
      <w:r w:rsidRPr="000063FC">
        <w:rPr>
          <w:b/>
        </w:rPr>
        <w:t>Ukupne emisije CO</w:t>
      </w:r>
      <w:r w:rsidRPr="000063FC">
        <w:rPr>
          <w:b/>
          <w:vertAlign w:val="subscript"/>
        </w:rPr>
        <w:t>2</w:t>
      </w:r>
      <w:r w:rsidRPr="000063FC">
        <w:rPr>
          <w:b/>
        </w:rPr>
        <w:t xml:space="preserve">  iz podsektora javnog prijevoza</w:t>
      </w:r>
      <w:r w:rsidR="009758DE" w:rsidRPr="000063FC">
        <w:rPr>
          <w:b/>
        </w:rPr>
        <w:t xml:space="preserve"> Grada Zagreba</w:t>
      </w:r>
    </w:p>
    <w:p w:rsidR="00FE4DB7" w:rsidRPr="000063FC" w:rsidRDefault="00FE4DB7" w:rsidP="00FE4DB7">
      <w:pPr>
        <w:pStyle w:val="ListParagraph"/>
        <w:spacing w:after="0" w:line="240" w:lineRule="auto"/>
        <w:ind w:left="426"/>
        <w:jc w:val="both"/>
      </w:pPr>
    </w:p>
    <w:p w:rsidR="00FE4DB7" w:rsidRPr="000063FC" w:rsidRDefault="00FE4DB7" w:rsidP="00FE4DB7">
      <w:pPr>
        <w:spacing w:line="240" w:lineRule="auto"/>
      </w:pPr>
      <w:r w:rsidRPr="000063FC">
        <w:t>U tablici 2.20 dane su potrošnje energije te pripadajuće emisije i ekvivalenti emisija CO</w:t>
      </w:r>
      <w:r w:rsidRPr="000063FC">
        <w:rPr>
          <w:vertAlign w:val="subscript"/>
        </w:rPr>
        <w:t>2</w:t>
      </w:r>
      <w:r w:rsidRPr="000063FC">
        <w:t xml:space="preserve"> za autobusni i tračni prijevoz Grada Zagreba.</w:t>
      </w:r>
    </w:p>
    <w:p w:rsidR="00772AF0" w:rsidRPr="000063FC" w:rsidRDefault="00772AF0">
      <w:pPr>
        <w:tabs>
          <w:tab w:val="clear" w:pos="720"/>
          <w:tab w:val="clear" w:pos="6912"/>
        </w:tabs>
        <w:spacing w:line="240" w:lineRule="auto"/>
        <w:jc w:val="left"/>
        <w:rPr>
          <w:i/>
          <w:szCs w:val="22"/>
        </w:rPr>
      </w:pPr>
      <w:bookmarkStart w:id="156" w:name="_Toc251924022"/>
      <w:r w:rsidRPr="000063FC">
        <w:rPr>
          <w:szCs w:val="22"/>
        </w:rPr>
        <w:br w:type="page"/>
      </w:r>
    </w:p>
    <w:p w:rsidR="00FE4DB7" w:rsidRPr="000063FC" w:rsidRDefault="009758DE" w:rsidP="00772AF0">
      <w:pPr>
        <w:pStyle w:val="Heading8"/>
        <w:numPr>
          <w:ilvl w:val="0"/>
          <w:numId w:val="0"/>
        </w:numPr>
        <w:ind w:left="1276" w:hanging="1276"/>
        <w:rPr>
          <w:rFonts w:ascii="Calibri" w:hAnsi="Calibri"/>
          <w:sz w:val="22"/>
          <w:szCs w:val="22"/>
        </w:rPr>
      </w:pPr>
      <w:r w:rsidRPr="000063FC">
        <w:rPr>
          <w:rFonts w:ascii="Calibri" w:hAnsi="Calibri"/>
          <w:sz w:val="22"/>
          <w:szCs w:val="22"/>
        </w:rPr>
        <w:lastRenderedPageBreak/>
        <w:t>Tablica 2.20</w:t>
      </w:r>
      <w:r w:rsidR="00FE4DB7" w:rsidRPr="000063FC">
        <w:rPr>
          <w:rFonts w:ascii="Calibri" w:hAnsi="Calibri"/>
          <w:sz w:val="22"/>
          <w:szCs w:val="22"/>
        </w:rPr>
        <w:t>: Potrošnje energije te pripadajuće emisije i ekvivalenti emisija CO</w:t>
      </w:r>
      <w:r w:rsidR="00FE4DB7" w:rsidRPr="000063FC">
        <w:rPr>
          <w:rFonts w:ascii="Calibri" w:hAnsi="Calibri"/>
          <w:sz w:val="22"/>
          <w:szCs w:val="22"/>
          <w:vertAlign w:val="subscript"/>
        </w:rPr>
        <w:t>2</w:t>
      </w:r>
      <w:r w:rsidR="00FE4DB7" w:rsidRPr="000063FC">
        <w:rPr>
          <w:rFonts w:ascii="Calibri" w:hAnsi="Calibri"/>
          <w:sz w:val="22"/>
          <w:szCs w:val="22"/>
        </w:rPr>
        <w:t xml:space="preserve"> za autobusni i tračni </w:t>
      </w:r>
      <w:r w:rsidR="00772AF0" w:rsidRPr="000063FC">
        <w:rPr>
          <w:rFonts w:ascii="Calibri" w:hAnsi="Calibri"/>
          <w:sz w:val="22"/>
          <w:szCs w:val="22"/>
        </w:rPr>
        <w:t xml:space="preserve">  </w:t>
      </w:r>
      <w:r w:rsidR="00FE4DB7" w:rsidRPr="000063FC">
        <w:rPr>
          <w:rFonts w:ascii="Calibri" w:hAnsi="Calibri"/>
          <w:sz w:val="22"/>
          <w:szCs w:val="22"/>
        </w:rPr>
        <w:t>prijevoz Grada Zagreba</w:t>
      </w:r>
      <w:bookmarkEnd w:id="156"/>
    </w:p>
    <w:tbl>
      <w:tblPr>
        <w:tblW w:w="9077" w:type="dxa"/>
        <w:tblInd w:w="103"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3407"/>
        <w:gridCol w:w="2127"/>
        <w:gridCol w:w="1701"/>
        <w:gridCol w:w="1842"/>
      </w:tblGrid>
      <w:tr w:rsidR="00FE4DB7" w:rsidRPr="000063FC" w:rsidTr="001B28C0">
        <w:trPr>
          <w:trHeight w:val="227"/>
        </w:trPr>
        <w:tc>
          <w:tcPr>
            <w:tcW w:w="9077" w:type="dxa"/>
            <w:gridSpan w:val="4"/>
            <w:tcBorders>
              <w:top w:val="single" w:sz="4" w:space="0" w:color="FFFFFF" w:themeColor="background1"/>
              <w:bottom w:val="single" w:sz="4" w:space="0" w:color="FFFFFF" w:themeColor="background1"/>
            </w:tcBorders>
            <w:shd w:val="clear" w:color="auto" w:fill="4BACC6" w:themeFill="accent5"/>
            <w:noWrap/>
            <w:vAlign w:val="center"/>
            <w:hideMark/>
          </w:tcPr>
          <w:p w:rsidR="00FE4DB7" w:rsidRPr="000063FC" w:rsidRDefault="00FE4DB7" w:rsidP="00FE4DB7">
            <w:pPr>
              <w:spacing w:line="240" w:lineRule="auto"/>
              <w:jc w:val="center"/>
              <w:rPr>
                <w:rFonts w:cs="Arial"/>
                <w:b/>
                <w:bCs/>
                <w:color w:val="FFFFFF" w:themeColor="background1"/>
                <w:sz w:val="20"/>
                <w:lang w:eastAsia="hr-HR"/>
              </w:rPr>
            </w:pPr>
            <w:r w:rsidRPr="000063FC">
              <w:rPr>
                <w:rFonts w:cs="Arial"/>
                <w:b/>
                <w:bCs/>
                <w:color w:val="FFFFFF" w:themeColor="background1"/>
                <w:sz w:val="20"/>
                <w:lang w:eastAsia="hr-HR"/>
              </w:rPr>
              <w:t>JAVNI PRIJEVOZ U GRADU ZAGREBU</w:t>
            </w:r>
          </w:p>
        </w:tc>
      </w:tr>
      <w:tr w:rsidR="00FE4DB7" w:rsidRPr="000063FC" w:rsidTr="001B28C0">
        <w:trPr>
          <w:trHeight w:val="227"/>
        </w:trPr>
        <w:tc>
          <w:tcPr>
            <w:tcW w:w="3407" w:type="dxa"/>
            <w:tcBorders>
              <w:top w:val="single" w:sz="4" w:space="0" w:color="FFFFFF" w:themeColor="background1"/>
              <w:right w:val="single" w:sz="4" w:space="0" w:color="FFFFFF" w:themeColor="background1"/>
            </w:tcBorders>
            <w:shd w:val="clear" w:color="auto" w:fill="4BACC6" w:themeFill="accent5"/>
            <w:noWrap/>
            <w:vAlign w:val="center"/>
            <w:hideMark/>
          </w:tcPr>
          <w:p w:rsidR="00FE4DB7" w:rsidRPr="000063FC" w:rsidRDefault="00FE4DB7" w:rsidP="00FE4DB7">
            <w:pPr>
              <w:spacing w:line="240" w:lineRule="auto"/>
              <w:jc w:val="center"/>
              <w:rPr>
                <w:rFonts w:cs="Arial"/>
                <w:b/>
                <w:bCs/>
                <w:color w:val="FFFFFF" w:themeColor="background1"/>
                <w:sz w:val="20"/>
                <w:lang w:eastAsia="hr-HR"/>
              </w:rPr>
            </w:pPr>
            <w:r w:rsidRPr="000063FC">
              <w:rPr>
                <w:rFonts w:cs="Arial"/>
                <w:b/>
                <w:bCs/>
                <w:color w:val="FFFFFF" w:themeColor="background1"/>
                <w:sz w:val="20"/>
                <w:lang w:eastAsia="hr-HR"/>
              </w:rPr>
              <w:t>POTKATEGORIJA</w:t>
            </w:r>
          </w:p>
        </w:tc>
        <w:tc>
          <w:tcPr>
            <w:tcW w:w="2127" w:type="dxa"/>
            <w:tcBorders>
              <w:top w:val="single" w:sz="4" w:space="0" w:color="FFFFFF" w:themeColor="background1"/>
              <w:left w:val="single" w:sz="4" w:space="0" w:color="FFFFFF" w:themeColor="background1"/>
              <w:right w:val="single" w:sz="4" w:space="0" w:color="FFFFFF" w:themeColor="background1"/>
            </w:tcBorders>
            <w:shd w:val="clear" w:color="auto" w:fill="4BACC6" w:themeFill="accent5"/>
            <w:vAlign w:val="center"/>
            <w:hideMark/>
          </w:tcPr>
          <w:p w:rsidR="00FE4DB7" w:rsidRPr="000063FC" w:rsidRDefault="00FE4DB7" w:rsidP="00FE4DB7">
            <w:pPr>
              <w:spacing w:line="240" w:lineRule="auto"/>
              <w:jc w:val="center"/>
              <w:rPr>
                <w:rFonts w:cs="Arial"/>
                <w:b/>
                <w:bCs/>
                <w:color w:val="FFFFFF" w:themeColor="background1"/>
                <w:sz w:val="20"/>
                <w:lang w:eastAsia="hr-HR"/>
              </w:rPr>
            </w:pPr>
            <w:r w:rsidRPr="000063FC">
              <w:rPr>
                <w:rFonts w:cs="Arial"/>
                <w:b/>
                <w:bCs/>
                <w:color w:val="FFFFFF" w:themeColor="background1"/>
                <w:sz w:val="20"/>
                <w:lang w:eastAsia="hr-HR"/>
              </w:rPr>
              <w:t>Potrošena energija, MWh</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4BACC6" w:themeFill="accent5"/>
            <w:vAlign w:val="center"/>
            <w:hideMark/>
          </w:tcPr>
          <w:p w:rsidR="00FE4DB7" w:rsidRPr="000063FC" w:rsidRDefault="00FE4DB7" w:rsidP="00FE4DB7">
            <w:pPr>
              <w:spacing w:line="240" w:lineRule="auto"/>
              <w:jc w:val="center"/>
              <w:rPr>
                <w:rFonts w:cs="Arial"/>
                <w:b/>
                <w:bCs/>
                <w:color w:val="FFFFFF" w:themeColor="background1"/>
                <w:sz w:val="20"/>
                <w:lang w:eastAsia="hr-HR"/>
              </w:rPr>
            </w:pPr>
            <w:r w:rsidRPr="000063FC">
              <w:rPr>
                <w:rFonts w:cs="Arial"/>
                <w:b/>
                <w:bCs/>
                <w:color w:val="FFFFFF" w:themeColor="background1"/>
                <w:sz w:val="20"/>
                <w:lang w:eastAsia="hr-HR"/>
              </w:rPr>
              <w:t>Emisija CO</w:t>
            </w:r>
            <w:r w:rsidRPr="000063FC">
              <w:rPr>
                <w:rFonts w:cs="Arial"/>
                <w:b/>
                <w:bCs/>
                <w:color w:val="FFFFFF" w:themeColor="background1"/>
                <w:sz w:val="20"/>
                <w:vertAlign w:val="subscript"/>
                <w:lang w:eastAsia="hr-HR"/>
              </w:rPr>
              <w:t xml:space="preserve">2 </w:t>
            </w:r>
            <w:r w:rsidRPr="000063FC">
              <w:rPr>
                <w:rFonts w:cs="Arial"/>
                <w:b/>
                <w:bCs/>
                <w:color w:val="FFFFFF" w:themeColor="background1"/>
                <w:sz w:val="20"/>
                <w:lang w:eastAsia="hr-HR"/>
              </w:rPr>
              <w:t>t</w:t>
            </w:r>
          </w:p>
        </w:tc>
        <w:tc>
          <w:tcPr>
            <w:tcW w:w="1842" w:type="dxa"/>
            <w:tcBorders>
              <w:top w:val="single" w:sz="4" w:space="0" w:color="FFFFFF" w:themeColor="background1"/>
              <w:left w:val="single" w:sz="4" w:space="0" w:color="FFFFFF" w:themeColor="background1"/>
            </w:tcBorders>
            <w:shd w:val="clear" w:color="auto" w:fill="4BACC6" w:themeFill="accent5"/>
            <w:vAlign w:val="center"/>
            <w:hideMark/>
          </w:tcPr>
          <w:p w:rsidR="00FE4DB7" w:rsidRPr="000063FC" w:rsidRDefault="00FE4DB7" w:rsidP="00FE4DB7">
            <w:pPr>
              <w:spacing w:line="240" w:lineRule="auto"/>
              <w:jc w:val="center"/>
              <w:rPr>
                <w:rFonts w:cs="Arial"/>
                <w:b/>
                <w:bCs/>
                <w:color w:val="FFFFFF" w:themeColor="background1"/>
                <w:sz w:val="20"/>
                <w:lang w:eastAsia="hr-HR"/>
              </w:rPr>
            </w:pPr>
            <w:r w:rsidRPr="000063FC">
              <w:rPr>
                <w:rFonts w:cs="Arial"/>
                <w:b/>
                <w:bCs/>
                <w:color w:val="FFFFFF" w:themeColor="background1"/>
                <w:sz w:val="20"/>
                <w:lang w:eastAsia="hr-HR"/>
              </w:rPr>
              <w:t>Emisija CO</w:t>
            </w:r>
            <w:r w:rsidRPr="000063FC">
              <w:rPr>
                <w:rFonts w:cs="Arial"/>
                <w:b/>
                <w:bCs/>
                <w:color w:val="FFFFFF" w:themeColor="background1"/>
                <w:sz w:val="20"/>
                <w:vertAlign w:val="subscript"/>
                <w:lang w:eastAsia="hr-HR"/>
              </w:rPr>
              <w:t>2</w:t>
            </w:r>
            <w:r w:rsidRPr="000063FC">
              <w:rPr>
                <w:rFonts w:cs="Arial"/>
                <w:b/>
                <w:bCs/>
                <w:color w:val="FFFFFF" w:themeColor="background1"/>
                <w:sz w:val="20"/>
                <w:lang w:eastAsia="hr-HR"/>
              </w:rPr>
              <w:t>-ekv, t</w:t>
            </w:r>
          </w:p>
        </w:tc>
      </w:tr>
      <w:tr w:rsidR="00FE4DB7" w:rsidRPr="000063FC" w:rsidTr="001B28C0">
        <w:trPr>
          <w:trHeight w:val="227"/>
        </w:trPr>
        <w:tc>
          <w:tcPr>
            <w:tcW w:w="3407" w:type="dxa"/>
            <w:shd w:val="clear" w:color="auto" w:fill="auto"/>
            <w:noWrap/>
            <w:vAlign w:val="bottom"/>
            <w:hideMark/>
          </w:tcPr>
          <w:p w:rsidR="00FE4DB7" w:rsidRPr="000063FC" w:rsidRDefault="00FE4DB7" w:rsidP="00FE4DB7">
            <w:pPr>
              <w:spacing w:line="240" w:lineRule="auto"/>
              <w:jc w:val="left"/>
              <w:rPr>
                <w:rFonts w:cs="Arial"/>
                <w:b/>
                <w:sz w:val="20"/>
                <w:lang w:eastAsia="hr-HR"/>
              </w:rPr>
            </w:pPr>
            <w:r w:rsidRPr="000063FC">
              <w:rPr>
                <w:rFonts w:cs="Arial"/>
                <w:b/>
                <w:sz w:val="20"/>
                <w:lang w:eastAsia="hr-HR"/>
              </w:rPr>
              <w:t>UKUPNO</w:t>
            </w:r>
          </w:p>
        </w:tc>
        <w:tc>
          <w:tcPr>
            <w:tcW w:w="2127" w:type="dxa"/>
            <w:shd w:val="clear" w:color="auto" w:fill="auto"/>
            <w:noWrap/>
            <w:vAlign w:val="bottom"/>
            <w:hideMark/>
          </w:tcPr>
          <w:p w:rsidR="00FE4DB7" w:rsidRPr="000063FC" w:rsidRDefault="00FE4DB7" w:rsidP="00FE4DB7">
            <w:pPr>
              <w:spacing w:line="240" w:lineRule="auto"/>
              <w:jc w:val="right"/>
              <w:rPr>
                <w:rFonts w:cs="Arial"/>
                <w:sz w:val="20"/>
                <w:lang w:eastAsia="hr-HR"/>
              </w:rPr>
            </w:pPr>
            <w:r w:rsidRPr="000063FC">
              <w:rPr>
                <w:rFonts w:cs="Arial"/>
                <w:sz w:val="20"/>
                <w:lang w:eastAsia="hr-HR"/>
              </w:rPr>
              <w:t>138 029,0</w:t>
            </w:r>
          </w:p>
        </w:tc>
        <w:tc>
          <w:tcPr>
            <w:tcW w:w="1701" w:type="dxa"/>
            <w:shd w:val="clear" w:color="auto" w:fill="auto"/>
            <w:noWrap/>
            <w:vAlign w:val="bottom"/>
            <w:hideMark/>
          </w:tcPr>
          <w:p w:rsidR="00FE4DB7" w:rsidRPr="000063FC" w:rsidRDefault="00FE4DB7" w:rsidP="00FE4DB7">
            <w:pPr>
              <w:spacing w:line="240" w:lineRule="auto"/>
              <w:jc w:val="right"/>
              <w:rPr>
                <w:rFonts w:cs="Arial"/>
                <w:sz w:val="20"/>
                <w:lang w:eastAsia="hr-HR"/>
              </w:rPr>
            </w:pPr>
            <w:r w:rsidRPr="000063FC">
              <w:rPr>
                <w:rFonts w:cs="Arial"/>
                <w:sz w:val="20"/>
                <w:lang w:eastAsia="hr-HR"/>
              </w:rPr>
              <w:t>56 320,9</w:t>
            </w:r>
          </w:p>
        </w:tc>
        <w:tc>
          <w:tcPr>
            <w:tcW w:w="1842" w:type="dxa"/>
            <w:shd w:val="clear" w:color="auto" w:fill="auto"/>
            <w:noWrap/>
            <w:vAlign w:val="bottom"/>
            <w:hideMark/>
          </w:tcPr>
          <w:p w:rsidR="00FE4DB7" w:rsidRPr="000063FC" w:rsidRDefault="00FE4DB7" w:rsidP="00FE4DB7">
            <w:pPr>
              <w:spacing w:line="240" w:lineRule="auto"/>
              <w:jc w:val="right"/>
              <w:rPr>
                <w:rFonts w:cs="Arial"/>
                <w:sz w:val="20"/>
                <w:lang w:eastAsia="hr-HR"/>
              </w:rPr>
            </w:pPr>
            <w:r w:rsidRPr="000063FC">
              <w:rPr>
                <w:rFonts w:cs="Arial"/>
                <w:sz w:val="20"/>
                <w:lang w:eastAsia="hr-HR"/>
              </w:rPr>
              <w:t>56 757,5</w:t>
            </w:r>
          </w:p>
        </w:tc>
      </w:tr>
      <w:tr w:rsidR="00FE4DB7" w:rsidRPr="000063FC" w:rsidTr="001B28C0">
        <w:trPr>
          <w:trHeight w:val="227"/>
        </w:trPr>
        <w:tc>
          <w:tcPr>
            <w:tcW w:w="3407" w:type="dxa"/>
            <w:shd w:val="clear" w:color="auto" w:fill="auto"/>
            <w:noWrap/>
            <w:vAlign w:val="bottom"/>
            <w:hideMark/>
          </w:tcPr>
          <w:p w:rsidR="00FE4DB7" w:rsidRPr="00032E38" w:rsidRDefault="00FE4DB7" w:rsidP="00FE4DB7">
            <w:pPr>
              <w:spacing w:line="240" w:lineRule="auto"/>
              <w:jc w:val="left"/>
              <w:rPr>
                <w:rFonts w:cs="Arial"/>
                <w:sz w:val="20"/>
                <w:lang w:eastAsia="hr-HR"/>
              </w:rPr>
            </w:pPr>
            <w:r w:rsidRPr="00032E38">
              <w:rPr>
                <w:rFonts w:cs="Arial"/>
                <w:sz w:val="20"/>
                <w:lang w:eastAsia="hr-HR"/>
              </w:rPr>
              <w:t xml:space="preserve"> Autobusni prijevoz</w:t>
            </w:r>
          </w:p>
        </w:tc>
        <w:tc>
          <w:tcPr>
            <w:tcW w:w="2127" w:type="dxa"/>
            <w:shd w:val="clear" w:color="auto" w:fill="auto"/>
            <w:noWrap/>
            <w:vAlign w:val="bottom"/>
            <w:hideMark/>
          </w:tcPr>
          <w:p w:rsidR="00FE4DB7" w:rsidRPr="000063FC" w:rsidRDefault="00FE4DB7" w:rsidP="00FE4DB7">
            <w:pPr>
              <w:spacing w:line="240" w:lineRule="auto"/>
              <w:jc w:val="right"/>
              <w:rPr>
                <w:rFonts w:cs="Arial"/>
                <w:sz w:val="20"/>
                <w:lang w:eastAsia="hr-HR"/>
              </w:rPr>
            </w:pPr>
            <w:r w:rsidRPr="000063FC">
              <w:rPr>
                <w:rFonts w:cs="Arial"/>
                <w:sz w:val="20"/>
                <w:lang w:eastAsia="hr-HR"/>
              </w:rPr>
              <w:t>137 967,5</w:t>
            </w:r>
          </w:p>
        </w:tc>
        <w:tc>
          <w:tcPr>
            <w:tcW w:w="1701" w:type="dxa"/>
            <w:shd w:val="clear" w:color="auto" w:fill="auto"/>
            <w:noWrap/>
            <w:vAlign w:val="bottom"/>
            <w:hideMark/>
          </w:tcPr>
          <w:p w:rsidR="00FE4DB7" w:rsidRPr="000063FC" w:rsidRDefault="00FE4DB7" w:rsidP="00FE4DB7">
            <w:pPr>
              <w:spacing w:line="240" w:lineRule="auto"/>
              <w:jc w:val="right"/>
              <w:rPr>
                <w:rFonts w:cs="Arial"/>
                <w:sz w:val="20"/>
                <w:lang w:eastAsia="hr-HR"/>
              </w:rPr>
            </w:pPr>
            <w:r w:rsidRPr="000063FC">
              <w:rPr>
                <w:rFonts w:cs="Arial"/>
                <w:sz w:val="20"/>
                <w:lang w:eastAsia="hr-HR"/>
              </w:rPr>
              <w:t>36 453,8</w:t>
            </w:r>
          </w:p>
        </w:tc>
        <w:tc>
          <w:tcPr>
            <w:tcW w:w="1842" w:type="dxa"/>
            <w:shd w:val="clear" w:color="auto" w:fill="auto"/>
            <w:noWrap/>
            <w:vAlign w:val="bottom"/>
            <w:hideMark/>
          </w:tcPr>
          <w:p w:rsidR="00FE4DB7" w:rsidRPr="000063FC" w:rsidRDefault="00FE4DB7" w:rsidP="00FE4DB7">
            <w:pPr>
              <w:spacing w:line="240" w:lineRule="auto"/>
              <w:jc w:val="right"/>
              <w:rPr>
                <w:rFonts w:cs="Arial"/>
                <w:sz w:val="20"/>
                <w:lang w:eastAsia="hr-HR"/>
              </w:rPr>
            </w:pPr>
            <w:r w:rsidRPr="000063FC">
              <w:rPr>
                <w:rFonts w:cs="Arial"/>
                <w:sz w:val="20"/>
                <w:lang w:eastAsia="hr-HR"/>
              </w:rPr>
              <w:t>36 890,4</w:t>
            </w:r>
          </w:p>
        </w:tc>
      </w:tr>
      <w:tr w:rsidR="00FE4DB7" w:rsidRPr="000063FC" w:rsidTr="001B28C0">
        <w:trPr>
          <w:trHeight w:val="227"/>
        </w:trPr>
        <w:tc>
          <w:tcPr>
            <w:tcW w:w="3407" w:type="dxa"/>
            <w:shd w:val="clear" w:color="auto" w:fill="auto"/>
            <w:noWrap/>
            <w:vAlign w:val="bottom"/>
            <w:hideMark/>
          </w:tcPr>
          <w:p w:rsidR="00FE4DB7" w:rsidRPr="00032E38" w:rsidRDefault="00FE4DB7" w:rsidP="00FE4DB7">
            <w:pPr>
              <w:spacing w:line="240" w:lineRule="auto"/>
              <w:jc w:val="left"/>
              <w:rPr>
                <w:rFonts w:cs="Arial"/>
                <w:sz w:val="20"/>
                <w:lang w:eastAsia="hr-HR"/>
              </w:rPr>
            </w:pPr>
            <w:r w:rsidRPr="00032E38">
              <w:rPr>
                <w:rFonts w:cs="Arial"/>
                <w:sz w:val="20"/>
                <w:lang w:eastAsia="hr-HR"/>
              </w:rPr>
              <w:t xml:space="preserve"> Vozila na električni pogon</w:t>
            </w:r>
          </w:p>
        </w:tc>
        <w:tc>
          <w:tcPr>
            <w:tcW w:w="2127" w:type="dxa"/>
            <w:shd w:val="clear" w:color="auto" w:fill="auto"/>
            <w:noWrap/>
            <w:vAlign w:val="bottom"/>
            <w:hideMark/>
          </w:tcPr>
          <w:p w:rsidR="00FE4DB7" w:rsidRPr="000063FC" w:rsidRDefault="00FE4DB7" w:rsidP="00FE4DB7">
            <w:pPr>
              <w:spacing w:line="240" w:lineRule="auto"/>
              <w:jc w:val="right"/>
              <w:rPr>
                <w:rFonts w:cs="Arial"/>
                <w:sz w:val="20"/>
                <w:lang w:eastAsia="hr-HR"/>
              </w:rPr>
            </w:pPr>
            <w:r w:rsidRPr="000063FC">
              <w:rPr>
                <w:rFonts w:cs="Arial"/>
                <w:sz w:val="20"/>
                <w:lang w:eastAsia="hr-HR"/>
              </w:rPr>
              <w:t>61,5</w:t>
            </w:r>
          </w:p>
        </w:tc>
        <w:tc>
          <w:tcPr>
            <w:tcW w:w="1701" w:type="dxa"/>
            <w:shd w:val="clear" w:color="auto" w:fill="auto"/>
            <w:noWrap/>
            <w:vAlign w:val="bottom"/>
            <w:hideMark/>
          </w:tcPr>
          <w:p w:rsidR="00FE4DB7" w:rsidRPr="000063FC" w:rsidRDefault="00FE4DB7" w:rsidP="00FE4DB7">
            <w:pPr>
              <w:spacing w:line="240" w:lineRule="auto"/>
              <w:jc w:val="right"/>
              <w:rPr>
                <w:rFonts w:cs="Arial"/>
                <w:sz w:val="20"/>
                <w:lang w:eastAsia="hr-HR"/>
              </w:rPr>
            </w:pPr>
            <w:r w:rsidRPr="000063FC">
              <w:rPr>
                <w:rFonts w:cs="Arial"/>
                <w:sz w:val="20"/>
                <w:lang w:eastAsia="hr-HR"/>
              </w:rPr>
              <w:t>19 867,1</w:t>
            </w:r>
          </w:p>
        </w:tc>
        <w:tc>
          <w:tcPr>
            <w:tcW w:w="1842" w:type="dxa"/>
            <w:shd w:val="clear" w:color="auto" w:fill="auto"/>
            <w:noWrap/>
            <w:vAlign w:val="bottom"/>
            <w:hideMark/>
          </w:tcPr>
          <w:p w:rsidR="00FE4DB7" w:rsidRPr="000063FC" w:rsidRDefault="00FE4DB7" w:rsidP="00FE4DB7">
            <w:pPr>
              <w:spacing w:line="240" w:lineRule="auto"/>
              <w:jc w:val="right"/>
              <w:rPr>
                <w:rFonts w:cs="Arial"/>
                <w:sz w:val="20"/>
                <w:lang w:eastAsia="hr-HR"/>
              </w:rPr>
            </w:pPr>
            <w:r w:rsidRPr="000063FC">
              <w:rPr>
                <w:rFonts w:cs="Arial"/>
                <w:sz w:val="20"/>
                <w:lang w:eastAsia="hr-HR"/>
              </w:rPr>
              <w:t>19 867,1</w:t>
            </w:r>
          </w:p>
        </w:tc>
      </w:tr>
    </w:tbl>
    <w:p w:rsidR="0047546D" w:rsidRPr="000063FC" w:rsidRDefault="0047546D" w:rsidP="009758DE">
      <w:pPr>
        <w:pStyle w:val="ListParagraph"/>
        <w:spacing w:line="240" w:lineRule="auto"/>
      </w:pPr>
    </w:p>
    <w:p w:rsidR="00BC341E" w:rsidRPr="000063FC" w:rsidRDefault="008B2E49">
      <w:pPr>
        <w:pStyle w:val="Heading4"/>
      </w:pPr>
      <w:bookmarkStart w:id="157" w:name="_Toc254010190"/>
      <w:r w:rsidRPr="000063FC">
        <w:t xml:space="preserve">Emisije </w:t>
      </w:r>
      <w:r w:rsidR="00FE4DB7" w:rsidRPr="000063FC">
        <w:t>CO</w:t>
      </w:r>
      <w:r w:rsidR="00FE4DB7" w:rsidRPr="000063FC">
        <w:rPr>
          <w:vertAlign w:val="subscript"/>
        </w:rPr>
        <w:t>2</w:t>
      </w:r>
      <w:r w:rsidR="00FE4DB7" w:rsidRPr="000063FC">
        <w:t xml:space="preserve"> </w:t>
      </w:r>
      <w:r w:rsidRPr="000063FC">
        <w:t xml:space="preserve">iz </w:t>
      </w:r>
      <w:r w:rsidR="009758DE" w:rsidRPr="000063FC">
        <w:t>podsektora</w:t>
      </w:r>
      <w:r w:rsidRPr="000063FC">
        <w:t xml:space="preserve"> osobna i komercijalna vozila</w:t>
      </w:r>
      <w:bookmarkEnd w:id="157"/>
    </w:p>
    <w:p w:rsidR="009758DE" w:rsidRPr="000063FC" w:rsidRDefault="009758DE" w:rsidP="009758DE">
      <w:pPr>
        <w:pStyle w:val="NoSpacing"/>
      </w:pPr>
      <w:r w:rsidRPr="000063FC">
        <w:t xml:space="preserve">Podsektor osobna i komercijalna vozila čine sljedeće kategorije: </w:t>
      </w:r>
    </w:p>
    <w:p w:rsidR="009758DE" w:rsidRPr="000063FC" w:rsidRDefault="009758DE" w:rsidP="009758DE">
      <w:pPr>
        <w:pStyle w:val="NoSpacing"/>
        <w:numPr>
          <w:ilvl w:val="0"/>
          <w:numId w:val="49"/>
        </w:numPr>
        <w:jc w:val="both"/>
      </w:pPr>
      <w:r w:rsidRPr="000063FC">
        <w:t>osobna vozila;</w:t>
      </w:r>
    </w:p>
    <w:p w:rsidR="009758DE" w:rsidRPr="000063FC" w:rsidRDefault="009758DE" w:rsidP="009758DE">
      <w:pPr>
        <w:pStyle w:val="NoSpacing"/>
        <w:numPr>
          <w:ilvl w:val="0"/>
          <w:numId w:val="49"/>
        </w:numPr>
        <w:jc w:val="both"/>
      </w:pPr>
      <w:r w:rsidRPr="000063FC">
        <w:t xml:space="preserve">kombinirana vozila; </w:t>
      </w:r>
    </w:p>
    <w:p w:rsidR="009758DE" w:rsidRPr="000063FC" w:rsidRDefault="009758DE" w:rsidP="009758DE">
      <w:pPr>
        <w:pStyle w:val="NoSpacing"/>
        <w:numPr>
          <w:ilvl w:val="0"/>
          <w:numId w:val="49"/>
        </w:numPr>
        <w:jc w:val="both"/>
      </w:pPr>
      <w:r w:rsidRPr="000063FC">
        <w:t>teretna vozila;</w:t>
      </w:r>
    </w:p>
    <w:p w:rsidR="009758DE" w:rsidRPr="000063FC" w:rsidRDefault="009758DE" w:rsidP="009758DE">
      <w:pPr>
        <w:pStyle w:val="NoSpacing"/>
        <w:numPr>
          <w:ilvl w:val="0"/>
          <w:numId w:val="49"/>
        </w:numPr>
        <w:jc w:val="both"/>
      </w:pPr>
      <w:r w:rsidRPr="000063FC">
        <w:t>mopedi i motocikli.</w:t>
      </w:r>
    </w:p>
    <w:p w:rsidR="009758DE" w:rsidRPr="000063FC" w:rsidRDefault="009758DE" w:rsidP="009758DE">
      <w:pPr>
        <w:pStyle w:val="NoSpacing"/>
      </w:pPr>
    </w:p>
    <w:p w:rsidR="009758DE" w:rsidRPr="000063FC" w:rsidRDefault="009758DE" w:rsidP="009758DE">
      <w:pPr>
        <w:pStyle w:val="NoSpacing"/>
      </w:pPr>
      <w:r w:rsidRPr="000063FC">
        <w:t xml:space="preserve">Ukupna potrošnja pojedine vrste goriva podsektora u 2008. godini prikazana je u tablici 2.21. </w:t>
      </w:r>
    </w:p>
    <w:p w:rsidR="00B23695" w:rsidRPr="000063FC" w:rsidRDefault="00B23695">
      <w:pPr>
        <w:spacing w:line="276" w:lineRule="auto"/>
      </w:pPr>
    </w:p>
    <w:p w:rsidR="00BC341E" w:rsidRPr="000063FC" w:rsidRDefault="008B2E49" w:rsidP="00B33E2F">
      <w:pPr>
        <w:pStyle w:val="Heading6"/>
      </w:pPr>
      <w:bookmarkStart w:id="158" w:name="_Toc254010248"/>
      <w:r w:rsidRPr="000063FC">
        <w:t xml:space="preserve">Tablica </w:t>
      </w:r>
      <w:r w:rsidR="009758DE" w:rsidRPr="000063FC">
        <w:t>2.21: Potrošnja pojedine vrste</w:t>
      </w:r>
      <w:r w:rsidRPr="000063FC">
        <w:t xml:space="preserve"> goriva u 2008. godini</w:t>
      </w:r>
      <w:bookmarkEnd w:id="158"/>
    </w:p>
    <w:tbl>
      <w:tblPr>
        <w:tblW w:w="9073"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000" w:firstRow="0" w:lastRow="0" w:firstColumn="0" w:lastColumn="0" w:noHBand="0" w:noVBand="0"/>
      </w:tblPr>
      <w:tblGrid>
        <w:gridCol w:w="3262"/>
        <w:gridCol w:w="1701"/>
        <w:gridCol w:w="1418"/>
        <w:gridCol w:w="1176"/>
        <w:gridCol w:w="1516"/>
      </w:tblGrid>
      <w:tr w:rsidR="008B2E49" w:rsidRPr="000063FC" w:rsidTr="004D587A">
        <w:trPr>
          <w:trHeight w:val="283"/>
          <w:jc w:val="center"/>
        </w:trPr>
        <w:tc>
          <w:tcPr>
            <w:tcW w:w="3262" w:type="dxa"/>
            <w:tcBorders>
              <w:right w:val="single" w:sz="4" w:space="0" w:color="FFFFFF"/>
            </w:tcBorders>
            <w:shd w:val="clear" w:color="auto" w:fill="4BACC6"/>
            <w:vAlign w:val="center"/>
          </w:tcPr>
          <w:p w:rsidR="00B23695" w:rsidRPr="000063FC" w:rsidRDefault="008B2E49">
            <w:pPr>
              <w:spacing w:line="276" w:lineRule="auto"/>
              <w:jc w:val="center"/>
              <w:rPr>
                <w:rFonts w:asciiTheme="minorHAnsi" w:hAnsiTheme="minorHAnsi"/>
                <w:b/>
                <w:color w:val="FFFFFF"/>
                <w:sz w:val="20"/>
              </w:rPr>
            </w:pPr>
            <w:r w:rsidRPr="000063FC">
              <w:rPr>
                <w:rFonts w:asciiTheme="minorHAnsi" w:hAnsiTheme="minorHAnsi"/>
                <w:b/>
                <w:color w:val="FFFFFF"/>
                <w:sz w:val="20"/>
              </w:rPr>
              <w:t>Potrošnja goriva, t/god</w:t>
            </w:r>
          </w:p>
        </w:tc>
        <w:tc>
          <w:tcPr>
            <w:tcW w:w="1701" w:type="dxa"/>
            <w:tcBorders>
              <w:left w:val="single" w:sz="4" w:space="0" w:color="FFFFFF"/>
              <w:right w:val="single" w:sz="4" w:space="0" w:color="FFFFFF"/>
            </w:tcBorders>
            <w:shd w:val="clear" w:color="auto" w:fill="4BACC6"/>
            <w:vAlign w:val="center"/>
          </w:tcPr>
          <w:p w:rsidR="00B23695" w:rsidRPr="000063FC" w:rsidRDefault="008B2E49">
            <w:pPr>
              <w:spacing w:line="276" w:lineRule="auto"/>
              <w:jc w:val="center"/>
              <w:rPr>
                <w:rFonts w:asciiTheme="minorHAnsi" w:hAnsiTheme="minorHAnsi"/>
                <w:b/>
                <w:color w:val="FFFFFF"/>
                <w:sz w:val="20"/>
              </w:rPr>
            </w:pPr>
            <w:r w:rsidRPr="000063FC">
              <w:rPr>
                <w:rFonts w:asciiTheme="minorHAnsi" w:hAnsiTheme="minorHAnsi"/>
                <w:b/>
                <w:color w:val="FFFFFF"/>
                <w:sz w:val="20"/>
              </w:rPr>
              <w:t>Diesel gorivo</w:t>
            </w:r>
          </w:p>
        </w:tc>
        <w:tc>
          <w:tcPr>
            <w:tcW w:w="1418" w:type="dxa"/>
            <w:tcBorders>
              <w:left w:val="single" w:sz="4" w:space="0" w:color="FFFFFF"/>
              <w:right w:val="single" w:sz="4" w:space="0" w:color="FFFFFF"/>
            </w:tcBorders>
            <w:shd w:val="clear" w:color="auto" w:fill="4BACC6"/>
            <w:vAlign w:val="center"/>
          </w:tcPr>
          <w:p w:rsidR="00B23695" w:rsidRPr="000063FC" w:rsidRDefault="008B2E49">
            <w:pPr>
              <w:spacing w:line="276" w:lineRule="auto"/>
              <w:jc w:val="center"/>
              <w:rPr>
                <w:rFonts w:asciiTheme="minorHAnsi" w:hAnsiTheme="minorHAnsi"/>
                <w:b/>
                <w:color w:val="FFFFFF"/>
                <w:sz w:val="20"/>
              </w:rPr>
            </w:pPr>
            <w:r w:rsidRPr="000063FC">
              <w:rPr>
                <w:rFonts w:asciiTheme="minorHAnsi" w:hAnsiTheme="minorHAnsi"/>
                <w:b/>
                <w:color w:val="FFFFFF"/>
                <w:sz w:val="20"/>
              </w:rPr>
              <w:t>Bezolovni benzin</w:t>
            </w:r>
          </w:p>
        </w:tc>
        <w:tc>
          <w:tcPr>
            <w:tcW w:w="1176" w:type="dxa"/>
            <w:tcBorders>
              <w:left w:val="single" w:sz="4" w:space="0" w:color="FFFFFF"/>
              <w:right w:val="single" w:sz="6" w:space="0" w:color="FFFFFF"/>
            </w:tcBorders>
            <w:shd w:val="clear" w:color="auto" w:fill="4BACC6"/>
            <w:vAlign w:val="center"/>
          </w:tcPr>
          <w:p w:rsidR="00B23695" w:rsidRPr="000063FC" w:rsidRDefault="008B2E49">
            <w:pPr>
              <w:spacing w:line="276" w:lineRule="auto"/>
              <w:jc w:val="center"/>
              <w:rPr>
                <w:rFonts w:asciiTheme="minorHAnsi" w:hAnsiTheme="minorHAnsi"/>
                <w:b/>
                <w:color w:val="FFFFFF"/>
                <w:sz w:val="20"/>
              </w:rPr>
            </w:pPr>
            <w:r w:rsidRPr="000063FC">
              <w:rPr>
                <w:rFonts w:asciiTheme="minorHAnsi" w:hAnsiTheme="minorHAnsi"/>
                <w:b/>
                <w:color w:val="FFFFFF"/>
                <w:sz w:val="20"/>
              </w:rPr>
              <w:t>LPG</w:t>
            </w:r>
          </w:p>
        </w:tc>
        <w:tc>
          <w:tcPr>
            <w:tcW w:w="1516" w:type="dxa"/>
            <w:tcBorders>
              <w:left w:val="single" w:sz="6" w:space="0" w:color="FFFFFF"/>
            </w:tcBorders>
            <w:shd w:val="clear" w:color="auto" w:fill="4BACC6"/>
            <w:vAlign w:val="center"/>
          </w:tcPr>
          <w:p w:rsidR="00B23695" w:rsidRPr="000063FC" w:rsidRDefault="008B2E49">
            <w:pPr>
              <w:spacing w:line="276" w:lineRule="auto"/>
              <w:jc w:val="center"/>
              <w:rPr>
                <w:rFonts w:asciiTheme="minorHAnsi" w:hAnsiTheme="minorHAnsi"/>
                <w:b/>
                <w:color w:val="FFFFFF"/>
                <w:sz w:val="20"/>
              </w:rPr>
            </w:pPr>
            <w:r w:rsidRPr="000063FC">
              <w:rPr>
                <w:rFonts w:asciiTheme="minorHAnsi" w:hAnsiTheme="minorHAnsi"/>
                <w:b/>
                <w:color w:val="FFFFFF"/>
                <w:sz w:val="20"/>
              </w:rPr>
              <w:t>Prirodni plin</w:t>
            </w:r>
          </w:p>
        </w:tc>
      </w:tr>
      <w:tr w:rsidR="008B2E49" w:rsidRPr="000063FC" w:rsidTr="004D587A">
        <w:trPr>
          <w:trHeight w:val="283"/>
          <w:jc w:val="center"/>
        </w:trPr>
        <w:tc>
          <w:tcPr>
            <w:tcW w:w="3262" w:type="dxa"/>
            <w:vAlign w:val="center"/>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Osobna vozila</w:t>
            </w:r>
          </w:p>
        </w:tc>
        <w:tc>
          <w:tcPr>
            <w:tcW w:w="1701" w:type="dxa"/>
            <w:vAlign w:val="center"/>
          </w:tcPr>
          <w:p w:rsidR="00B23695" w:rsidRPr="000063FC" w:rsidRDefault="009758DE">
            <w:pPr>
              <w:spacing w:line="276" w:lineRule="auto"/>
              <w:jc w:val="center"/>
              <w:rPr>
                <w:rFonts w:asciiTheme="minorHAnsi" w:hAnsiTheme="minorHAnsi" w:cs="Arial"/>
                <w:color w:val="000000"/>
                <w:sz w:val="20"/>
              </w:rPr>
            </w:pPr>
            <w:r w:rsidRPr="000063FC">
              <w:rPr>
                <w:rFonts w:asciiTheme="minorHAnsi" w:hAnsiTheme="minorHAnsi" w:cs="Arial"/>
                <w:color w:val="000000"/>
                <w:sz w:val="20"/>
              </w:rPr>
              <w:t xml:space="preserve">56 </w:t>
            </w:r>
            <w:r w:rsidR="008B2E49" w:rsidRPr="000063FC">
              <w:rPr>
                <w:rFonts w:asciiTheme="minorHAnsi" w:hAnsiTheme="minorHAnsi" w:cs="Arial"/>
                <w:color w:val="000000"/>
                <w:sz w:val="20"/>
              </w:rPr>
              <w:t>472,7</w:t>
            </w:r>
          </w:p>
        </w:tc>
        <w:tc>
          <w:tcPr>
            <w:tcW w:w="1418" w:type="dxa"/>
            <w:vAlign w:val="center"/>
          </w:tcPr>
          <w:p w:rsidR="00B23695" w:rsidRPr="000063FC" w:rsidRDefault="009758DE">
            <w:pPr>
              <w:spacing w:line="276" w:lineRule="auto"/>
              <w:jc w:val="center"/>
              <w:rPr>
                <w:rFonts w:asciiTheme="minorHAnsi" w:hAnsiTheme="minorHAnsi" w:cs="Arial"/>
                <w:color w:val="000000"/>
                <w:sz w:val="20"/>
              </w:rPr>
            </w:pPr>
            <w:r w:rsidRPr="000063FC">
              <w:rPr>
                <w:rFonts w:asciiTheme="minorHAnsi" w:hAnsiTheme="minorHAnsi" w:cs="Arial"/>
                <w:color w:val="000000"/>
                <w:sz w:val="20"/>
              </w:rPr>
              <w:t xml:space="preserve">124 </w:t>
            </w:r>
            <w:r w:rsidR="008B2E49" w:rsidRPr="000063FC">
              <w:rPr>
                <w:rFonts w:asciiTheme="minorHAnsi" w:hAnsiTheme="minorHAnsi" w:cs="Arial"/>
                <w:color w:val="000000"/>
                <w:sz w:val="20"/>
              </w:rPr>
              <w:t>361,2</w:t>
            </w:r>
          </w:p>
        </w:tc>
        <w:tc>
          <w:tcPr>
            <w:tcW w:w="1176" w:type="dxa"/>
            <w:vAlign w:val="center"/>
          </w:tcPr>
          <w:p w:rsidR="00B23695" w:rsidRPr="000063FC" w:rsidRDefault="009758DE">
            <w:pPr>
              <w:spacing w:line="276" w:lineRule="auto"/>
              <w:jc w:val="center"/>
              <w:rPr>
                <w:rFonts w:asciiTheme="minorHAnsi" w:hAnsiTheme="minorHAnsi" w:cs="Arial"/>
                <w:color w:val="000000"/>
                <w:sz w:val="20"/>
              </w:rPr>
            </w:pPr>
            <w:r w:rsidRPr="000063FC">
              <w:rPr>
                <w:rFonts w:asciiTheme="minorHAnsi" w:hAnsiTheme="minorHAnsi" w:cs="Arial"/>
                <w:color w:val="000000"/>
                <w:sz w:val="20"/>
              </w:rPr>
              <w:t xml:space="preserve">2 </w:t>
            </w:r>
            <w:r w:rsidR="008B2E49" w:rsidRPr="000063FC">
              <w:rPr>
                <w:rFonts w:asciiTheme="minorHAnsi" w:hAnsiTheme="minorHAnsi" w:cs="Arial"/>
                <w:color w:val="000000"/>
                <w:sz w:val="20"/>
              </w:rPr>
              <w:t>282,7</w:t>
            </w:r>
          </w:p>
        </w:tc>
        <w:tc>
          <w:tcPr>
            <w:tcW w:w="1516" w:type="dxa"/>
            <w:vAlign w:val="center"/>
          </w:tcPr>
          <w:p w:rsidR="00B23695" w:rsidRPr="000063FC" w:rsidRDefault="008B2E49">
            <w:pPr>
              <w:spacing w:line="276" w:lineRule="auto"/>
              <w:jc w:val="center"/>
              <w:rPr>
                <w:rFonts w:asciiTheme="minorHAnsi" w:hAnsiTheme="minorHAnsi" w:cs="Arial"/>
                <w:color w:val="000000"/>
                <w:sz w:val="20"/>
              </w:rPr>
            </w:pPr>
            <w:r w:rsidRPr="000063FC">
              <w:rPr>
                <w:rFonts w:asciiTheme="minorHAnsi" w:hAnsiTheme="minorHAnsi" w:cs="Arial"/>
                <w:color w:val="000000"/>
                <w:sz w:val="20"/>
              </w:rPr>
              <w:t>33,2</w:t>
            </w:r>
          </w:p>
        </w:tc>
      </w:tr>
      <w:tr w:rsidR="008B2E49" w:rsidRPr="000063FC" w:rsidTr="004D587A">
        <w:trPr>
          <w:trHeight w:val="283"/>
          <w:jc w:val="center"/>
        </w:trPr>
        <w:tc>
          <w:tcPr>
            <w:tcW w:w="3262" w:type="dxa"/>
            <w:vAlign w:val="center"/>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Teretna vozila</w:t>
            </w:r>
          </w:p>
        </w:tc>
        <w:tc>
          <w:tcPr>
            <w:tcW w:w="1701" w:type="dxa"/>
            <w:vAlign w:val="center"/>
          </w:tcPr>
          <w:p w:rsidR="00B23695" w:rsidRPr="000063FC" w:rsidRDefault="009758DE">
            <w:pPr>
              <w:spacing w:line="276" w:lineRule="auto"/>
              <w:jc w:val="center"/>
              <w:rPr>
                <w:rFonts w:asciiTheme="minorHAnsi" w:hAnsiTheme="minorHAnsi" w:cs="Arial"/>
                <w:sz w:val="20"/>
              </w:rPr>
            </w:pPr>
            <w:r w:rsidRPr="000063FC">
              <w:rPr>
                <w:rFonts w:asciiTheme="minorHAnsi" w:hAnsiTheme="minorHAnsi" w:cs="Arial"/>
                <w:color w:val="000000"/>
                <w:sz w:val="20"/>
              </w:rPr>
              <w:t xml:space="preserve">105 </w:t>
            </w:r>
            <w:r w:rsidR="008B2E49" w:rsidRPr="000063FC">
              <w:rPr>
                <w:rFonts w:asciiTheme="minorHAnsi" w:hAnsiTheme="minorHAnsi" w:cs="Arial"/>
                <w:color w:val="000000"/>
                <w:sz w:val="20"/>
              </w:rPr>
              <w:t>660,1</w:t>
            </w:r>
          </w:p>
        </w:tc>
        <w:tc>
          <w:tcPr>
            <w:tcW w:w="1418" w:type="dxa"/>
            <w:vAlign w:val="center"/>
          </w:tcPr>
          <w:p w:rsidR="00B23695" w:rsidRPr="000063FC" w:rsidRDefault="009758DE">
            <w:pPr>
              <w:spacing w:line="276" w:lineRule="auto"/>
              <w:jc w:val="center"/>
              <w:rPr>
                <w:rFonts w:asciiTheme="minorHAnsi" w:hAnsiTheme="minorHAnsi" w:cs="Arial"/>
                <w:color w:val="000000"/>
                <w:sz w:val="20"/>
              </w:rPr>
            </w:pPr>
            <w:r w:rsidRPr="000063FC">
              <w:rPr>
                <w:rFonts w:asciiTheme="minorHAnsi" w:hAnsiTheme="minorHAnsi" w:cs="Arial"/>
                <w:color w:val="000000"/>
                <w:sz w:val="20"/>
              </w:rPr>
              <w:t xml:space="preserve">9 </w:t>
            </w:r>
            <w:r w:rsidR="008B2E49" w:rsidRPr="000063FC">
              <w:rPr>
                <w:rFonts w:asciiTheme="minorHAnsi" w:hAnsiTheme="minorHAnsi" w:cs="Arial"/>
                <w:color w:val="000000"/>
                <w:sz w:val="20"/>
              </w:rPr>
              <w:t>251,7</w:t>
            </w:r>
          </w:p>
        </w:tc>
        <w:tc>
          <w:tcPr>
            <w:tcW w:w="1176" w:type="dxa"/>
            <w:vAlign w:val="center"/>
          </w:tcPr>
          <w:p w:rsidR="00B23695" w:rsidRPr="000063FC" w:rsidRDefault="008B2E49">
            <w:pPr>
              <w:spacing w:line="276" w:lineRule="auto"/>
              <w:jc w:val="center"/>
              <w:rPr>
                <w:rFonts w:asciiTheme="minorHAnsi" w:hAnsiTheme="minorHAnsi" w:cs="Arial"/>
                <w:color w:val="000000"/>
                <w:sz w:val="20"/>
              </w:rPr>
            </w:pPr>
            <w:r w:rsidRPr="000063FC">
              <w:rPr>
                <w:rFonts w:asciiTheme="minorHAnsi" w:hAnsiTheme="minorHAnsi" w:cs="Arial"/>
                <w:color w:val="000000"/>
                <w:sz w:val="20"/>
              </w:rPr>
              <w:t>-</w:t>
            </w:r>
          </w:p>
        </w:tc>
        <w:tc>
          <w:tcPr>
            <w:tcW w:w="1516" w:type="dxa"/>
            <w:vAlign w:val="center"/>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w:t>
            </w:r>
          </w:p>
        </w:tc>
      </w:tr>
      <w:tr w:rsidR="008B2E49" w:rsidRPr="000063FC" w:rsidTr="004D587A">
        <w:trPr>
          <w:trHeight w:val="283"/>
          <w:jc w:val="center"/>
        </w:trPr>
        <w:tc>
          <w:tcPr>
            <w:tcW w:w="3262" w:type="dxa"/>
            <w:vAlign w:val="center"/>
          </w:tcPr>
          <w:p w:rsidR="00B23695" w:rsidRPr="000063FC" w:rsidRDefault="008B2E49">
            <w:pPr>
              <w:spacing w:line="276" w:lineRule="auto"/>
              <w:rPr>
                <w:rFonts w:asciiTheme="minorHAnsi" w:hAnsiTheme="minorHAnsi" w:cs="Arial"/>
                <w:sz w:val="20"/>
              </w:rPr>
            </w:pPr>
            <w:r w:rsidRPr="000063FC">
              <w:rPr>
                <w:rFonts w:asciiTheme="minorHAnsi" w:hAnsiTheme="minorHAnsi" w:cs="Arial"/>
                <w:sz w:val="20"/>
              </w:rPr>
              <w:t>Mopedi i motocikli</w:t>
            </w:r>
          </w:p>
        </w:tc>
        <w:tc>
          <w:tcPr>
            <w:tcW w:w="1701" w:type="dxa"/>
            <w:vAlign w:val="center"/>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w:t>
            </w:r>
          </w:p>
        </w:tc>
        <w:tc>
          <w:tcPr>
            <w:tcW w:w="1418" w:type="dxa"/>
            <w:vAlign w:val="center"/>
          </w:tcPr>
          <w:p w:rsidR="00B23695" w:rsidRPr="000063FC" w:rsidRDefault="009758DE">
            <w:pPr>
              <w:spacing w:line="276" w:lineRule="auto"/>
              <w:jc w:val="center"/>
              <w:rPr>
                <w:rFonts w:asciiTheme="minorHAnsi" w:hAnsiTheme="minorHAnsi" w:cs="Arial"/>
                <w:bCs/>
                <w:color w:val="000000"/>
                <w:sz w:val="20"/>
              </w:rPr>
            </w:pPr>
            <w:r w:rsidRPr="000063FC">
              <w:rPr>
                <w:rFonts w:asciiTheme="minorHAnsi" w:hAnsiTheme="minorHAnsi" w:cs="Arial"/>
                <w:bCs/>
                <w:color w:val="000000"/>
                <w:sz w:val="20"/>
              </w:rPr>
              <w:t xml:space="preserve">2 </w:t>
            </w:r>
            <w:r w:rsidR="008B2E49" w:rsidRPr="000063FC">
              <w:rPr>
                <w:rFonts w:asciiTheme="minorHAnsi" w:hAnsiTheme="minorHAnsi" w:cs="Arial"/>
                <w:bCs/>
                <w:color w:val="000000"/>
                <w:sz w:val="20"/>
              </w:rPr>
              <w:t>523,9</w:t>
            </w:r>
          </w:p>
        </w:tc>
        <w:tc>
          <w:tcPr>
            <w:tcW w:w="1176" w:type="dxa"/>
            <w:vAlign w:val="center"/>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w:t>
            </w:r>
          </w:p>
        </w:tc>
        <w:tc>
          <w:tcPr>
            <w:tcW w:w="1516" w:type="dxa"/>
            <w:vAlign w:val="center"/>
          </w:tcPr>
          <w:p w:rsidR="00B23695"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w:t>
            </w:r>
          </w:p>
        </w:tc>
      </w:tr>
      <w:tr w:rsidR="008B2E49" w:rsidRPr="000063FC" w:rsidTr="004D587A">
        <w:trPr>
          <w:trHeight w:val="283"/>
          <w:jc w:val="center"/>
        </w:trPr>
        <w:tc>
          <w:tcPr>
            <w:tcW w:w="3262" w:type="dxa"/>
            <w:shd w:val="clear" w:color="auto" w:fill="DAEEF3"/>
            <w:vAlign w:val="center"/>
          </w:tcPr>
          <w:p w:rsidR="00B23695" w:rsidRPr="000063FC" w:rsidRDefault="008B2E49">
            <w:pPr>
              <w:spacing w:line="276" w:lineRule="auto"/>
              <w:rPr>
                <w:rFonts w:asciiTheme="minorHAnsi" w:hAnsiTheme="minorHAnsi" w:cs="Arial"/>
                <w:b/>
                <w:sz w:val="20"/>
              </w:rPr>
            </w:pPr>
            <w:r w:rsidRPr="000063FC">
              <w:rPr>
                <w:rFonts w:asciiTheme="minorHAnsi" w:hAnsiTheme="minorHAnsi" w:cs="Arial"/>
                <w:b/>
                <w:sz w:val="20"/>
              </w:rPr>
              <w:t>UKUPNO</w:t>
            </w:r>
          </w:p>
        </w:tc>
        <w:tc>
          <w:tcPr>
            <w:tcW w:w="1701" w:type="dxa"/>
            <w:shd w:val="clear" w:color="auto" w:fill="DAEEF3"/>
            <w:vAlign w:val="center"/>
          </w:tcPr>
          <w:p w:rsidR="00B23695" w:rsidRPr="000063FC" w:rsidRDefault="009758DE">
            <w:pPr>
              <w:spacing w:line="276" w:lineRule="auto"/>
              <w:jc w:val="center"/>
              <w:rPr>
                <w:rFonts w:asciiTheme="minorHAnsi" w:hAnsiTheme="minorHAnsi" w:cs="Arial"/>
                <w:b/>
                <w:color w:val="000000"/>
                <w:sz w:val="20"/>
              </w:rPr>
            </w:pPr>
            <w:r w:rsidRPr="000063FC">
              <w:rPr>
                <w:rFonts w:asciiTheme="minorHAnsi" w:hAnsiTheme="minorHAnsi" w:cs="Arial"/>
                <w:b/>
                <w:color w:val="000000"/>
                <w:sz w:val="20"/>
              </w:rPr>
              <w:t xml:space="preserve">162 </w:t>
            </w:r>
            <w:r w:rsidR="008B2E49" w:rsidRPr="000063FC">
              <w:rPr>
                <w:rFonts w:asciiTheme="minorHAnsi" w:hAnsiTheme="minorHAnsi" w:cs="Arial"/>
                <w:b/>
                <w:color w:val="000000"/>
                <w:sz w:val="20"/>
              </w:rPr>
              <w:t>132,8</w:t>
            </w:r>
          </w:p>
        </w:tc>
        <w:tc>
          <w:tcPr>
            <w:tcW w:w="1418" w:type="dxa"/>
            <w:shd w:val="clear" w:color="auto" w:fill="DAEEF3"/>
            <w:vAlign w:val="center"/>
          </w:tcPr>
          <w:p w:rsidR="00B23695" w:rsidRPr="000063FC" w:rsidRDefault="009758DE">
            <w:pPr>
              <w:spacing w:line="276" w:lineRule="auto"/>
              <w:jc w:val="center"/>
              <w:rPr>
                <w:rFonts w:asciiTheme="minorHAnsi" w:hAnsiTheme="minorHAnsi" w:cs="Arial"/>
                <w:b/>
                <w:color w:val="000000"/>
                <w:sz w:val="20"/>
              </w:rPr>
            </w:pPr>
            <w:r w:rsidRPr="000063FC">
              <w:rPr>
                <w:rFonts w:asciiTheme="minorHAnsi" w:hAnsiTheme="minorHAnsi" w:cs="Arial"/>
                <w:b/>
                <w:color w:val="000000"/>
                <w:sz w:val="20"/>
              </w:rPr>
              <w:t xml:space="preserve">136 </w:t>
            </w:r>
            <w:r w:rsidR="008B2E49" w:rsidRPr="000063FC">
              <w:rPr>
                <w:rFonts w:asciiTheme="minorHAnsi" w:hAnsiTheme="minorHAnsi" w:cs="Arial"/>
                <w:b/>
                <w:color w:val="000000"/>
                <w:sz w:val="20"/>
              </w:rPr>
              <w:t>136,8</w:t>
            </w:r>
          </w:p>
        </w:tc>
        <w:tc>
          <w:tcPr>
            <w:tcW w:w="1176" w:type="dxa"/>
            <w:shd w:val="clear" w:color="auto" w:fill="DAEEF3"/>
            <w:vAlign w:val="center"/>
          </w:tcPr>
          <w:p w:rsidR="00B23695" w:rsidRPr="000063FC" w:rsidRDefault="009758DE">
            <w:pPr>
              <w:spacing w:line="276" w:lineRule="auto"/>
              <w:jc w:val="center"/>
              <w:rPr>
                <w:rFonts w:asciiTheme="minorHAnsi" w:hAnsiTheme="minorHAnsi" w:cs="Arial"/>
                <w:b/>
                <w:color w:val="000000"/>
                <w:sz w:val="20"/>
              </w:rPr>
            </w:pPr>
            <w:r w:rsidRPr="000063FC">
              <w:rPr>
                <w:rFonts w:asciiTheme="minorHAnsi" w:hAnsiTheme="minorHAnsi" w:cs="Arial"/>
                <w:b/>
                <w:color w:val="000000"/>
                <w:sz w:val="20"/>
              </w:rPr>
              <w:t xml:space="preserve">2 </w:t>
            </w:r>
            <w:r w:rsidR="008B2E49" w:rsidRPr="000063FC">
              <w:rPr>
                <w:rFonts w:asciiTheme="minorHAnsi" w:hAnsiTheme="minorHAnsi" w:cs="Arial"/>
                <w:b/>
                <w:color w:val="000000"/>
                <w:sz w:val="20"/>
              </w:rPr>
              <w:t>282,7</w:t>
            </w:r>
          </w:p>
        </w:tc>
        <w:tc>
          <w:tcPr>
            <w:tcW w:w="1516" w:type="dxa"/>
            <w:shd w:val="clear" w:color="auto" w:fill="DAEEF3"/>
            <w:vAlign w:val="center"/>
          </w:tcPr>
          <w:p w:rsidR="00B23695" w:rsidRPr="000063FC" w:rsidRDefault="008B2E49">
            <w:pPr>
              <w:spacing w:line="276" w:lineRule="auto"/>
              <w:jc w:val="center"/>
              <w:rPr>
                <w:rFonts w:asciiTheme="minorHAnsi" w:hAnsiTheme="minorHAnsi" w:cs="Arial"/>
                <w:b/>
                <w:color w:val="000000"/>
                <w:sz w:val="20"/>
              </w:rPr>
            </w:pPr>
            <w:r w:rsidRPr="000063FC">
              <w:rPr>
                <w:rFonts w:asciiTheme="minorHAnsi" w:hAnsiTheme="minorHAnsi" w:cs="Arial"/>
                <w:b/>
                <w:color w:val="000000"/>
                <w:sz w:val="20"/>
              </w:rPr>
              <w:t>33,2</w:t>
            </w:r>
          </w:p>
        </w:tc>
      </w:tr>
    </w:tbl>
    <w:p w:rsidR="00B23695" w:rsidRPr="000063FC" w:rsidRDefault="00B23695">
      <w:pPr>
        <w:spacing w:line="276" w:lineRule="auto"/>
      </w:pPr>
    </w:p>
    <w:p w:rsidR="00B23695" w:rsidRPr="000063FC" w:rsidRDefault="008B2E49">
      <w:pPr>
        <w:spacing w:line="276" w:lineRule="auto"/>
        <w:rPr>
          <w:szCs w:val="22"/>
        </w:rPr>
      </w:pPr>
      <w:r w:rsidRPr="000063FC">
        <w:rPr>
          <w:szCs w:val="22"/>
        </w:rPr>
        <w:t xml:space="preserve">Rezultat proračuna COPERT modela se iskazuje kao ukupna emisija stakleničkih plinova po pojedinim kategorijama vozila i dana je u tablicama od </w:t>
      </w:r>
      <w:r w:rsidR="008E1FA8" w:rsidRPr="000063FC">
        <w:rPr>
          <w:szCs w:val="22"/>
        </w:rPr>
        <w:t>2</w:t>
      </w:r>
      <w:r w:rsidR="00482AD1" w:rsidRPr="000063FC">
        <w:rPr>
          <w:szCs w:val="22"/>
        </w:rPr>
        <w:t>.</w:t>
      </w:r>
      <w:r w:rsidR="009758DE" w:rsidRPr="000063FC">
        <w:rPr>
          <w:szCs w:val="22"/>
        </w:rPr>
        <w:t>22</w:t>
      </w:r>
      <w:r w:rsidR="008E1FA8" w:rsidRPr="000063FC">
        <w:rPr>
          <w:szCs w:val="22"/>
        </w:rPr>
        <w:t xml:space="preserve"> </w:t>
      </w:r>
      <w:r w:rsidRPr="000063FC">
        <w:rPr>
          <w:szCs w:val="22"/>
        </w:rPr>
        <w:t>do</w:t>
      </w:r>
      <w:r w:rsidR="009758DE" w:rsidRPr="000063FC">
        <w:rPr>
          <w:szCs w:val="22"/>
        </w:rPr>
        <w:t xml:space="preserve"> 2.24</w:t>
      </w:r>
      <w:r w:rsidRPr="000063FC">
        <w:rPr>
          <w:szCs w:val="22"/>
        </w:rPr>
        <w:t xml:space="preserve"> te na slikama od </w:t>
      </w:r>
      <w:r w:rsidR="00243323" w:rsidRPr="000063FC">
        <w:rPr>
          <w:szCs w:val="22"/>
        </w:rPr>
        <w:t>2.8</w:t>
      </w:r>
      <w:r w:rsidR="00482AD1" w:rsidRPr="000063FC">
        <w:rPr>
          <w:szCs w:val="22"/>
        </w:rPr>
        <w:t xml:space="preserve"> do </w:t>
      </w:r>
      <w:r w:rsidR="00243323" w:rsidRPr="000063FC">
        <w:rPr>
          <w:szCs w:val="22"/>
        </w:rPr>
        <w:t>2</w:t>
      </w:r>
      <w:r w:rsidR="00482AD1" w:rsidRPr="000063FC">
        <w:rPr>
          <w:szCs w:val="22"/>
        </w:rPr>
        <w:t>.</w:t>
      </w:r>
      <w:r w:rsidR="00243323" w:rsidRPr="000063FC">
        <w:rPr>
          <w:szCs w:val="22"/>
        </w:rPr>
        <w:t>10</w:t>
      </w:r>
      <w:r w:rsidRPr="000063FC">
        <w:rPr>
          <w:szCs w:val="22"/>
        </w:rPr>
        <w:t>.</w:t>
      </w:r>
    </w:p>
    <w:p w:rsidR="00B23695" w:rsidRPr="000063FC" w:rsidRDefault="00B23695">
      <w:pPr>
        <w:spacing w:line="276" w:lineRule="auto"/>
        <w:rPr>
          <w:szCs w:val="22"/>
        </w:rPr>
      </w:pPr>
    </w:p>
    <w:p w:rsidR="00B23695" w:rsidRPr="000063FC" w:rsidRDefault="008B2E49">
      <w:pPr>
        <w:numPr>
          <w:ilvl w:val="12"/>
          <w:numId w:val="0"/>
        </w:numPr>
        <w:spacing w:line="276" w:lineRule="auto"/>
        <w:rPr>
          <w:szCs w:val="22"/>
        </w:rPr>
      </w:pPr>
      <w:r w:rsidRPr="000063FC">
        <w:rPr>
          <w:szCs w:val="22"/>
        </w:rPr>
        <w:t>Treba napomenuti da je emisija prirodnog plina zbog ograničenja modela proračunata prema prvoj razini proračuna IPCC metodologije</w:t>
      </w:r>
      <w:r w:rsidRPr="000063FC">
        <w:rPr>
          <w:rStyle w:val="FootnoteReference"/>
          <w:szCs w:val="22"/>
        </w:rPr>
        <w:footnoteReference w:id="23"/>
      </w:r>
      <w:r w:rsidRPr="000063FC">
        <w:rPr>
          <w:szCs w:val="22"/>
        </w:rPr>
        <w:t xml:space="preserve">. Detaljan opis metodologije dan je u poglavlju </w:t>
      </w:r>
      <w:r w:rsidR="00FA6537" w:rsidRPr="000063FC">
        <w:rPr>
          <w:szCs w:val="22"/>
        </w:rPr>
        <w:t>2.3</w:t>
      </w:r>
      <w:r w:rsidR="009758DE" w:rsidRPr="000063FC">
        <w:rPr>
          <w:szCs w:val="22"/>
        </w:rPr>
        <w:t>.</w:t>
      </w:r>
      <w:r w:rsidR="00FA6537" w:rsidRPr="000063FC">
        <w:rPr>
          <w:szCs w:val="22"/>
        </w:rPr>
        <w:t>1</w:t>
      </w:r>
      <w:r w:rsidR="00482AD1" w:rsidRPr="000063FC">
        <w:rPr>
          <w:szCs w:val="22"/>
        </w:rPr>
        <w:t>.</w:t>
      </w:r>
    </w:p>
    <w:p w:rsidR="00BC341E" w:rsidRPr="000063FC" w:rsidRDefault="00BC341E">
      <w:pPr>
        <w:pStyle w:val="Caption"/>
      </w:pPr>
    </w:p>
    <w:p w:rsidR="00BC341E" w:rsidRPr="000063FC" w:rsidRDefault="004D587A">
      <w:pPr>
        <w:tabs>
          <w:tab w:val="clear" w:pos="720"/>
          <w:tab w:val="clear" w:pos="6912"/>
        </w:tabs>
        <w:spacing w:line="276" w:lineRule="auto"/>
        <w:jc w:val="left"/>
        <w:rPr>
          <w:b/>
          <w:i/>
          <w:sz w:val="24"/>
        </w:rPr>
      </w:pPr>
      <w:r w:rsidRPr="000063FC">
        <w:br w:type="page"/>
      </w:r>
    </w:p>
    <w:p w:rsidR="00BC341E" w:rsidRPr="000063FC" w:rsidRDefault="008B2E49" w:rsidP="00B33E2F">
      <w:pPr>
        <w:pStyle w:val="Heading6"/>
      </w:pPr>
      <w:bookmarkStart w:id="159" w:name="_Toc254010249"/>
      <w:r w:rsidRPr="000063FC">
        <w:lastRenderedPageBreak/>
        <w:t xml:space="preserve">Tablica </w:t>
      </w:r>
      <w:r w:rsidR="009758DE" w:rsidRPr="000063FC">
        <w:t>2.22</w:t>
      </w:r>
      <w:r w:rsidRPr="000063FC">
        <w:t xml:space="preserve">: Potrošnje goriva i emisije stakleničkih plinova </w:t>
      </w:r>
      <w:r w:rsidR="0076018E" w:rsidRPr="000063FC">
        <w:t>potkategorije osobnih vozila</w:t>
      </w:r>
      <w:bookmarkEnd w:id="159"/>
    </w:p>
    <w:tbl>
      <w:tblPr>
        <w:tblW w:w="9224" w:type="dxa"/>
        <w:tblInd w:w="98" w:type="dxa"/>
        <w:tblBorders>
          <w:top w:val="single" w:sz="8" w:space="0" w:color="4BACC6"/>
          <w:left w:val="single" w:sz="8" w:space="0" w:color="4BACC6"/>
          <w:bottom w:val="single" w:sz="8" w:space="0" w:color="4BACC6"/>
          <w:right w:val="single" w:sz="8" w:space="0" w:color="4BACC6"/>
          <w:insideH w:val="single" w:sz="6" w:space="0" w:color="4BACC6"/>
          <w:insideV w:val="single" w:sz="6" w:space="0" w:color="4BACC6"/>
        </w:tblBorders>
        <w:tblLayout w:type="fixed"/>
        <w:tblLook w:val="0000" w:firstRow="0" w:lastRow="0" w:firstColumn="0" w:lastColumn="0" w:noHBand="0" w:noVBand="0"/>
      </w:tblPr>
      <w:tblGrid>
        <w:gridCol w:w="1003"/>
        <w:gridCol w:w="1275"/>
        <w:gridCol w:w="1418"/>
        <w:gridCol w:w="850"/>
        <w:gridCol w:w="993"/>
        <w:gridCol w:w="992"/>
        <w:gridCol w:w="850"/>
        <w:gridCol w:w="851"/>
        <w:gridCol w:w="992"/>
      </w:tblGrid>
      <w:tr w:rsidR="004D587A" w:rsidRPr="000063FC" w:rsidTr="007D4BA3">
        <w:trPr>
          <w:trHeight w:val="227"/>
        </w:trPr>
        <w:tc>
          <w:tcPr>
            <w:tcW w:w="1003" w:type="dxa"/>
            <w:tcBorders>
              <w:top w:val="single" w:sz="8" w:space="0" w:color="4BACC6"/>
              <w:left w:val="single" w:sz="12" w:space="0" w:color="4BACC6"/>
              <w:bottom w:val="single" w:sz="6" w:space="0" w:color="4BACC6"/>
              <w:right w:val="single" w:sz="6" w:space="0" w:color="FFFFFF"/>
            </w:tcBorders>
            <w:shd w:val="clear" w:color="auto" w:fill="4BACC6"/>
            <w:vAlign w:val="center"/>
          </w:tcPr>
          <w:p w:rsidR="006970AF" w:rsidRPr="000063FC" w:rsidRDefault="008B2E49">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SEKTOR</w:t>
            </w:r>
          </w:p>
        </w:tc>
        <w:tc>
          <w:tcPr>
            <w:tcW w:w="1275" w:type="dxa"/>
            <w:tcBorders>
              <w:top w:val="single" w:sz="8" w:space="0" w:color="4BACC6"/>
              <w:left w:val="single" w:sz="6" w:space="0" w:color="FFFFFF"/>
              <w:right w:val="single" w:sz="6" w:space="0" w:color="FFFFFF"/>
            </w:tcBorders>
            <w:shd w:val="clear" w:color="auto" w:fill="4BACC6"/>
            <w:vAlign w:val="center"/>
          </w:tcPr>
          <w:p w:rsidR="006970AF" w:rsidRPr="000063FC" w:rsidRDefault="008B2E49">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PODSEKTOR</w:t>
            </w:r>
          </w:p>
        </w:tc>
        <w:tc>
          <w:tcPr>
            <w:tcW w:w="1418" w:type="dxa"/>
            <w:tcBorders>
              <w:top w:val="single" w:sz="8" w:space="0" w:color="4BACC6"/>
              <w:left w:val="single" w:sz="6" w:space="0" w:color="FFFFFF"/>
              <w:right w:val="single" w:sz="4" w:space="0" w:color="FFFFFF"/>
            </w:tcBorders>
            <w:shd w:val="clear" w:color="auto" w:fill="4BACC6"/>
            <w:vAlign w:val="center"/>
          </w:tcPr>
          <w:p w:rsidR="006970AF" w:rsidRPr="000063FC" w:rsidRDefault="008B2E49">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TEHNOLOGIJA</w:t>
            </w:r>
          </w:p>
        </w:tc>
        <w:tc>
          <w:tcPr>
            <w:tcW w:w="850" w:type="dxa"/>
            <w:tcBorders>
              <w:top w:val="single" w:sz="8" w:space="0" w:color="4BACC6"/>
              <w:left w:val="single" w:sz="4" w:space="0" w:color="FFFFFF"/>
              <w:right w:val="single" w:sz="6" w:space="0" w:color="FFFFFF"/>
            </w:tcBorders>
            <w:shd w:val="clear" w:color="auto" w:fill="4BACC6"/>
            <w:vAlign w:val="center"/>
          </w:tcPr>
          <w:p w:rsidR="006970AF" w:rsidRPr="000063FC" w:rsidRDefault="008B2E49">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BROJ VOZILA</w:t>
            </w:r>
          </w:p>
        </w:tc>
        <w:tc>
          <w:tcPr>
            <w:tcW w:w="993" w:type="dxa"/>
            <w:tcBorders>
              <w:top w:val="single" w:sz="8" w:space="0" w:color="4BACC6"/>
              <w:left w:val="single" w:sz="6" w:space="0" w:color="FFFFFF"/>
              <w:right w:val="single" w:sz="6" w:space="0" w:color="FFFFFF"/>
            </w:tcBorders>
            <w:shd w:val="clear" w:color="auto" w:fill="4BACC6"/>
            <w:vAlign w:val="center"/>
          </w:tcPr>
          <w:p w:rsidR="006970AF" w:rsidRPr="000063FC" w:rsidRDefault="008B2E49">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POTR. GORIVA t</w:t>
            </w:r>
          </w:p>
        </w:tc>
        <w:tc>
          <w:tcPr>
            <w:tcW w:w="992" w:type="dxa"/>
            <w:tcBorders>
              <w:top w:val="single" w:sz="8" w:space="0" w:color="4BACC6"/>
              <w:left w:val="single" w:sz="6" w:space="0" w:color="FFFFFF"/>
              <w:right w:val="single" w:sz="6" w:space="0" w:color="FFFFFF"/>
            </w:tcBorders>
            <w:shd w:val="clear" w:color="auto" w:fill="4BACC6"/>
            <w:vAlign w:val="center"/>
          </w:tcPr>
          <w:p w:rsidR="006970AF" w:rsidRPr="000063FC" w:rsidRDefault="008B2E49">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CO</w:t>
            </w:r>
            <w:r w:rsidRPr="000063FC">
              <w:rPr>
                <w:rFonts w:asciiTheme="minorHAnsi" w:hAnsiTheme="minorHAnsi" w:cs="Arial"/>
                <w:b/>
                <w:color w:val="FFFFFF"/>
                <w:sz w:val="20"/>
                <w:vertAlign w:val="subscript"/>
              </w:rPr>
              <w:t>2</w:t>
            </w:r>
          </w:p>
        </w:tc>
        <w:tc>
          <w:tcPr>
            <w:tcW w:w="850" w:type="dxa"/>
            <w:tcBorders>
              <w:top w:val="single" w:sz="8" w:space="0" w:color="4BACC6"/>
              <w:left w:val="single" w:sz="6" w:space="0" w:color="FFFFFF"/>
              <w:right w:val="single" w:sz="6" w:space="0" w:color="FFFFFF"/>
            </w:tcBorders>
            <w:shd w:val="clear" w:color="auto" w:fill="4BACC6"/>
            <w:vAlign w:val="center"/>
          </w:tcPr>
          <w:p w:rsidR="006970AF" w:rsidRPr="000063FC" w:rsidRDefault="008B2E49">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CH</w:t>
            </w:r>
            <w:r w:rsidRPr="000063FC">
              <w:rPr>
                <w:rFonts w:asciiTheme="minorHAnsi" w:hAnsiTheme="minorHAnsi" w:cs="Arial"/>
                <w:b/>
                <w:color w:val="FFFFFF"/>
                <w:sz w:val="20"/>
                <w:vertAlign w:val="subscript"/>
              </w:rPr>
              <w:t>4</w:t>
            </w:r>
          </w:p>
        </w:tc>
        <w:tc>
          <w:tcPr>
            <w:tcW w:w="851" w:type="dxa"/>
            <w:tcBorders>
              <w:top w:val="single" w:sz="8" w:space="0" w:color="4BACC6"/>
              <w:left w:val="single" w:sz="6" w:space="0" w:color="FFFFFF"/>
              <w:right w:val="single" w:sz="6" w:space="0" w:color="FFFFFF"/>
            </w:tcBorders>
            <w:shd w:val="clear" w:color="auto" w:fill="4BACC6"/>
            <w:vAlign w:val="center"/>
          </w:tcPr>
          <w:p w:rsidR="006970AF" w:rsidRPr="000063FC" w:rsidRDefault="008B2E49">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N</w:t>
            </w:r>
            <w:r w:rsidRPr="000063FC">
              <w:rPr>
                <w:rFonts w:asciiTheme="minorHAnsi" w:hAnsiTheme="minorHAnsi" w:cs="Arial"/>
                <w:b/>
                <w:color w:val="FFFFFF"/>
                <w:sz w:val="20"/>
                <w:vertAlign w:val="subscript"/>
              </w:rPr>
              <w:t>2</w:t>
            </w:r>
            <w:r w:rsidRPr="000063FC">
              <w:rPr>
                <w:rFonts w:asciiTheme="minorHAnsi" w:hAnsiTheme="minorHAnsi" w:cs="Arial"/>
                <w:b/>
                <w:color w:val="FFFFFF"/>
                <w:sz w:val="20"/>
              </w:rPr>
              <w:t>O</w:t>
            </w:r>
          </w:p>
        </w:tc>
        <w:tc>
          <w:tcPr>
            <w:tcW w:w="992" w:type="dxa"/>
            <w:tcBorders>
              <w:top w:val="single" w:sz="8" w:space="0" w:color="4BACC6"/>
              <w:left w:val="single" w:sz="6" w:space="0" w:color="FFFFFF"/>
              <w:right w:val="single" w:sz="12" w:space="0" w:color="4BACC6"/>
            </w:tcBorders>
            <w:shd w:val="clear" w:color="auto" w:fill="4BACC6"/>
            <w:vAlign w:val="center"/>
          </w:tcPr>
          <w:p w:rsidR="006970AF" w:rsidRPr="000063FC" w:rsidRDefault="008B2E49">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CO</w:t>
            </w:r>
            <w:r w:rsidRPr="000063FC">
              <w:rPr>
                <w:rFonts w:asciiTheme="minorHAnsi" w:hAnsiTheme="minorHAnsi" w:cs="Arial"/>
                <w:b/>
                <w:color w:val="FFFFFF"/>
                <w:sz w:val="20"/>
                <w:vertAlign w:val="subscript"/>
              </w:rPr>
              <w:t>2</w:t>
            </w:r>
            <w:r w:rsidRPr="000063FC">
              <w:rPr>
                <w:rFonts w:asciiTheme="minorHAnsi" w:hAnsiTheme="minorHAnsi" w:cs="Arial"/>
                <w:b/>
                <w:color w:val="FFFFFF"/>
                <w:sz w:val="20"/>
              </w:rPr>
              <w:t>-ekv</w:t>
            </w:r>
          </w:p>
        </w:tc>
      </w:tr>
      <w:tr w:rsidR="004D587A" w:rsidRPr="000063FC" w:rsidTr="007D4BA3">
        <w:trPr>
          <w:trHeight w:val="227"/>
        </w:trPr>
        <w:tc>
          <w:tcPr>
            <w:tcW w:w="1003" w:type="dxa"/>
            <w:vMerge w:val="restart"/>
            <w:tcBorders>
              <w:top w:val="single" w:sz="6" w:space="0" w:color="4BACC6"/>
              <w:left w:val="single" w:sz="12" w:space="0" w:color="4BACC6"/>
              <w:bottom w:val="single" w:sz="8" w:space="0" w:color="4BACC6" w:themeColor="accent5"/>
              <w:right w:val="single" w:sz="12" w:space="0" w:color="4BACC6"/>
            </w:tcBorders>
            <w:noWrap/>
            <w:vAlign w:val="center"/>
          </w:tcPr>
          <w:p w:rsidR="006970AF" w:rsidRPr="000063FC" w:rsidRDefault="008B2E49">
            <w:pPr>
              <w:spacing w:line="240" w:lineRule="auto"/>
              <w:jc w:val="center"/>
              <w:rPr>
                <w:rFonts w:asciiTheme="minorHAnsi" w:hAnsiTheme="minorHAnsi" w:cs="Arial"/>
                <w:sz w:val="20"/>
              </w:rPr>
            </w:pPr>
            <w:r w:rsidRPr="000063FC">
              <w:rPr>
                <w:rFonts w:asciiTheme="minorHAnsi" w:hAnsiTheme="minorHAnsi" w:cs="Arial"/>
                <w:sz w:val="20"/>
              </w:rPr>
              <w:t>Osobna vozila</w:t>
            </w:r>
          </w:p>
        </w:tc>
        <w:tc>
          <w:tcPr>
            <w:tcW w:w="1275" w:type="dxa"/>
            <w:vMerge w:val="restart"/>
            <w:tcBorders>
              <w:left w:val="single" w:sz="12" w:space="0" w:color="4BACC6"/>
            </w:tcBorders>
            <w:noWrap/>
            <w:vAlign w:val="center"/>
          </w:tcPr>
          <w:p w:rsidR="006970AF" w:rsidRPr="000063FC" w:rsidRDefault="008B2E49">
            <w:pPr>
              <w:spacing w:line="240" w:lineRule="auto"/>
              <w:jc w:val="center"/>
              <w:rPr>
                <w:rFonts w:asciiTheme="minorHAnsi" w:hAnsiTheme="minorHAnsi" w:cs="Arial"/>
                <w:sz w:val="20"/>
              </w:rPr>
            </w:pPr>
            <w:r w:rsidRPr="000063FC">
              <w:rPr>
                <w:rFonts w:asciiTheme="minorHAnsi" w:hAnsiTheme="minorHAnsi" w:cs="Arial"/>
                <w:sz w:val="20"/>
              </w:rPr>
              <w:t>Benzin &lt;1,4 l</w:t>
            </w: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PRE ECE</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576</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398,5</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1269,8</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0,77</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0,02</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1292,7</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ECE 15/00-01</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2266</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1391,5</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4434,5</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3,04</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0,08</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4524,7</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ECE 15/02</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2873</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1618,8</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5158,6</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3,86</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0,11</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5273,1</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ECE 15/03</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7492</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4221,3</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13452,3</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10,06</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0,28</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13750,8</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ECE 15/04</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32708</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15795,2</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50335,3</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43,94</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1,23</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51638,2</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 </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14331</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7367,9</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23479,8</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14,65</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5,40</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25461,8</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II </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38545</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19817,0</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63151,8</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16,72</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14,53</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68006,0</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III </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31696</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16295,7</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51930,4</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8,23</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11,95</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55806,4</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bottom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bottom w:val="single" w:sz="12" w:space="0" w:color="4BACC6"/>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IV </w:t>
            </w:r>
          </w:p>
        </w:tc>
        <w:tc>
          <w:tcPr>
            <w:tcW w:w="850" w:type="dxa"/>
            <w:tcBorders>
              <w:left w:val="single" w:sz="4" w:space="0" w:color="4BACC6"/>
              <w:bottom w:val="single" w:sz="12"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20265</w:t>
            </w:r>
          </w:p>
        </w:tc>
        <w:tc>
          <w:tcPr>
            <w:tcW w:w="993"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10418,8</w:t>
            </w:r>
          </w:p>
        </w:tc>
        <w:tc>
          <w:tcPr>
            <w:tcW w:w="992"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33198,7</w:t>
            </w:r>
          </w:p>
        </w:tc>
        <w:tc>
          <w:tcPr>
            <w:tcW w:w="850"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2,52</w:t>
            </w:r>
          </w:p>
        </w:tc>
        <w:tc>
          <w:tcPr>
            <w:tcW w:w="851"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7,64</w:t>
            </w:r>
          </w:p>
        </w:tc>
        <w:tc>
          <w:tcPr>
            <w:tcW w:w="992" w:type="dxa"/>
            <w:tcBorders>
              <w:bottom w:val="single" w:sz="12" w:space="0" w:color="4BACC6"/>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35619,0</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val="restart"/>
            <w:tcBorders>
              <w:top w:val="single" w:sz="12" w:space="0" w:color="4BACC6"/>
              <w:left w:val="single" w:sz="12" w:space="0" w:color="4BACC6"/>
            </w:tcBorders>
            <w:noWrap/>
            <w:vAlign w:val="center"/>
          </w:tcPr>
          <w:p w:rsidR="006970AF" w:rsidRPr="000063FC" w:rsidRDefault="008B2E49">
            <w:pPr>
              <w:spacing w:line="240" w:lineRule="auto"/>
              <w:jc w:val="center"/>
              <w:rPr>
                <w:rFonts w:asciiTheme="minorHAnsi" w:hAnsiTheme="minorHAnsi" w:cs="Arial"/>
                <w:sz w:val="20"/>
              </w:rPr>
            </w:pPr>
            <w:r w:rsidRPr="000063FC">
              <w:rPr>
                <w:rFonts w:asciiTheme="minorHAnsi" w:hAnsiTheme="minorHAnsi" w:cs="Arial"/>
                <w:sz w:val="20"/>
              </w:rPr>
              <w:t>Benzin 1,4 - 2,0 l</w:t>
            </w:r>
          </w:p>
        </w:tc>
        <w:tc>
          <w:tcPr>
            <w:tcW w:w="1418" w:type="dxa"/>
            <w:tcBorders>
              <w:top w:val="single" w:sz="12" w:space="0" w:color="4BACC6"/>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PRE ECE</w:t>
            </w:r>
          </w:p>
        </w:tc>
        <w:tc>
          <w:tcPr>
            <w:tcW w:w="850" w:type="dxa"/>
            <w:tcBorders>
              <w:top w:val="single" w:sz="12" w:space="0" w:color="4BACC6"/>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204</w:t>
            </w:r>
          </w:p>
        </w:tc>
        <w:tc>
          <w:tcPr>
            <w:tcW w:w="993" w:type="dxa"/>
            <w:tcBorders>
              <w:top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167,9</w:t>
            </w:r>
          </w:p>
        </w:tc>
        <w:tc>
          <w:tcPr>
            <w:tcW w:w="992" w:type="dxa"/>
            <w:tcBorders>
              <w:top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534,9</w:t>
            </w:r>
          </w:p>
        </w:tc>
        <w:tc>
          <w:tcPr>
            <w:tcW w:w="850" w:type="dxa"/>
            <w:tcBorders>
              <w:top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0,27</w:t>
            </w:r>
          </w:p>
        </w:tc>
        <w:tc>
          <w:tcPr>
            <w:tcW w:w="851" w:type="dxa"/>
            <w:tcBorders>
              <w:top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0,01</w:t>
            </w:r>
          </w:p>
        </w:tc>
        <w:tc>
          <w:tcPr>
            <w:tcW w:w="992" w:type="dxa"/>
            <w:tcBorders>
              <w:top w:val="single" w:sz="12" w:space="0" w:color="4BACC6"/>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543,1</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ECE 15/00-01</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454</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332,7</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1060,3</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0,61</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0,02</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1078,4</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ECE 15/02</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710</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480,7</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1532,0</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0,95</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0,03</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1560,3</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ECE 15/03</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2016</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1365,0</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4350,0</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2,71</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0,08</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4430,3</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ECE 15/04</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17657</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10418,2</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33200,1</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23,72</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0,66</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33903,4</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 </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13227</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9009,1</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28709,6</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16,27</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4,98</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30596,5</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II </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15249</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10386,3</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33098,4</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8,37</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5,75</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35055,7</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III </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8165</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5561,3</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17722,4</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2,63</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3,08</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18731,5</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bottom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bottom w:val="single" w:sz="12" w:space="0" w:color="4BACC6"/>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IV </w:t>
            </w:r>
          </w:p>
        </w:tc>
        <w:tc>
          <w:tcPr>
            <w:tcW w:w="850" w:type="dxa"/>
            <w:tcBorders>
              <w:left w:val="single" w:sz="4" w:space="0" w:color="4BACC6"/>
              <w:bottom w:val="single" w:sz="12"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6504</w:t>
            </w:r>
          </w:p>
        </w:tc>
        <w:tc>
          <w:tcPr>
            <w:tcW w:w="993"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4429,9</w:t>
            </w:r>
          </w:p>
        </w:tc>
        <w:tc>
          <w:tcPr>
            <w:tcW w:w="992"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14117,1</w:t>
            </w:r>
          </w:p>
        </w:tc>
        <w:tc>
          <w:tcPr>
            <w:tcW w:w="850"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1,05</w:t>
            </w:r>
          </w:p>
        </w:tc>
        <w:tc>
          <w:tcPr>
            <w:tcW w:w="851"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2,45</w:t>
            </w:r>
          </w:p>
        </w:tc>
        <w:tc>
          <w:tcPr>
            <w:tcW w:w="992" w:type="dxa"/>
            <w:tcBorders>
              <w:bottom w:val="single" w:sz="12" w:space="0" w:color="4BACC6"/>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14899,1</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val="restart"/>
            <w:tcBorders>
              <w:top w:val="single" w:sz="12" w:space="0" w:color="4BACC6"/>
              <w:left w:val="single" w:sz="12" w:space="0" w:color="4BACC6"/>
            </w:tcBorders>
            <w:noWrap/>
            <w:vAlign w:val="center"/>
          </w:tcPr>
          <w:p w:rsidR="006970AF" w:rsidRPr="000063FC" w:rsidRDefault="008B2E49">
            <w:pPr>
              <w:spacing w:line="240" w:lineRule="auto"/>
              <w:jc w:val="center"/>
              <w:rPr>
                <w:rFonts w:asciiTheme="minorHAnsi" w:hAnsiTheme="minorHAnsi" w:cs="Arial"/>
                <w:sz w:val="20"/>
              </w:rPr>
            </w:pPr>
            <w:r w:rsidRPr="000063FC">
              <w:rPr>
                <w:rFonts w:asciiTheme="minorHAnsi" w:hAnsiTheme="minorHAnsi" w:cs="Arial"/>
                <w:sz w:val="20"/>
              </w:rPr>
              <w:t>Benzin &gt;2,0 l</w:t>
            </w:r>
          </w:p>
        </w:tc>
        <w:tc>
          <w:tcPr>
            <w:tcW w:w="1418" w:type="dxa"/>
            <w:tcBorders>
              <w:top w:val="single" w:sz="12" w:space="0" w:color="4BACC6"/>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PRE ECE</w:t>
            </w:r>
          </w:p>
        </w:tc>
        <w:tc>
          <w:tcPr>
            <w:tcW w:w="850" w:type="dxa"/>
            <w:tcBorders>
              <w:top w:val="single" w:sz="12" w:space="0" w:color="4BACC6"/>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43</w:t>
            </w:r>
          </w:p>
        </w:tc>
        <w:tc>
          <w:tcPr>
            <w:tcW w:w="993" w:type="dxa"/>
            <w:tcBorders>
              <w:top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43,8</w:t>
            </w:r>
          </w:p>
        </w:tc>
        <w:tc>
          <w:tcPr>
            <w:tcW w:w="992" w:type="dxa"/>
            <w:tcBorders>
              <w:top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139,7</w:t>
            </w:r>
          </w:p>
        </w:tc>
        <w:tc>
          <w:tcPr>
            <w:tcW w:w="850" w:type="dxa"/>
            <w:tcBorders>
              <w:top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0,06</w:t>
            </w:r>
          </w:p>
        </w:tc>
        <w:tc>
          <w:tcPr>
            <w:tcW w:w="851" w:type="dxa"/>
            <w:tcBorders>
              <w:top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0,00</w:t>
            </w:r>
          </w:p>
        </w:tc>
        <w:tc>
          <w:tcPr>
            <w:tcW w:w="992" w:type="dxa"/>
            <w:tcBorders>
              <w:top w:val="single" w:sz="12" w:space="0" w:color="4BACC6"/>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141,4</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ECE 15/00-01</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64</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52,6</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167,8</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0,09</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0,00</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170,3</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ECE 15/02</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132</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110,6</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352,3</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0,18</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0,00</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357,6</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ECE 15/03</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227</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190,1</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605,9</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0,30</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0,01</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615,0</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ECE 15/04</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1338</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1019,8</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3249,9</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1,80</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0,05</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3303,2</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 </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965</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826,8</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2634,9</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1,00</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0,36</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2768,7</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II </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1050</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899,7</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2867,0</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0,48</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0,40</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2999,7</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III </w:t>
            </w:r>
          </w:p>
        </w:tc>
        <w:tc>
          <w:tcPr>
            <w:tcW w:w="850" w:type="dxa"/>
            <w:tcBorders>
              <w:left w:val="single" w:sz="4"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1049</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898,8</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2864,3</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0,28</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0,40</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2992,7</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bottom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bottom w:val="single" w:sz="12" w:space="0" w:color="4BACC6"/>
              <w:right w:val="single" w:sz="4"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IV </w:t>
            </w:r>
          </w:p>
        </w:tc>
        <w:tc>
          <w:tcPr>
            <w:tcW w:w="850" w:type="dxa"/>
            <w:tcBorders>
              <w:left w:val="single" w:sz="4" w:space="0" w:color="4BACC6"/>
              <w:bottom w:val="single" w:sz="12"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656</w:t>
            </w:r>
          </w:p>
        </w:tc>
        <w:tc>
          <w:tcPr>
            <w:tcW w:w="993"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562,1</w:t>
            </w:r>
          </w:p>
        </w:tc>
        <w:tc>
          <w:tcPr>
            <w:tcW w:w="992"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1791,2</w:t>
            </w:r>
          </w:p>
        </w:tc>
        <w:tc>
          <w:tcPr>
            <w:tcW w:w="850"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0,09</w:t>
            </w:r>
          </w:p>
        </w:tc>
        <w:tc>
          <w:tcPr>
            <w:tcW w:w="851"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0,25</w:t>
            </w:r>
          </w:p>
        </w:tc>
        <w:tc>
          <w:tcPr>
            <w:tcW w:w="992" w:type="dxa"/>
            <w:tcBorders>
              <w:bottom w:val="single" w:sz="12" w:space="0" w:color="4BACC6"/>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1869,7</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val="restart"/>
            <w:tcBorders>
              <w:top w:val="single" w:sz="12" w:space="0" w:color="4BACC6"/>
              <w:left w:val="single" w:sz="12" w:space="0" w:color="4BACC6"/>
            </w:tcBorders>
            <w:noWrap/>
            <w:vAlign w:val="center"/>
          </w:tcPr>
          <w:p w:rsidR="006970AF" w:rsidRPr="000063FC" w:rsidRDefault="008B2E49">
            <w:pPr>
              <w:spacing w:line="240" w:lineRule="auto"/>
              <w:jc w:val="center"/>
              <w:rPr>
                <w:rFonts w:asciiTheme="minorHAnsi" w:hAnsiTheme="minorHAnsi" w:cs="Arial"/>
                <w:sz w:val="20"/>
              </w:rPr>
            </w:pPr>
            <w:r w:rsidRPr="000063FC">
              <w:rPr>
                <w:rFonts w:asciiTheme="minorHAnsi" w:hAnsiTheme="minorHAnsi" w:cs="Arial"/>
                <w:sz w:val="20"/>
              </w:rPr>
              <w:t>Dizel &lt;2,0 l</w:t>
            </w:r>
          </w:p>
        </w:tc>
        <w:tc>
          <w:tcPr>
            <w:tcW w:w="1418" w:type="dxa"/>
            <w:tcBorders>
              <w:top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Conventional</w:t>
            </w:r>
          </w:p>
        </w:tc>
        <w:tc>
          <w:tcPr>
            <w:tcW w:w="850" w:type="dxa"/>
            <w:tcBorders>
              <w:top w:val="single" w:sz="12"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25469</w:t>
            </w:r>
          </w:p>
        </w:tc>
        <w:tc>
          <w:tcPr>
            <w:tcW w:w="993" w:type="dxa"/>
            <w:tcBorders>
              <w:top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14623,2</w:t>
            </w:r>
          </w:p>
        </w:tc>
        <w:tc>
          <w:tcPr>
            <w:tcW w:w="992" w:type="dxa"/>
            <w:tcBorders>
              <w:top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45891,1</w:t>
            </w:r>
          </w:p>
        </w:tc>
        <w:tc>
          <w:tcPr>
            <w:tcW w:w="850" w:type="dxa"/>
            <w:tcBorders>
              <w:top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1,18</w:t>
            </w:r>
          </w:p>
        </w:tc>
        <w:tc>
          <w:tcPr>
            <w:tcW w:w="851" w:type="dxa"/>
            <w:tcBorders>
              <w:top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5,16</w:t>
            </w:r>
          </w:p>
        </w:tc>
        <w:tc>
          <w:tcPr>
            <w:tcW w:w="992" w:type="dxa"/>
            <w:tcBorders>
              <w:top w:val="single" w:sz="12" w:space="0" w:color="4BACC6"/>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47514,7</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 </w:t>
            </w:r>
          </w:p>
        </w:tc>
        <w:tc>
          <w:tcPr>
            <w:tcW w:w="850" w:type="dxa"/>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13567</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6706,9</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21047,9</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0,63</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2,75</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21912,8</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II </w:t>
            </w:r>
          </w:p>
        </w:tc>
        <w:tc>
          <w:tcPr>
            <w:tcW w:w="850" w:type="dxa"/>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15739</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7780,7</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24417,6</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0,73</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3,19</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25420,9</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III </w:t>
            </w:r>
          </w:p>
        </w:tc>
        <w:tc>
          <w:tcPr>
            <w:tcW w:w="850" w:type="dxa"/>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23754</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11742,9</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36852,1</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0,98</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4,81</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38363,8</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IV </w:t>
            </w:r>
          </w:p>
        </w:tc>
        <w:tc>
          <w:tcPr>
            <w:tcW w:w="850" w:type="dxa"/>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17673</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8736,7</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27418,0</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0,63</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3,58</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28540,6</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noWrap/>
          </w:tcPr>
          <w:p w:rsidR="006970AF" w:rsidRPr="000063FC" w:rsidRDefault="006970AF">
            <w:pPr>
              <w:spacing w:line="240" w:lineRule="auto"/>
              <w:jc w:val="right"/>
              <w:rPr>
                <w:rFonts w:asciiTheme="minorHAnsi" w:hAnsiTheme="minorHAnsi" w:cs="Arial"/>
                <w:sz w:val="20"/>
              </w:rPr>
            </w:pPr>
          </w:p>
        </w:tc>
        <w:tc>
          <w:tcPr>
            <w:tcW w:w="850" w:type="dxa"/>
          </w:tcPr>
          <w:p w:rsidR="006970AF" w:rsidRPr="000063FC" w:rsidRDefault="006970AF">
            <w:pPr>
              <w:spacing w:line="240" w:lineRule="auto"/>
              <w:jc w:val="right"/>
              <w:rPr>
                <w:rFonts w:asciiTheme="minorHAnsi" w:hAnsiTheme="minorHAnsi" w:cs="Arial"/>
                <w:sz w:val="20"/>
              </w:rPr>
            </w:pPr>
          </w:p>
        </w:tc>
        <w:tc>
          <w:tcPr>
            <w:tcW w:w="993" w:type="dxa"/>
            <w:noWrap/>
          </w:tcPr>
          <w:p w:rsidR="006970AF" w:rsidRPr="000063FC" w:rsidRDefault="006970AF">
            <w:pPr>
              <w:spacing w:line="240" w:lineRule="auto"/>
              <w:jc w:val="right"/>
              <w:rPr>
                <w:rFonts w:asciiTheme="minorHAnsi" w:hAnsiTheme="minorHAnsi" w:cs="Arial"/>
                <w:sz w:val="20"/>
              </w:rPr>
            </w:pPr>
          </w:p>
        </w:tc>
        <w:tc>
          <w:tcPr>
            <w:tcW w:w="992" w:type="dxa"/>
            <w:noWrap/>
          </w:tcPr>
          <w:p w:rsidR="006970AF" w:rsidRPr="000063FC" w:rsidRDefault="006970AF">
            <w:pPr>
              <w:spacing w:line="240" w:lineRule="auto"/>
              <w:jc w:val="right"/>
              <w:rPr>
                <w:rFonts w:asciiTheme="minorHAnsi" w:hAnsiTheme="minorHAnsi" w:cs="Arial"/>
                <w:sz w:val="20"/>
              </w:rPr>
            </w:pPr>
          </w:p>
        </w:tc>
        <w:tc>
          <w:tcPr>
            <w:tcW w:w="850" w:type="dxa"/>
            <w:noWrap/>
          </w:tcPr>
          <w:p w:rsidR="006970AF" w:rsidRPr="000063FC" w:rsidRDefault="006970AF">
            <w:pPr>
              <w:spacing w:line="240" w:lineRule="auto"/>
              <w:jc w:val="right"/>
              <w:rPr>
                <w:rFonts w:asciiTheme="minorHAnsi" w:hAnsiTheme="minorHAnsi" w:cs="Arial"/>
                <w:sz w:val="20"/>
              </w:rPr>
            </w:pPr>
          </w:p>
        </w:tc>
        <w:tc>
          <w:tcPr>
            <w:tcW w:w="851" w:type="dxa"/>
            <w:noWrap/>
          </w:tcPr>
          <w:p w:rsidR="006970AF" w:rsidRPr="000063FC" w:rsidRDefault="006970AF">
            <w:pPr>
              <w:spacing w:line="240" w:lineRule="auto"/>
              <w:jc w:val="right"/>
              <w:rPr>
                <w:rFonts w:asciiTheme="minorHAnsi" w:hAnsiTheme="minorHAnsi" w:cs="Arial"/>
                <w:sz w:val="20"/>
              </w:rPr>
            </w:pPr>
          </w:p>
        </w:tc>
        <w:tc>
          <w:tcPr>
            <w:tcW w:w="992" w:type="dxa"/>
            <w:tcBorders>
              <w:right w:val="single" w:sz="12" w:space="0" w:color="4BACC6"/>
            </w:tcBorders>
            <w:noWrap/>
          </w:tcPr>
          <w:p w:rsidR="006970AF" w:rsidRPr="000063FC" w:rsidRDefault="006970AF">
            <w:pPr>
              <w:spacing w:line="240" w:lineRule="auto"/>
              <w:jc w:val="right"/>
              <w:rPr>
                <w:rFonts w:asciiTheme="minorHAnsi" w:hAnsiTheme="minorHAnsi" w:cs="Arial"/>
                <w:sz w:val="20"/>
              </w:rPr>
            </w:pP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val="restart"/>
            <w:tcBorders>
              <w:left w:val="single" w:sz="12" w:space="0" w:color="4BACC6"/>
            </w:tcBorders>
            <w:vAlign w:val="center"/>
          </w:tcPr>
          <w:p w:rsidR="006970AF" w:rsidRPr="000063FC" w:rsidRDefault="008B2E49">
            <w:pPr>
              <w:spacing w:line="240" w:lineRule="auto"/>
              <w:rPr>
                <w:rFonts w:asciiTheme="minorHAnsi" w:hAnsiTheme="minorHAnsi" w:cs="Arial"/>
                <w:sz w:val="20"/>
              </w:rPr>
            </w:pPr>
            <w:r w:rsidRPr="000063FC">
              <w:rPr>
                <w:rFonts w:asciiTheme="minorHAnsi" w:hAnsiTheme="minorHAnsi" w:cs="Arial"/>
                <w:sz w:val="20"/>
              </w:rPr>
              <w:t>Dizel &gt;2,0 l</w:t>
            </w:r>
          </w:p>
        </w:tc>
        <w:tc>
          <w:tcPr>
            <w:tcW w:w="1418"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Conventional</w:t>
            </w:r>
          </w:p>
        </w:tc>
        <w:tc>
          <w:tcPr>
            <w:tcW w:w="850" w:type="dxa"/>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3287</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1624,9</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5099,5</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0,15</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0,67</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5309,0</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 </w:t>
            </w:r>
          </w:p>
        </w:tc>
        <w:tc>
          <w:tcPr>
            <w:tcW w:w="850" w:type="dxa"/>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1895</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936,8</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2939,9</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0,09</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0,38</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3060,7</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II </w:t>
            </w:r>
          </w:p>
        </w:tc>
        <w:tc>
          <w:tcPr>
            <w:tcW w:w="850" w:type="dxa"/>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2638</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1304,1</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4092,6</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0,11</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0,53</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4260,5</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III </w:t>
            </w:r>
          </w:p>
        </w:tc>
        <w:tc>
          <w:tcPr>
            <w:tcW w:w="850" w:type="dxa"/>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3474</w:t>
            </w:r>
          </w:p>
        </w:tc>
        <w:tc>
          <w:tcPr>
            <w:tcW w:w="993"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1717,4</w:t>
            </w:r>
          </w:p>
        </w:tc>
        <w:tc>
          <w:tcPr>
            <w:tcW w:w="992"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5389,6</w:t>
            </w:r>
          </w:p>
        </w:tc>
        <w:tc>
          <w:tcPr>
            <w:tcW w:w="850"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0,12</w:t>
            </w:r>
          </w:p>
        </w:tc>
        <w:tc>
          <w:tcPr>
            <w:tcW w:w="851" w:type="dxa"/>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0,70</w:t>
            </w:r>
          </w:p>
        </w:tc>
        <w:tc>
          <w:tcPr>
            <w:tcW w:w="992" w:type="dxa"/>
            <w:tcBorders>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5610,3</w:t>
            </w:r>
          </w:p>
        </w:tc>
      </w:tr>
      <w:tr w:rsidR="004D587A" w:rsidRPr="000063FC" w:rsidTr="007D4BA3">
        <w:trPr>
          <w:trHeight w:val="227"/>
        </w:trPr>
        <w:tc>
          <w:tcPr>
            <w:tcW w:w="1003" w:type="dxa"/>
            <w:vMerge/>
            <w:tcBorders>
              <w:top w:val="single" w:sz="6" w:space="0" w:color="4BACC6"/>
              <w:left w:val="single" w:sz="12" w:space="0" w:color="4BACC6"/>
              <w:bottom w:val="single" w:sz="8" w:space="0" w:color="4BACC6" w:themeColor="accent5"/>
              <w:right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275" w:type="dxa"/>
            <w:vMerge/>
            <w:tcBorders>
              <w:left w:val="single" w:sz="12" w:space="0" w:color="4BACC6"/>
              <w:bottom w:val="single" w:sz="12" w:space="0" w:color="4BACC6"/>
            </w:tcBorders>
            <w:vAlign w:val="center"/>
          </w:tcPr>
          <w:p w:rsidR="006970AF" w:rsidRPr="000063FC" w:rsidRDefault="006970AF">
            <w:pPr>
              <w:spacing w:line="240" w:lineRule="auto"/>
              <w:rPr>
                <w:rFonts w:asciiTheme="minorHAnsi" w:hAnsiTheme="minorHAnsi" w:cs="Arial"/>
                <w:sz w:val="20"/>
              </w:rPr>
            </w:pPr>
          </w:p>
        </w:tc>
        <w:tc>
          <w:tcPr>
            <w:tcW w:w="1418"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 xml:space="preserve">Euro IV </w:t>
            </w:r>
          </w:p>
        </w:tc>
        <w:tc>
          <w:tcPr>
            <w:tcW w:w="850" w:type="dxa"/>
            <w:tcBorders>
              <w:bottom w:val="single" w:sz="12" w:space="0" w:color="4BACC6"/>
            </w:tcBorders>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2990</w:t>
            </w:r>
          </w:p>
        </w:tc>
        <w:tc>
          <w:tcPr>
            <w:tcW w:w="993"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1299,1</w:t>
            </w:r>
          </w:p>
        </w:tc>
        <w:tc>
          <w:tcPr>
            <w:tcW w:w="992"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4076,8</w:t>
            </w:r>
          </w:p>
        </w:tc>
        <w:tc>
          <w:tcPr>
            <w:tcW w:w="850"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0,00</w:t>
            </w:r>
          </w:p>
        </w:tc>
        <w:tc>
          <w:tcPr>
            <w:tcW w:w="851" w:type="dxa"/>
            <w:tcBorders>
              <w:bottom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0,00</w:t>
            </w:r>
          </w:p>
        </w:tc>
        <w:tc>
          <w:tcPr>
            <w:tcW w:w="992" w:type="dxa"/>
            <w:tcBorders>
              <w:bottom w:val="single" w:sz="12" w:space="0" w:color="4BACC6"/>
              <w:right w:val="single" w:sz="12" w:space="0" w:color="4BACC6"/>
            </w:tcBorders>
            <w:noWrap/>
          </w:tcPr>
          <w:p w:rsidR="006970AF" w:rsidRPr="000063FC" w:rsidRDefault="008B2E49">
            <w:pPr>
              <w:spacing w:line="240" w:lineRule="auto"/>
              <w:jc w:val="right"/>
              <w:rPr>
                <w:rFonts w:asciiTheme="minorHAnsi" w:hAnsiTheme="minorHAnsi" w:cs="Arial"/>
                <w:sz w:val="20"/>
              </w:rPr>
            </w:pPr>
            <w:r w:rsidRPr="000063FC">
              <w:rPr>
                <w:rFonts w:asciiTheme="minorHAnsi" w:hAnsiTheme="minorHAnsi" w:cs="Arial"/>
                <w:sz w:val="20"/>
              </w:rPr>
              <w:t>4076,8</w:t>
            </w:r>
          </w:p>
        </w:tc>
      </w:tr>
    </w:tbl>
    <w:p w:rsidR="00B23695" w:rsidRPr="000063FC" w:rsidRDefault="00B23695">
      <w:pPr>
        <w:spacing w:line="276" w:lineRule="auto"/>
      </w:pPr>
    </w:p>
    <w:p w:rsidR="00EA3B8D" w:rsidRPr="000063FC" w:rsidRDefault="00EA3B8D">
      <w:pPr>
        <w:tabs>
          <w:tab w:val="clear" w:pos="720"/>
          <w:tab w:val="clear" w:pos="6912"/>
        </w:tabs>
        <w:spacing w:line="240" w:lineRule="auto"/>
        <w:jc w:val="left"/>
      </w:pPr>
      <w:r w:rsidRPr="000063FC">
        <w:br w:type="page"/>
      </w:r>
    </w:p>
    <w:tbl>
      <w:tblPr>
        <w:tblW w:w="9224" w:type="dxa"/>
        <w:tblInd w:w="98" w:type="dxa"/>
        <w:tblBorders>
          <w:top w:val="single" w:sz="8" w:space="0" w:color="4BACC6"/>
          <w:left w:val="single" w:sz="8" w:space="0" w:color="4BACC6"/>
          <w:bottom w:val="single" w:sz="8" w:space="0" w:color="4BACC6"/>
          <w:right w:val="single" w:sz="8" w:space="0" w:color="4BACC6"/>
          <w:insideH w:val="single" w:sz="6" w:space="0" w:color="4BACC6"/>
          <w:insideV w:val="single" w:sz="6" w:space="0" w:color="4BACC6"/>
        </w:tblBorders>
        <w:tblLayout w:type="fixed"/>
        <w:tblLook w:val="0000" w:firstRow="0" w:lastRow="0" w:firstColumn="0" w:lastColumn="0" w:noHBand="0" w:noVBand="0"/>
      </w:tblPr>
      <w:tblGrid>
        <w:gridCol w:w="1002"/>
        <w:gridCol w:w="1276"/>
        <w:gridCol w:w="1418"/>
        <w:gridCol w:w="850"/>
        <w:gridCol w:w="993"/>
        <w:gridCol w:w="992"/>
        <w:gridCol w:w="850"/>
        <w:gridCol w:w="851"/>
        <w:gridCol w:w="992"/>
      </w:tblGrid>
      <w:tr w:rsidR="008B2E49" w:rsidRPr="000063FC" w:rsidTr="00772AF0">
        <w:trPr>
          <w:trHeight w:val="283"/>
        </w:trPr>
        <w:tc>
          <w:tcPr>
            <w:tcW w:w="1002" w:type="dxa"/>
            <w:vMerge w:val="restart"/>
            <w:tcBorders>
              <w:top w:val="single" w:sz="12" w:space="0" w:color="4BACC6"/>
              <w:left w:val="single" w:sz="12" w:space="0" w:color="4BACC6"/>
              <w:right w:val="single" w:sz="12" w:space="0" w:color="4BACC6"/>
            </w:tcBorders>
            <w:vAlign w:val="center"/>
          </w:tcPr>
          <w:p w:rsidR="00BC341E" w:rsidRPr="000063FC" w:rsidRDefault="00BC341E">
            <w:pPr>
              <w:spacing w:line="276" w:lineRule="auto"/>
              <w:rPr>
                <w:rFonts w:asciiTheme="minorHAnsi" w:hAnsiTheme="minorHAnsi" w:cs="Arial"/>
                <w:sz w:val="20"/>
              </w:rPr>
            </w:pPr>
          </w:p>
        </w:tc>
        <w:tc>
          <w:tcPr>
            <w:tcW w:w="1276" w:type="dxa"/>
            <w:vMerge w:val="restart"/>
            <w:tcBorders>
              <w:top w:val="single" w:sz="12" w:space="0" w:color="4BACC6"/>
              <w:left w:val="single" w:sz="12" w:space="0" w:color="4BACC6"/>
            </w:tcBorders>
            <w:noWrap/>
            <w:vAlign w:val="center"/>
          </w:tcPr>
          <w:p w:rsidR="00BC341E" w:rsidRPr="000063FC" w:rsidRDefault="008B2E49">
            <w:pPr>
              <w:spacing w:line="276" w:lineRule="auto"/>
              <w:jc w:val="center"/>
              <w:rPr>
                <w:rFonts w:asciiTheme="minorHAnsi" w:hAnsiTheme="minorHAnsi" w:cs="Arial"/>
                <w:sz w:val="20"/>
              </w:rPr>
            </w:pPr>
            <w:r w:rsidRPr="000063FC">
              <w:rPr>
                <w:rFonts w:asciiTheme="minorHAnsi" w:hAnsiTheme="minorHAnsi" w:cs="Arial"/>
                <w:sz w:val="20"/>
              </w:rPr>
              <w:t>UNP</w:t>
            </w:r>
          </w:p>
        </w:tc>
        <w:tc>
          <w:tcPr>
            <w:tcW w:w="1418" w:type="dxa"/>
            <w:tcBorders>
              <w:top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Conventional</w:t>
            </w:r>
          </w:p>
        </w:tc>
        <w:tc>
          <w:tcPr>
            <w:tcW w:w="850" w:type="dxa"/>
            <w:tcBorders>
              <w:top w:val="single" w:sz="12" w:space="0" w:color="4BACC6"/>
            </w:tcBorders>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957</w:t>
            </w:r>
          </w:p>
        </w:tc>
        <w:tc>
          <w:tcPr>
            <w:tcW w:w="993" w:type="dxa"/>
            <w:tcBorders>
              <w:top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461,6</w:t>
            </w:r>
          </w:p>
        </w:tc>
        <w:tc>
          <w:tcPr>
            <w:tcW w:w="992" w:type="dxa"/>
            <w:tcBorders>
              <w:top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1696,9</w:t>
            </w:r>
          </w:p>
        </w:tc>
        <w:tc>
          <w:tcPr>
            <w:tcW w:w="850" w:type="dxa"/>
            <w:tcBorders>
              <w:top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0,64</w:t>
            </w:r>
          </w:p>
        </w:tc>
        <w:tc>
          <w:tcPr>
            <w:tcW w:w="851" w:type="dxa"/>
            <w:tcBorders>
              <w:top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0,11</w:t>
            </w:r>
          </w:p>
        </w:tc>
        <w:tc>
          <w:tcPr>
            <w:tcW w:w="992" w:type="dxa"/>
            <w:tcBorders>
              <w:top w:val="single" w:sz="12" w:space="0" w:color="4BACC6"/>
              <w:right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1743,6</w:t>
            </w:r>
          </w:p>
        </w:tc>
      </w:tr>
      <w:tr w:rsidR="008B2E49" w:rsidRPr="000063FC" w:rsidTr="004D587A">
        <w:trPr>
          <w:trHeight w:val="283"/>
        </w:trPr>
        <w:tc>
          <w:tcPr>
            <w:tcW w:w="1002" w:type="dxa"/>
            <w:vMerge/>
            <w:tcBorders>
              <w:left w:val="single" w:sz="12" w:space="0" w:color="4BACC6"/>
              <w:right w:val="single" w:sz="12" w:space="0" w:color="4BACC6"/>
            </w:tcBorders>
            <w:vAlign w:val="center"/>
          </w:tcPr>
          <w:p w:rsidR="00BC341E" w:rsidRPr="000063FC" w:rsidRDefault="00BC341E">
            <w:pPr>
              <w:spacing w:line="276" w:lineRule="auto"/>
              <w:rPr>
                <w:rFonts w:asciiTheme="minorHAnsi" w:hAnsiTheme="minorHAnsi" w:cs="Arial"/>
                <w:sz w:val="20"/>
              </w:rPr>
            </w:pPr>
          </w:p>
        </w:tc>
        <w:tc>
          <w:tcPr>
            <w:tcW w:w="1276" w:type="dxa"/>
            <w:vMerge/>
            <w:tcBorders>
              <w:left w:val="single" w:sz="12" w:space="0" w:color="4BACC6"/>
            </w:tcBorders>
            <w:vAlign w:val="center"/>
          </w:tcPr>
          <w:p w:rsidR="00BC341E" w:rsidRPr="000063FC" w:rsidRDefault="00BC341E">
            <w:pPr>
              <w:spacing w:line="276" w:lineRule="auto"/>
              <w:rPr>
                <w:rFonts w:asciiTheme="minorHAnsi" w:hAnsiTheme="minorHAnsi" w:cs="Arial"/>
                <w:sz w:val="20"/>
              </w:rPr>
            </w:pPr>
          </w:p>
        </w:tc>
        <w:tc>
          <w:tcPr>
            <w:tcW w:w="1418"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 xml:space="preserve">Euro I </w:t>
            </w:r>
          </w:p>
        </w:tc>
        <w:tc>
          <w:tcPr>
            <w:tcW w:w="850" w:type="dxa"/>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1033</w:t>
            </w:r>
          </w:p>
        </w:tc>
        <w:tc>
          <w:tcPr>
            <w:tcW w:w="993"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469,0</w:t>
            </w:r>
          </w:p>
        </w:tc>
        <w:tc>
          <w:tcPr>
            <w:tcW w:w="992"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1724,0</w:t>
            </w:r>
          </w:p>
        </w:tc>
        <w:tc>
          <w:tcPr>
            <w:tcW w:w="850"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0,69</w:t>
            </w:r>
          </w:p>
        </w:tc>
        <w:tc>
          <w:tcPr>
            <w:tcW w:w="851"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0,12</w:t>
            </w:r>
          </w:p>
        </w:tc>
        <w:tc>
          <w:tcPr>
            <w:tcW w:w="992" w:type="dxa"/>
            <w:tcBorders>
              <w:right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1774,5</w:t>
            </w:r>
          </w:p>
        </w:tc>
      </w:tr>
      <w:tr w:rsidR="008B2E49" w:rsidRPr="000063FC" w:rsidTr="004D587A">
        <w:trPr>
          <w:trHeight w:val="283"/>
        </w:trPr>
        <w:tc>
          <w:tcPr>
            <w:tcW w:w="1002" w:type="dxa"/>
            <w:vMerge/>
            <w:tcBorders>
              <w:left w:val="single" w:sz="12" w:space="0" w:color="4BACC6"/>
              <w:right w:val="single" w:sz="12" w:space="0" w:color="4BACC6"/>
            </w:tcBorders>
            <w:vAlign w:val="center"/>
          </w:tcPr>
          <w:p w:rsidR="00BC341E" w:rsidRPr="000063FC" w:rsidRDefault="00BC341E">
            <w:pPr>
              <w:spacing w:line="276" w:lineRule="auto"/>
              <w:rPr>
                <w:rFonts w:asciiTheme="minorHAnsi" w:hAnsiTheme="minorHAnsi" w:cs="Arial"/>
                <w:sz w:val="20"/>
              </w:rPr>
            </w:pPr>
          </w:p>
        </w:tc>
        <w:tc>
          <w:tcPr>
            <w:tcW w:w="1276" w:type="dxa"/>
            <w:vMerge/>
            <w:tcBorders>
              <w:left w:val="single" w:sz="12" w:space="0" w:color="4BACC6"/>
            </w:tcBorders>
            <w:vAlign w:val="center"/>
          </w:tcPr>
          <w:p w:rsidR="00BC341E" w:rsidRPr="000063FC" w:rsidRDefault="00BC341E">
            <w:pPr>
              <w:spacing w:line="276" w:lineRule="auto"/>
              <w:rPr>
                <w:rFonts w:asciiTheme="minorHAnsi" w:hAnsiTheme="minorHAnsi" w:cs="Arial"/>
                <w:sz w:val="20"/>
              </w:rPr>
            </w:pPr>
          </w:p>
        </w:tc>
        <w:tc>
          <w:tcPr>
            <w:tcW w:w="1418"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 xml:space="preserve">Euro II </w:t>
            </w:r>
          </w:p>
        </w:tc>
        <w:tc>
          <w:tcPr>
            <w:tcW w:w="850" w:type="dxa"/>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1423</w:t>
            </w:r>
          </w:p>
        </w:tc>
        <w:tc>
          <w:tcPr>
            <w:tcW w:w="993"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646,1</w:t>
            </w:r>
          </w:p>
        </w:tc>
        <w:tc>
          <w:tcPr>
            <w:tcW w:w="992"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2374,9</w:t>
            </w:r>
          </w:p>
        </w:tc>
        <w:tc>
          <w:tcPr>
            <w:tcW w:w="850"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0,25</w:t>
            </w:r>
          </w:p>
        </w:tc>
        <w:tc>
          <w:tcPr>
            <w:tcW w:w="851"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0,16</w:t>
            </w:r>
          </w:p>
        </w:tc>
        <w:tc>
          <w:tcPr>
            <w:tcW w:w="992" w:type="dxa"/>
            <w:tcBorders>
              <w:right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2429,8</w:t>
            </w:r>
          </w:p>
        </w:tc>
      </w:tr>
      <w:tr w:rsidR="008B2E49" w:rsidRPr="000063FC" w:rsidTr="004D587A">
        <w:trPr>
          <w:trHeight w:val="283"/>
        </w:trPr>
        <w:tc>
          <w:tcPr>
            <w:tcW w:w="1002" w:type="dxa"/>
            <w:vMerge/>
            <w:tcBorders>
              <w:left w:val="single" w:sz="12" w:space="0" w:color="4BACC6"/>
              <w:right w:val="single" w:sz="12" w:space="0" w:color="4BACC6"/>
            </w:tcBorders>
            <w:vAlign w:val="center"/>
          </w:tcPr>
          <w:p w:rsidR="00BC341E" w:rsidRPr="000063FC" w:rsidRDefault="00BC341E">
            <w:pPr>
              <w:spacing w:line="276" w:lineRule="auto"/>
              <w:rPr>
                <w:rFonts w:asciiTheme="minorHAnsi" w:hAnsiTheme="minorHAnsi" w:cs="Arial"/>
                <w:sz w:val="20"/>
              </w:rPr>
            </w:pPr>
          </w:p>
        </w:tc>
        <w:tc>
          <w:tcPr>
            <w:tcW w:w="1276" w:type="dxa"/>
            <w:vMerge/>
            <w:tcBorders>
              <w:left w:val="single" w:sz="12" w:space="0" w:color="4BACC6"/>
            </w:tcBorders>
            <w:vAlign w:val="center"/>
          </w:tcPr>
          <w:p w:rsidR="00BC341E" w:rsidRPr="000063FC" w:rsidRDefault="00BC341E">
            <w:pPr>
              <w:spacing w:line="276" w:lineRule="auto"/>
              <w:rPr>
                <w:rFonts w:asciiTheme="minorHAnsi" w:hAnsiTheme="minorHAnsi" w:cs="Arial"/>
                <w:sz w:val="20"/>
              </w:rPr>
            </w:pPr>
          </w:p>
        </w:tc>
        <w:tc>
          <w:tcPr>
            <w:tcW w:w="1418"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 xml:space="preserve">Euro III </w:t>
            </w:r>
          </w:p>
        </w:tc>
        <w:tc>
          <w:tcPr>
            <w:tcW w:w="850" w:type="dxa"/>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831</w:t>
            </w:r>
          </w:p>
        </w:tc>
        <w:tc>
          <w:tcPr>
            <w:tcW w:w="993"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377,3</w:t>
            </w:r>
          </w:p>
        </w:tc>
        <w:tc>
          <w:tcPr>
            <w:tcW w:w="992"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1386,9</w:t>
            </w:r>
          </w:p>
        </w:tc>
        <w:tc>
          <w:tcPr>
            <w:tcW w:w="850"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0,10</w:t>
            </w:r>
          </w:p>
        </w:tc>
        <w:tc>
          <w:tcPr>
            <w:tcW w:w="851" w:type="dxa"/>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0,09</w:t>
            </w:r>
          </w:p>
        </w:tc>
        <w:tc>
          <w:tcPr>
            <w:tcW w:w="992" w:type="dxa"/>
            <w:tcBorders>
              <w:right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1417,9</w:t>
            </w:r>
          </w:p>
        </w:tc>
      </w:tr>
      <w:tr w:rsidR="008B2E49" w:rsidRPr="000063FC" w:rsidTr="004D587A">
        <w:trPr>
          <w:trHeight w:val="283"/>
        </w:trPr>
        <w:tc>
          <w:tcPr>
            <w:tcW w:w="1002" w:type="dxa"/>
            <w:vMerge/>
            <w:tcBorders>
              <w:left w:val="single" w:sz="12" w:space="0" w:color="4BACC6"/>
              <w:right w:val="single" w:sz="12" w:space="0" w:color="4BACC6"/>
            </w:tcBorders>
            <w:vAlign w:val="center"/>
          </w:tcPr>
          <w:p w:rsidR="00BC341E" w:rsidRPr="000063FC" w:rsidRDefault="00BC341E">
            <w:pPr>
              <w:spacing w:line="276" w:lineRule="auto"/>
              <w:rPr>
                <w:rFonts w:asciiTheme="minorHAnsi" w:hAnsiTheme="minorHAnsi" w:cs="Arial"/>
                <w:sz w:val="20"/>
              </w:rPr>
            </w:pPr>
          </w:p>
        </w:tc>
        <w:tc>
          <w:tcPr>
            <w:tcW w:w="1276" w:type="dxa"/>
            <w:vMerge/>
            <w:tcBorders>
              <w:left w:val="single" w:sz="12" w:space="0" w:color="4BACC6"/>
              <w:bottom w:val="single" w:sz="12" w:space="0" w:color="4BACC6"/>
            </w:tcBorders>
            <w:vAlign w:val="center"/>
          </w:tcPr>
          <w:p w:rsidR="00BC341E" w:rsidRPr="000063FC" w:rsidRDefault="00BC341E">
            <w:pPr>
              <w:spacing w:line="276" w:lineRule="auto"/>
              <w:rPr>
                <w:rFonts w:asciiTheme="minorHAnsi" w:hAnsiTheme="minorHAnsi" w:cs="Arial"/>
                <w:sz w:val="20"/>
              </w:rPr>
            </w:pPr>
          </w:p>
        </w:tc>
        <w:tc>
          <w:tcPr>
            <w:tcW w:w="1418" w:type="dxa"/>
            <w:tcBorders>
              <w:bottom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 xml:space="preserve">Euro IV </w:t>
            </w:r>
          </w:p>
        </w:tc>
        <w:tc>
          <w:tcPr>
            <w:tcW w:w="850" w:type="dxa"/>
            <w:tcBorders>
              <w:bottom w:val="single" w:sz="12" w:space="0" w:color="4BACC6"/>
            </w:tcBorders>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724</w:t>
            </w:r>
          </w:p>
        </w:tc>
        <w:tc>
          <w:tcPr>
            <w:tcW w:w="993" w:type="dxa"/>
            <w:tcBorders>
              <w:bottom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328,7</w:t>
            </w:r>
          </w:p>
        </w:tc>
        <w:tc>
          <w:tcPr>
            <w:tcW w:w="992" w:type="dxa"/>
            <w:tcBorders>
              <w:bottom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1208,3</w:t>
            </w:r>
          </w:p>
        </w:tc>
        <w:tc>
          <w:tcPr>
            <w:tcW w:w="850" w:type="dxa"/>
            <w:tcBorders>
              <w:bottom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0,03</w:t>
            </w:r>
          </w:p>
        </w:tc>
        <w:tc>
          <w:tcPr>
            <w:tcW w:w="851" w:type="dxa"/>
            <w:tcBorders>
              <w:bottom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0,08</w:t>
            </w:r>
          </w:p>
        </w:tc>
        <w:tc>
          <w:tcPr>
            <w:tcW w:w="992" w:type="dxa"/>
            <w:tcBorders>
              <w:bottom w:val="single" w:sz="12" w:space="0" w:color="4BACC6"/>
              <w:right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1234,1</w:t>
            </w:r>
          </w:p>
        </w:tc>
      </w:tr>
      <w:tr w:rsidR="008B2E49" w:rsidRPr="000063FC" w:rsidTr="004D587A">
        <w:trPr>
          <w:trHeight w:val="283"/>
        </w:trPr>
        <w:tc>
          <w:tcPr>
            <w:tcW w:w="1002" w:type="dxa"/>
            <w:vMerge/>
            <w:tcBorders>
              <w:left w:val="single" w:sz="12" w:space="0" w:color="4BACC6"/>
              <w:right w:val="single" w:sz="12" w:space="0" w:color="4BACC6"/>
            </w:tcBorders>
            <w:vAlign w:val="center"/>
          </w:tcPr>
          <w:p w:rsidR="00BC341E" w:rsidRPr="000063FC" w:rsidRDefault="00BC341E">
            <w:pPr>
              <w:spacing w:line="276" w:lineRule="auto"/>
              <w:rPr>
                <w:rFonts w:asciiTheme="minorHAnsi" w:hAnsiTheme="minorHAnsi" w:cs="Arial"/>
                <w:sz w:val="20"/>
              </w:rPr>
            </w:pPr>
          </w:p>
        </w:tc>
        <w:tc>
          <w:tcPr>
            <w:tcW w:w="1276" w:type="dxa"/>
            <w:tcBorders>
              <w:top w:val="single" w:sz="12" w:space="0" w:color="4BACC6"/>
              <w:left w:val="single" w:sz="12" w:space="0" w:color="4BACC6"/>
              <w:bottom w:val="single" w:sz="12" w:space="0" w:color="4BACC6"/>
            </w:tcBorders>
            <w:noWrap/>
            <w:vAlign w:val="bottom"/>
          </w:tcPr>
          <w:p w:rsidR="00BC341E" w:rsidRPr="000063FC" w:rsidRDefault="008B2E49">
            <w:pPr>
              <w:spacing w:line="276" w:lineRule="auto"/>
              <w:rPr>
                <w:rFonts w:asciiTheme="minorHAnsi" w:hAnsiTheme="minorHAnsi" w:cs="Arial"/>
                <w:sz w:val="20"/>
              </w:rPr>
            </w:pPr>
            <w:r w:rsidRPr="000063FC">
              <w:rPr>
                <w:rFonts w:asciiTheme="minorHAnsi" w:hAnsiTheme="minorHAnsi" w:cs="Arial"/>
                <w:sz w:val="20"/>
              </w:rPr>
              <w:t>2-taktni</w:t>
            </w:r>
          </w:p>
        </w:tc>
        <w:tc>
          <w:tcPr>
            <w:tcW w:w="1418" w:type="dxa"/>
            <w:tcBorders>
              <w:top w:val="single" w:sz="12" w:space="0" w:color="4BACC6"/>
              <w:bottom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Conventional</w:t>
            </w:r>
          </w:p>
        </w:tc>
        <w:tc>
          <w:tcPr>
            <w:tcW w:w="850" w:type="dxa"/>
            <w:tcBorders>
              <w:top w:val="single" w:sz="12" w:space="0" w:color="4BACC6"/>
              <w:bottom w:val="single" w:sz="12" w:space="0" w:color="4BACC6"/>
            </w:tcBorders>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352</w:t>
            </w:r>
          </w:p>
        </w:tc>
        <w:tc>
          <w:tcPr>
            <w:tcW w:w="993" w:type="dxa"/>
            <w:tcBorders>
              <w:top w:val="single" w:sz="12" w:space="0" w:color="4BACC6"/>
              <w:bottom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281,1</w:t>
            </w:r>
          </w:p>
        </w:tc>
        <w:tc>
          <w:tcPr>
            <w:tcW w:w="992" w:type="dxa"/>
            <w:tcBorders>
              <w:top w:val="single" w:sz="12" w:space="0" w:color="4BACC6"/>
              <w:bottom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894,1</w:t>
            </w:r>
          </w:p>
        </w:tc>
        <w:tc>
          <w:tcPr>
            <w:tcW w:w="850" w:type="dxa"/>
            <w:tcBorders>
              <w:top w:val="single" w:sz="12" w:space="0" w:color="4BACC6"/>
              <w:bottom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0,36</w:t>
            </w:r>
          </w:p>
        </w:tc>
        <w:tc>
          <w:tcPr>
            <w:tcW w:w="851" w:type="dxa"/>
            <w:tcBorders>
              <w:top w:val="single" w:sz="12" w:space="0" w:color="4BACC6"/>
              <w:bottom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0,01</w:t>
            </w:r>
          </w:p>
        </w:tc>
        <w:tc>
          <w:tcPr>
            <w:tcW w:w="992" w:type="dxa"/>
            <w:tcBorders>
              <w:top w:val="single" w:sz="12" w:space="0" w:color="4BACC6"/>
              <w:bottom w:val="single" w:sz="12" w:space="0" w:color="4BACC6"/>
              <w:right w:val="single" w:sz="12" w:space="0" w:color="4BACC6"/>
            </w:tcBorders>
            <w:noWrap/>
          </w:tcPr>
          <w:p w:rsidR="00BC341E" w:rsidRPr="000063FC" w:rsidRDefault="008B2E49">
            <w:pPr>
              <w:spacing w:line="276" w:lineRule="auto"/>
              <w:jc w:val="right"/>
              <w:rPr>
                <w:rFonts w:asciiTheme="minorHAnsi" w:hAnsiTheme="minorHAnsi" w:cs="Arial"/>
                <w:sz w:val="20"/>
              </w:rPr>
            </w:pPr>
            <w:r w:rsidRPr="000063FC">
              <w:rPr>
                <w:rFonts w:asciiTheme="minorHAnsi" w:hAnsiTheme="minorHAnsi" w:cs="Arial"/>
                <w:sz w:val="20"/>
              </w:rPr>
              <w:t>905,9</w:t>
            </w:r>
          </w:p>
        </w:tc>
      </w:tr>
      <w:tr w:rsidR="008B2E49" w:rsidRPr="000063FC" w:rsidTr="004D587A">
        <w:trPr>
          <w:trHeight w:val="283"/>
        </w:trPr>
        <w:tc>
          <w:tcPr>
            <w:tcW w:w="1002" w:type="dxa"/>
            <w:vMerge/>
            <w:tcBorders>
              <w:left w:val="single" w:sz="12" w:space="0" w:color="4BACC6"/>
              <w:right w:val="single" w:sz="12" w:space="0" w:color="4BACC6"/>
            </w:tcBorders>
            <w:shd w:val="clear" w:color="auto" w:fill="DAEEF3"/>
            <w:vAlign w:val="center"/>
          </w:tcPr>
          <w:p w:rsidR="00BC341E" w:rsidRPr="000063FC" w:rsidRDefault="00BC341E">
            <w:pPr>
              <w:spacing w:line="276" w:lineRule="auto"/>
              <w:jc w:val="center"/>
              <w:rPr>
                <w:rFonts w:asciiTheme="minorHAnsi" w:hAnsiTheme="minorHAnsi" w:cs="Arial"/>
                <w:b/>
                <w:sz w:val="20"/>
              </w:rPr>
            </w:pPr>
          </w:p>
        </w:tc>
        <w:tc>
          <w:tcPr>
            <w:tcW w:w="2694" w:type="dxa"/>
            <w:gridSpan w:val="2"/>
            <w:tcBorders>
              <w:top w:val="single" w:sz="12" w:space="0" w:color="4BACC6"/>
              <w:left w:val="single" w:sz="12" w:space="0" w:color="4BACC6"/>
            </w:tcBorders>
            <w:shd w:val="clear" w:color="auto" w:fill="DAEEF3"/>
          </w:tcPr>
          <w:p w:rsidR="00BC341E" w:rsidRPr="000063FC" w:rsidRDefault="008B2E49">
            <w:pPr>
              <w:spacing w:line="276" w:lineRule="auto"/>
              <w:jc w:val="right"/>
              <w:rPr>
                <w:rFonts w:asciiTheme="minorHAnsi" w:hAnsiTheme="minorHAnsi" w:cs="Arial"/>
                <w:b/>
                <w:sz w:val="20"/>
              </w:rPr>
            </w:pPr>
            <w:r w:rsidRPr="000063FC">
              <w:rPr>
                <w:rFonts w:asciiTheme="minorHAnsi" w:hAnsiTheme="minorHAnsi" w:cs="Arial"/>
                <w:b/>
                <w:sz w:val="20"/>
              </w:rPr>
              <w:t>UKUPNO BENZIN</w:t>
            </w:r>
          </w:p>
        </w:tc>
        <w:tc>
          <w:tcPr>
            <w:tcW w:w="850" w:type="dxa"/>
            <w:tcBorders>
              <w:top w:val="single" w:sz="12" w:space="0" w:color="4BACC6"/>
            </w:tcBorders>
            <w:shd w:val="clear" w:color="auto" w:fill="DAEEF3"/>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220814</w:t>
            </w:r>
          </w:p>
        </w:tc>
        <w:tc>
          <w:tcPr>
            <w:tcW w:w="993" w:type="dxa"/>
            <w:tcBorders>
              <w:top w:val="single" w:sz="12" w:space="0" w:color="4BACC6"/>
            </w:tcBorders>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124361,2</w:t>
            </w:r>
          </w:p>
        </w:tc>
        <w:tc>
          <w:tcPr>
            <w:tcW w:w="992" w:type="dxa"/>
            <w:tcBorders>
              <w:top w:val="single" w:sz="12" w:space="0" w:color="4BACC6"/>
            </w:tcBorders>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396303,1</w:t>
            </w:r>
          </w:p>
        </w:tc>
        <w:tc>
          <w:tcPr>
            <w:tcW w:w="850" w:type="dxa"/>
            <w:tcBorders>
              <w:top w:val="single" w:sz="12" w:space="0" w:color="4BACC6"/>
            </w:tcBorders>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165,01</w:t>
            </w:r>
          </w:p>
        </w:tc>
        <w:tc>
          <w:tcPr>
            <w:tcW w:w="851" w:type="dxa"/>
            <w:tcBorders>
              <w:top w:val="single" w:sz="12" w:space="0" w:color="4BACC6"/>
            </w:tcBorders>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59,78</w:t>
            </w:r>
          </w:p>
        </w:tc>
        <w:tc>
          <w:tcPr>
            <w:tcW w:w="992" w:type="dxa"/>
            <w:tcBorders>
              <w:top w:val="single" w:sz="12" w:space="0" w:color="4BACC6"/>
              <w:right w:val="single" w:sz="12" w:space="0" w:color="4BACC6"/>
            </w:tcBorders>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418295,2</w:t>
            </w:r>
          </w:p>
        </w:tc>
      </w:tr>
      <w:tr w:rsidR="008B2E49" w:rsidRPr="000063FC" w:rsidTr="004D587A">
        <w:trPr>
          <w:trHeight w:val="283"/>
        </w:trPr>
        <w:tc>
          <w:tcPr>
            <w:tcW w:w="1002" w:type="dxa"/>
            <w:vMerge/>
            <w:tcBorders>
              <w:left w:val="single" w:sz="12" w:space="0" w:color="4BACC6"/>
              <w:right w:val="single" w:sz="12" w:space="0" w:color="4BACC6"/>
            </w:tcBorders>
            <w:shd w:val="clear" w:color="auto" w:fill="DAEEF3"/>
            <w:vAlign w:val="center"/>
          </w:tcPr>
          <w:p w:rsidR="00BC341E" w:rsidRPr="000063FC" w:rsidRDefault="00BC341E">
            <w:pPr>
              <w:spacing w:line="276" w:lineRule="auto"/>
              <w:jc w:val="center"/>
              <w:rPr>
                <w:rFonts w:asciiTheme="minorHAnsi" w:hAnsiTheme="minorHAnsi" w:cs="Arial"/>
                <w:b/>
                <w:sz w:val="20"/>
              </w:rPr>
            </w:pPr>
          </w:p>
        </w:tc>
        <w:tc>
          <w:tcPr>
            <w:tcW w:w="2694" w:type="dxa"/>
            <w:gridSpan w:val="2"/>
            <w:tcBorders>
              <w:left w:val="single" w:sz="12" w:space="0" w:color="4BACC6"/>
            </w:tcBorders>
            <w:shd w:val="clear" w:color="auto" w:fill="DAEEF3"/>
          </w:tcPr>
          <w:p w:rsidR="00BC341E" w:rsidRPr="000063FC" w:rsidRDefault="008B2E49">
            <w:pPr>
              <w:spacing w:line="276" w:lineRule="auto"/>
              <w:jc w:val="right"/>
              <w:rPr>
                <w:rFonts w:asciiTheme="minorHAnsi" w:hAnsiTheme="minorHAnsi" w:cs="Arial"/>
                <w:b/>
                <w:sz w:val="20"/>
              </w:rPr>
            </w:pPr>
            <w:r w:rsidRPr="000063FC">
              <w:rPr>
                <w:rFonts w:asciiTheme="minorHAnsi" w:hAnsiTheme="minorHAnsi" w:cs="Arial"/>
                <w:b/>
                <w:sz w:val="20"/>
              </w:rPr>
              <w:t>UKUPNO DIZEL</w:t>
            </w:r>
          </w:p>
        </w:tc>
        <w:tc>
          <w:tcPr>
            <w:tcW w:w="850" w:type="dxa"/>
            <w:shd w:val="clear" w:color="auto" w:fill="DAEEF3"/>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110486</w:t>
            </w:r>
          </w:p>
        </w:tc>
        <w:tc>
          <w:tcPr>
            <w:tcW w:w="993" w:type="dxa"/>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56472,7</w:t>
            </w:r>
          </w:p>
        </w:tc>
        <w:tc>
          <w:tcPr>
            <w:tcW w:w="992" w:type="dxa"/>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177225,1</w:t>
            </w:r>
          </w:p>
        </w:tc>
        <w:tc>
          <w:tcPr>
            <w:tcW w:w="850" w:type="dxa"/>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4,62</w:t>
            </w:r>
          </w:p>
        </w:tc>
        <w:tc>
          <w:tcPr>
            <w:tcW w:w="851" w:type="dxa"/>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21,77</w:t>
            </w:r>
          </w:p>
        </w:tc>
        <w:tc>
          <w:tcPr>
            <w:tcW w:w="992" w:type="dxa"/>
            <w:tcBorders>
              <w:right w:val="single" w:sz="12" w:space="0" w:color="4BACC6"/>
            </w:tcBorders>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184070,1</w:t>
            </w:r>
          </w:p>
        </w:tc>
      </w:tr>
      <w:tr w:rsidR="008B2E49" w:rsidRPr="000063FC" w:rsidTr="004D587A">
        <w:trPr>
          <w:trHeight w:val="283"/>
        </w:trPr>
        <w:tc>
          <w:tcPr>
            <w:tcW w:w="1002" w:type="dxa"/>
            <w:vMerge/>
            <w:tcBorders>
              <w:left w:val="single" w:sz="12" w:space="0" w:color="4BACC6"/>
              <w:right w:val="single" w:sz="12" w:space="0" w:color="4BACC6"/>
            </w:tcBorders>
            <w:shd w:val="clear" w:color="auto" w:fill="DAEEF3"/>
            <w:vAlign w:val="center"/>
          </w:tcPr>
          <w:p w:rsidR="00BC341E" w:rsidRPr="000063FC" w:rsidRDefault="00BC341E">
            <w:pPr>
              <w:spacing w:line="276" w:lineRule="auto"/>
              <w:jc w:val="center"/>
              <w:rPr>
                <w:rFonts w:asciiTheme="minorHAnsi" w:hAnsiTheme="minorHAnsi" w:cs="Arial"/>
                <w:b/>
                <w:sz w:val="20"/>
              </w:rPr>
            </w:pPr>
          </w:p>
        </w:tc>
        <w:tc>
          <w:tcPr>
            <w:tcW w:w="2694" w:type="dxa"/>
            <w:gridSpan w:val="2"/>
            <w:tcBorders>
              <w:left w:val="single" w:sz="12" w:space="0" w:color="4BACC6"/>
            </w:tcBorders>
            <w:shd w:val="clear" w:color="auto" w:fill="DAEEF3"/>
          </w:tcPr>
          <w:p w:rsidR="00BC341E" w:rsidRPr="000063FC" w:rsidRDefault="008B2E49">
            <w:pPr>
              <w:spacing w:line="276" w:lineRule="auto"/>
              <w:jc w:val="right"/>
              <w:rPr>
                <w:rFonts w:asciiTheme="minorHAnsi" w:hAnsiTheme="minorHAnsi" w:cs="Arial"/>
                <w:b/>
                <w:sz w:val="20"/>
              </w:rPr>
            </w:pPr>
            <w:r w:rsidRPr="000063FC">
              <w:rPr>
                <w:rFonts w:asciiTheme="minorHAnsi" w:hAnsiTheme="minorHAnsi" w:cs="Arial"/>
                <w:b/>
                <w:sz w:val="20"/>
              </w:rPr>
              <w:t>UKUPNO LPG</w:t>
            </w:r>
          </w:p>
        </w:tc>
        <w:tc>
          <w:tcPr>
            <w:tcW w:w="850" w:type="dxa"/>
            <w:shd w:val="clear" w:color="auto" w:fill="DAEEF3"/>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4968</w:t>
            </w:r>
          </w:p>
        </w:tc>
        <w:tc>
          <w:tcPr>
            <w:tcW w:w="993" w:type="dxa"/>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2282,7</w:t>
            </w:r>
          </w:p>
        </w:tc>
        <w:tc>
          <w:tcPr>
            <w:tcW w:w="992" w:type="dxa"/>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8391</w:t>
            </w:r>
          </w:p>
        </w:tc>
        <w:tc>
          <w:tcPr>
            <w:tcW w:w="850" w:type="dxa"/>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1,71</w:t>
            </w:r>
          </w:p>
        </w:tc>
        <w:tc>
          <w:tcPr>
            <w:tcW w:w="851" w:type="dxa"/>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0,56</w:t>
            </w:r>
          </w:p>
        </w:tc>
        <w:tc>
          <w:tcPr>
            <w:tcW w:w="992" w:type="dxa"/>
            <w:tcBorders>
              <w:right w:val="single" w:sz="12" w:space="0" w:color="4BACC6"/>
            </w:tcBorders>
            <w:shd w:val="clear" w:color="auto" w:fill="DAEEF3"/>
            <w:noWrap/>
          </w:tcPr>
          <w:p w:rsidR="00BC341E" w:rsidRPr="000063FC" w:rsidRDefault="008B2E49">
            <w:pPr>
              <w:spacing w:line="276" w:lineRule="auto"/>
              <w:jc w:val="right"/>
              <w:rPr>
                <w:rFonts w:asciiTheme="minorHAnsi" w:hAnsiTheme="minorHAnsi" w:cs="Arial"/>
                <w:color w:val="000000"/>
                <w:sz w:val="20"/>
              </w:rPr>
            </w:pPr>
            <w:r w:rsidRPr="000063FC">
              <w:rPr>
                <w:rFonts w:asciiTheme="minorHAnsi" w:hAnsiTheme="minorHAnsi" w:cs="Arial"/>
                <w:color w:val="000000"/>
                <w:sz w:val="20"/>
              </w:rPr>
              <w:t>8599,9</w:t>
            </w:r>
          </w:p>
        </w:tc>
      </w:tr>
      <w:tr w:rsidR="008B2E49" w:rsidRPr="000063FC" w:rsidTr="004D587A">
        <w:trPr>
          <w:trHeight w:val="283"/>
        </w:trPr>
        <w:tc>
          <w:tcPr>
            <w:tcW w:w="3696" w:type="dxa"/>
            <w:gridSpan w:val="3"/>
            <w:tcBorders>
              <w:top w:val="single" w:sz="12" w:space="0" w:color="4BACC6"/>
              <w:left w:val="single" w:sz="12" w:space="0" w:color="4BACC6"/>
              <w:bottom w:val="single" w:sz="12" w:space="0" w:color="4BACC6"/>
              <w:right w:val="single" w:sz="6" w:space="0" w:color="FFFFFF"/>
            </w:tcBorders>
            <w:shd w:val="clear" w:color="auto" w:fill="4BACC6"/>
            <w:vAlign w:val="center"/>
          </w:tcPr>
          <w:p w:rsidR="00BC341E" w:rsidRPr="000063FC" w:rsidRDefault="008B2E49">
            <w:pPr>
              <w:spacing w:line="276" w:lineRule="auto"/>
              <w:jc w:val="center"/>
              <w:rPr>
                <w:rFonts w:asciiTheme="minorHAnsi" w:hAnsiTheme="minorHAnsi" w:cs="Arial"/>
                <w:b/>
                <w:color w:val="FFFFFF"/>
                <w:sz w:val="20"/>
              </w:rPr>
            </w:pPr>
            <w:bookmarkStart w:id="160" w:name="OLE_LINK1"/>
            <w:r w:rsidRPr="000063FC">
              <w:rPr>
                <w:rFonts w:asciiTheme="minorHAnsi" w:hAnsiTheme="minorHAnsi" w:cs="Arial"/>
                <w:b/>
                <w:color w:val="FFFFFF"/>
                <w:sz w:val="20"/>
              </w:rPr>
              <w:t>UKUPNO**</w:t>
            </w:r>
          </w:p>
        </w:tc>
        <w:tc>
          <w:tcPr>
            <w:tcW w:w="850" w:type="dxa"/>
            <w:tcBorders>
              <w:top w:val="single" w:sz="12" w:space="0" w:color="4BACC6"/>
              <w:left w:val="single" w:sz="6" w:space="0" w:color="FFFFFF"/>
              <w:bottom w:val="single" w:sz="12" w:space="0" w:color="4BACC6"/>
              <w:right w:val="single" w:sz="6" w:space="0" w:color="FFFFFF"/>
            </w:tcBorders>
            <w:shd w:val="clear" w:color="auto" w:fill="4BACC6"/>
            <w:vAlign w:val="center"/>
          </w:tcPr>
          <w:p w:rsidR="00BC341E" w:rsidRPr="000063FC" w:rsidRDefault="008B2E49">
            <w:pPr>
              <w:spacing w:line="276" w:lineRule="auto"/>
              <w:jc w:val="center"/>
              <w:rPr>
                <w:rFonts w:asciiTheme="minorHAnsi" w:hAnsiTheme="minorHAnsi" w:cs="Arial"/>
                <w:b/>
                <w:bCs/>
                <w:color w:val="FFFFFF"/>
                <w:sz w:val="20"/>
              </w:rPr>
            </w:pPr>
            <w:r w:rsidRPr="000063FC">
              <w:rPr>
                <w:rFonts w:asciiTheme="minorHAnsi" w:hAnsiTheme="minorHAnsi" w:cs="Arial"/>
                <w:b/>
                <w:bCs/>
                <w:color w:val="FFFFFF"/>
                <w:sz w:val="20"/>
              </w:rPr>
              <w:t>336268</w:t>
            </w:r>
          </w:p>
        </w:tc>
        <w:tc>
          <w:tcPr>
            <w:tcW w:w="993" w:type="dxa"/>
            <w:tcBorders>
              <w:top w:val="single" w:sz="12" w:space="0" w:color="4BACC6"/>
              <w:left w:val="single" w:sz="6" w:space="0" w:color="FFFFFF"/>
              <w:bottom w:val="single" w:sz="12" w:space="0" w:color="4BACC6"/>
              <w:right w:val="single" w:sz="6" w:space="0" w:color="FFFFFF"/>
            </w:tcBorders>
            <w:shd w:val="clear" w:color="auto" w:fill="4BACC6"/>
            <w:noWrap/>
            <w:vAlign w:val="center"/>
          </w:tcPr>
          <w:p w:rsidR="00BC341E" w:rsidRPr="000063FC" w:rsidRDefault="00BC341E">
            <w:pPr>
              <w:spacing w:line="276" w:lineRule="auto"/>
              <w:jc w:val="center"/>
              <w:rPr>
                <w:rFonts w:asciiTheme="minorHAnsi" w:hAnsiTheme="minorHAnsi" w:cs="Arial"/>
                <w:b/>
                <w:bCs/>
                <w:color w:val="FFFFFF"/>
                <w:sz w:val="20"/>
              </w:rPr>
            </w:pPr>
          </w:p>
        </w:tc>
        <w:tc>
          <w:tcPr>
            <w:tcW w:w="992" w:type="dxa"/>
            <w:tcBorders>
              <w:top w:val="single" w:sz="12" w:space="0" w:color="4BACC6"/>
              <w:left w:val="single" w:sz="6" w:space="0" w:color="FFFFFF"/>
              <w:bottom w:val="single" w:sz="12" w:space="0" w:color="4BACC6"/>
              <w:right w:val="single" w:sz="6" w:space="0" w:color="FFFFFF"/>
            </w:tcBorders>
            <w:shd w:val="clear" w:color="auto" w:fill="4BACC6"/>
            <w:noWrap/>
            <w:vAlign w:val="center"/>
          </w:tcPr>
          <w:p w:rsidR="00BC341E" w:rsidRPr="000063FC" w:rsidRDefault="008B2E49">
            <w:pPr>
              <w:spacing w:line="276" w:lineRule="auto"/>
              <w:jc w:val="center"/>
              <w:rPr>
                <w:rFonts w:asciiTheme="minorHAnsi" w:hAnsiTheme="minorHAnsi" w:cs="Arial"/>
                <w:b/>
                <w:bCs/>
                <w:color w:val="FFFFFF"/>
                <w:sz w:val="20"/>
              </w:rPr>
            </w:pPr>
            <w:r w:rsidRPr="000063FC">
              <w:rPr>
                <w:rFonts w:asciiTheme="minorHAnsi" w:hAnsiTheme="minorHAnsi" w:cs="Arial"/>
                <w:b/>
                <w:bCs/>
                <w:color w:val="FFFFFF"/>
                <w:sz w:val="20"/>
              </w:rPr>
              <w:t>581919,2</w:t>
            </w:r>
          </w:p>
        </w:tc>
        <w:tc>
          <w:tcPr>
            <w:tcW w:w="850" w:type="dxa"/>
            <w:tcBorders>
              <w:top w:val="single" w:sz="12" w:space="0" w:color="4BACC6"/>
              <w:left w:val="single" w:sz="6" w:space="0" w:color="FFFFFF"/>
              <w:bottom w:val="single" w:sz="12" w:space="0" w:color="4BACC6"/>
              <w:right w:val="single" w:sz="6" w:space="0" w:color="FFFFFF"/>
            </w:tcBorders>
            <w:shd w:val="clear" w:color="auto" w:fill="4BACC6"/>
            <w:noWrap/>
            <w:vAlign w:val="center"/>
          </w:tcPr>
          <w:p w:rsidR="00BC341E" w:rsidRPr="000063FC" w:rsidRDefault="008B2E49">
            <w:pPr>
              <w:spacing w:line="276" w:lineRule="auto"/>
              <w:jc w:val="center"/>
              <w:rPr>
                <w:rFonts w:asciiTheme="minorHAnsi" w:hAnsiTheme="minorHAnsi" w:cs="Arial"/>
                <w:b/>
                <w:bCs/>
                <w:color w:val="FFFFFF"/>
                <w:sz w:val="20"/>
              </w:rPr>
            </w:pPr>
            <w:r w:rsidRPr="000063FC">
              <w:rPr>
                <w:rFonts w:asciiTheme="minorHAnsi" w:hAnsiTheme="minorHAnsi" w:cs="Arial"/>
                <w:b/>
                <w:bCs/>
                <w:color w:val="FFFFFF"/>
                <w:sz w:val="20"/>
              </w:rPr>
              <w:t>171,34</w:t>
            </w:r>
          </w:p>
        </w:tc>
        <w:tc>
          <w:tcPr>
            <w:tcW w:w="851" w:type="dxa"/>
            <w:tcBorders>
              <w:top w:val="single" w:sz="12" w:space="0" w:color="4BACC6"/>
              <w:left w:val="single" w:sz="6" w:space="0" w:color="FFFFFF"/>
              <w:bottom w:val="single" w:sz="12" w:space="0" w:color="4BACC6"/>
              <w:right w:val="single" w:sz="6" w:space="0" w:color="FFFFFF"/>
            </w:tcBorders>
            <w:shd w:val="clear" w:color="auto" w:fill="4BACC6"/>
            <w:noWrap/>
            <w:vAlign w:val="center"/>
          </w:tcPr>
          <w:p w:rsidR="00BC341E" w:rsidRPr="000063FC" w:rsidRDefault="008B2E49">
            <w:pPr>
              <w:spacing w:line="276" w:lineRule="auto"/>
              <w:jc w:val="center"/>
              <w:rPr>
                <w:rFonts w:asciiTheme="minorHAnsi" w:hAnsiTheme="minorHAnsi" w:cs="Arial"/>
                <w:b/>
                <w:bCs/>
                <w:color w:val="FFFFFF"/>
                <w:sz w:val="20"/>
              </w:rPr>
            </w:pPr>
            <w:r w:rsidRPr="000063FC">
              <w:rPr>
                <w:rFonts w:asciiTheme="minorHAnsi" w:hAnsiTheme="minorHAnsi" w:cs="Arial"/>
                <w:b/>
                <w:bCs/>
                <w:color w:val="FFFFFF"/>
                <w:sz w:val="20"/>
              </w:rPr>
              <w:t>82,11</w:t>
            </w:r>
          </w:p>
        </w:tc>
        <w:tc>
          <w:tcPr>
            <w:tcW w:w="992" w:type="dxa"/>
            <w:tcBorders>
              <w:top w:val="single" w:sz="12" w:space="0" w:color="4BACC6"/>
              <w:left w:val="single" w:sz="6" w:space="0" w:color="FFFFFF"/>
              <w:bottom w:val="single" w:sz="12" w:space="0" w:color="4BACC6"/>
              <w:right w:val="single" w:sz="12" w:space="0" w:color="4BACC6"/>
            </w:tcBorders>
            <w:shd w:val="clear" w:color="auto" w:fill="4BACC6"/>
            <w:noWrap/>
            <w:vAlign w:val="center"/>
          </w:tcPr>
          <w:p w:rsidR="00BC341E" w:rsidRPr="000063FC" w:rsidRDefault="008B2E49">
            <w:pPr>
              <w:spacing w:line="276" w:lineRule="auto"/>
              <w:jc w:val="center"/>
              <w:rPr>
                <w:rFonts w:asciiTheme="minorHAnsi" w:hAnsiTheme="minorHAnsi" w:cs="Arial"/>
                <w:b/>
                <w:bCs/>
                <w:color w:val="FFFFFF"/>
                <w:sz w:val="20"/>
              </w:rPr>
            </w:pPr>
            <w:r w:rsidRPr="000063FC">
              <w:rPr>
                <w:rFonts w:asciiTheme="minorHAnsi" w:hAnsiTheme="minorHAnsi" w:cs="Arial"/>
                <w:b/>
                <w:bCs/>
                <w:color w:val="FFFFFF"/>
                <w:sz w:val="20"/>
              </w:rPr>
              <w:t>610965,2</w:t>
            </w:r>
          </w:p>
        </w:tc>
      </w:tr>
    </w:tbl>
    <w:bookmarkEnd w:id="160"/>
    <w:p w:rsidR="00B23695" w:rsidRPr="000063FC" w:rsidRDefault="008B2E49">
      <w:pPr>
        <w:spacing w:line="276" w:lineRule="auto"/>
        <w:rPr>
          <w:sz w:val="16"/>
          <w:szCs w:val="16"/>
        </w:rPr>
      </w:pPr>
      <w:r w:rsidRPr="000063FC">
        <w:rPr>
          <w:sz w:val="16"/>
          <w:szCs w:val="16"/>
        </w:rPr>
        <w:t>*Emisije iz potrošnje prirodnog plina su izračunate preko predloženih emisijskih faktora IPCC Vodiča</w:t>
      </w:r>
      <w:r w:rsidRPr="000063FC">
        <w:rPr>
          <w:rStyle w:val="FootnoteReference"/>
          <w:sz w:val="16"/>
          <w:szCs w:val="16"/>
        </w:rPr>
        <w:footnoteReference w:id="24"/>
      </w:r>
      <w:r w:rsidRPr="000063FC">
        <w:rPr>
          <w:sz w:val="16"/>
          <w:szCs w:val="16"/>
        </w:rPr>
        <w:t xml:space="preserve"> </w:t>
      </w:r>
    </w:p>
    <w:p w:rsidR="00B23695" w:rsidRPr="000063FC" w:rsidRDefault="008B2E49">
      <w:pPr>
        <w:spacing w:line="276" w:lineRule="auto"/>
        <w:rPr>
          <w:sz w:val="16"/>
          <w:szCs w:val="16"/>
        </w:rPr>
      </w:pPr>
      <w:r w:rsidRPr="000063FC">
        <w:rPr>
          <w:sz w:val="16"/>
          <w:szCs w:val="16"/>
        </w:rPr>
        <w:t>** Dio osobnih vozila iz tablice 1-8 odnosi se na vozila u vlasništvu Grada Zagreba. Zbog nedostupnosti podataka o broju i kategorijama tih vozila isti su dio tablice. Udio emisija voznog parka Grada Zagreba u ukupnim emisijama osobnih vozila iznosi 2,8%</w:t>
      </w:r>
      <w:r w:rsidRPr="000063FC">
        <w:rPr>
          <w:rStyle w:val="FootnoteReference"/>
          <w:sz w:val="16"/>
          <w:szCs w:val="16"/>
        </w:rPr>
        <w:footnoteReference w:id="25"/>
      </w:r>
      <w:r w:rsidRPr="000063FC">
        <w:rPr>
          <w:sz w:val="16"/>
          <w:szCs w:val="16"/>
        </w:rPr>
        <w:t xml:space="preserve">. </w:t>
      </w:r>
    </w:p>
    <w:p w:rsidR="00B23695" w:rsidRPr="000063FC" w:rsidRDefault="004D587A">
      <w:pPr>
        <w:spacing w:line="276" w:lineRule="auto"/>
        <w:jc w:val="center"/>
        <w:rPr>
          <w:i/>
        </w:rPr>
      </w:pPr>
      <w:r w:rsidRPr="000063FC">
        <w:rPr>
          <w:i/>
          <w:noProof/>
          <w:lang w:eastAsia="hr-HR"/>
        </w:rPr>
        <w:drawing>
          <wp:inline distT="0" distB="0" distL="0" distR="0">
            <wp:extent cx="4591050" cy="2733675"/>
            <wp:effectExtent l="0" t="0" r="0" b="0"/>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C341E" w:rsidRPr="000063FC" w:rsidRDefault="008B2E49">
      <w:pPr>
        <w:pStyle w:val="Heading7"/>
      </w:pPr>
      <w:bookmarkStart w:id="161" w:name="_Toc251935567"/>
      <w:bookmarkStart w:id="162" w:name="_Toc254010291"/>
      <w:r w:rsidRPr="000063FC">
        <w:t xml:space="preserve">Slika </w:t>
      </w:r>
      <w:r w:rsidR="00243323" w:rsidRPr="000063FC">
        <w:t>2.8</w:t>
      </w:r>
      <w:r w:rsidR="009758DE" w:rsidRPr="000063FC">
        <w:t>: Potrošnja</w:t>
      </w:r>
      <w:r w:rsidRPr="000063FC">
        <w:t xml:space="preserve"> </w:t>
      </w:r>
      <w:r w:rsidR="009758DE" w:rsidRPr="000063FC">
        <w:t xml:space="preserve">pojedinih vrsta </w:t>
      </w:r>
      <w:r w:rsidRPr="000063FC">
        <w:t xml:space="preserve">goriva </w:t>
      </w:r>
      <w:bookmarkEnd w:id="161"/>
      <w:r w:rsidR="0076018E" w:rsidRPr="000063FC">
        <w:t xml:space="preserve">podsektora osobnih </w:t>
      </w:r>
      <w:r w:rsidR="009758DE" w:rsidRPr="000063FC">
        <w:t>vozila</w:t>
      </w:r>
      <w:bookmarkEnd w:id="162"/>
    </w:p>
    <w:p w:rsidR="00BC341E" w:rsidRPr="000063FC" w:rsidRDefault="00BC341E">
      <w:pPr>
        <w:pStyle w:val="Caption"/>
      </w:pPr>
    </w:p>
    <w:p w:rsidR="00B23695" w:rsidRPr="000063FC" w:rsidRDefault="008B2E49">
      <w:pPr>
        <w:spacing w:line="276" w:lineRule="auto"/>
        <w:rPr>
          <w:szCs w:val="22"/>
        </w:rPr>
      </w:pPr>
      <w:r w:rsidRPr="000063FC">
        <w:rPr>
          <w:szCs w:val="22"/>
        </w:rPr>
        <w:t xml:space="preserve">U kategoriji osobnih vozila benzin je najzastupljenije gorivo te njegov udio u ukupnoj potrošnji goriva osobnih vozila iznosi 69%. Udio potrošnje dizelskih goriva u kategoriji osobnih vozila iznosi 30%, dok udio LPG-a iznosi 1%. </w:t>
      </w:r>
    </w:p>
    <w:p w:rsidR="00BC341E" w:rsidRPr="000063FC" w:rsidRDefault="008B2E49" w:rsidP="00B33E2F">
      <w:pPr>
        <w:pStyle w:val="Heading6"/>
      </w:pPr>
      <w:r w:rsidRPr="000063FC">
        <w:br w:type="page"/>
      </w:r>
      <w:bookmarkStart w:id="163" w:name="_Toc254010250"/>
      <w:r w:rsidRPr="000063FC">
        <w:lastRenderedPageBreak/>
        <w:t xml:space="preserve">Tablica </w:t>
      </w:r>
      <w:r w:rsidR="0076018E" w:rsidRPr="000063FC">
        <w:t>2.23</w:t>
      </w:r>
      <w:r w:rsidRPr="000063FC">
        <w:t>: Potrošnje goriva i emisije stakleničkih stakleničkih plinova po kategorijama teretnih vozila</w:t>
      </w:r>
      <w:bookmarkEnd w:id="163"/>
    </w:p>
    <w:tbl>
      <w:tblPr>
        <w:tblW w:w="9224" w:type="dxa"/>
        <w:tblInd w:w="98" w:type="dxa"/>
        <w:tblBorders>
          <w:top w:val="single" w:sz="8" w:space="0" w:color="4BACC6"/>
          <w:left w:val="single" w:sz="8" w:space="0" w:color="4BACC6"/>
          <w:bottom w:val="single" w:sz="8" w:space="0" w:color="4BACC6"/>
          <w:right w:val="single" w:sz="8" w:space="0" w:color="4BACC6"/>
          <w:insideH w:val="single" w:sz="6" w:space="0" w:color="4BACC6"/>
          <w:insideV w:val="single" w:sz="6" w:space="0" w:color="4BACC6"/>
        </w:tblBorders>
        <w:tblLayout w:type="fixed"/>
        <w:tblLook w:val="0000" w:firstRow="0" w:lastRow="0" w:firstColumn="0" w:lastColumn="0" w:noHBand="0" w:noVBand="0"/>
      </w:tblPr>
      <w:tblGrid>
        <w:gridCol w:w="865"/>
        <w:gridCol w:w="1272"/>
        <w:gridCol w:w="1417"/>
        <w:gridCol w:w="992"/>
        <w:gridCol w:w="1134"/>
        <w:gridCol w:w="993"/>
        <w:gridCol w:w="708"/>
        <w:gridCol w:w="709"/>
        <w:gridCol w:w="1134"/>
      </w:tblGrid>
      <w:tr w:rsidR="008B2E49" w:rsidRPr="000063FC" w:rsidTr="00EA3B8D">
        <w:trPr>
          <w:trHeight w:val="227"/>
        </w:trPr>
        <w:tc>
          <w:tcPr>
            <w:tcW w:w="865" w:type="dxa"/>
            <w:tcBorders>
              <w:top w:val="single" w:sz="8" w:space="0" w:color="4BACC6"/>
              <w:left w:val="single" w:sz="12" w:space="0" w:color="4BACC6"/>
              <w:right w:val="single" w:sz="6"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SEKTOR</w:t>
            </w:r>
          </w:p>
        </w:tc>
        <w:tc>
          <w:tcPr>
            <w:tcW w:w="1272" w:type="dxa"/>
            <w:tcBorders>
              <w:top w:val="single" w:sz="8" w:space="0" w:color="4BACC6"/>
              <w:left w:val="single" w:sz="6" w:space="0" w:color="FFFFFF"/>
              <w:right w:val="single" w:sz="6"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PODSEKTOR</w:t>
            </w:r>
          </w:p>
        </w:tc>
        <w:tc>
          <w:tcPr>
            <w:tcW w:w="1417" w:type="dxa"/>
            <w:tcBorders>
              <w:top w:val="single" w:sz="8" w:space="0" w:color="4BACC6"/>
              <w:left w:val="single" w:sz="6" w:space="0" w:color="FFFFFF"/>
              <w:right w:val="single" w:sz="6"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TEHNOLOGIJA</w:t>
            </w:r>
          </w:p>
        </w:tc>
        <w:tc>
          <w:tcPr>
            <w:tcW w:w="992" w:type="dxa"/>
            <w:tcBorders>
              <w:top w:val="single" w:sz="8" w:space="0" w:color="4BACC6"/>
              <w:left w:val="single" w:sz="6" w:space="0" w:color="FFFFFF"/>
              <w:right w:val="single" w:sz="6"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BROJ VOZILA</w:t>
            </w:r>
          </w:p>
        </w:tc>
        <w:tc>
          <w:tcPr>
            <w:tcW w:w="1134" w:type="dxa"/>
            <w:tcBorders>
              <w:top w:val="single" w:sz="8" w:space="0" w:color="4BACC6"/>
              <w:left w:val="single" w:sz="6" w:space="0" w:color="FFFFFF"/>
              <w:right w:val="single" w:sz="6"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POTR. GORIVA, t</w:t>
            </w:r>
          </w:p>
        </w:tc>
        <w:tc>
          <w:tcPr>
            <w:tcW w:w="993" w:type="dxa"/>
            <w:tcBorders>
              <w:top w:val="single" w:sz="8" w:space="0" w:color="4BACC6"/>
              <w:left w:val="single" w:sz="6" w:space="0" w:color="FFFFFF"/>
              <w:right w:val="single" w:sz="6"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CO</w:t>
            </w:r>
            <w:r w:rsidRPr="000063FC">
              <w:rPr>
                <w:rFonts w:asciiTheme="minorHAnsi" w:hAnsiTheme="minorHAnsi" w:cs="Arial"/>
                <w:b/>
                <w:color w:val="FFFFFF"/>
                <w:sz w:val="20"/>
                <w:vertAlign w:val="subscript"/>
              </w:rPr>
              <w:t>2</w:t>
            </w:r>
            <w:r w:rsidRPr="000063FC">
              <w:rPr>
                <w:rFonts w:asciiTheme="minorHAnsi" w:hAnsiTheme="minorHAnsi" w:cs="Arial"/>
                <w:b/>
                <w:color w:val="FFFFFF"/>
                <w:sz w:val="20"/>
              </w:rPr>
              <w:t>, t</w:t>
            </w:r>
          </w:p>
        </w:tc>
        <w:tc>
          <w:tcPr>
            <w:tcW w:w="708" w:type="dxa"/>
            <w:tcBorders>
              <w:top w:val="single" w:sz="8" w:space="0" w:color="4BACC6"/>
              <w:left w:val="single" w:sz="6" w:space="0" w:color="FFFFFF"/>
              <w:right w:val="single" w:sz="6"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CH</w:t>
            </w:r>
            <w:r w:rsidRPr="000063FC">
              <w:rPr>
                <w:rFonts w:asciiTheme="minorHAnsi" w:hAnsiTheme="minorHAnsi" w:cs="Arial"/>
                <w:b/>
                <w:color w:val="FFFFFF"/>
                <w:sz w:val="20"/>
                <w:vertAlign w:val="subscript"/>
              </w:rPr>
              <w:t>4</w:t>
            </w:r>
            <w:r w:rsidRPr="000063FC">
              <w:rPr>
                <w:rFonts w:asciiTheme="minorHAnsi" w:hAnsiTheme="minorHAnsi" w:cs="Arial"/>
                <w:b/>
                <w:color w:val="FFFFFF"/>
                <w:sz w:val="20"/>
              </w:rPr>
              <w:t>, t</w:t>
            </w:r>
          </w:p>
        </w:tc>
        <w:tc>
          <w:tcPr>
            <w:tcW w:w="709" w:type="dxa"/>
            <w:tcBorders>
              <w:top w:val="single" w:sz="8" w:space="0" w:color="4BACC6"/>
              <w:left w:val="single" w:sz="6" w:space="0" w:color="FFFFFF"/>
              <w:right w:val="single" w:sz="6"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N</w:t>
            </w:r>
            <w:r w:rsidRPr="000063FC">
              <w:rPr>
                <w:rFonts w:asciiTheme="minorHAnsi" w:hAnsiTheme="minorHAnsi" w:cs="Arial"/>
                <w:b/>
                <w:color w:val="FFFFFF"/>
                <w:sz w:val="20"/>
                <w:vertAlign w:val="subscript"/>
              </w:rPr>
              <w:t>2</w:t>
            </w:r>
            <w:r w:rsidRPr="000063FC">
              <w:rPr>
                <w:rFonts w:asciiTheme="minorHAnsi" w:hAnsiTheme="minorHAnsi" w:cs="Arial"/>
                <w:b/>
                <w:color w:val="FFFFFF"/>
                <w:sz w:val="20"/>
              </w:rPr>
              <w:t>O, t</w:t>
            </w:r>
          </w:p>
        </w:tc>
        <w:tc>
          <w:tcPr>
            <w:tcW w:w="1134" w:type="dxa"/>
            <w:tcBorders>
              <w:top w:val="single" w:sz="8" w:space="0" w:color="4BACC6"/>
              <w:left w:val="single" w:sz="6" w:space="0" w:color="FFFFFF"/>
              <w:right w:val="single" w:sz="12" w:space="0" w:color="4BACC6"/>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CO</w:t>
            </w:r>
            <w:r w:rsidRPr="000063FC">
              <w:rPr>
                <w:rFonts w:asciiTheme="minorHAnsi" w:hAnsiTheme="minorHAnsi" w:cs="Arial"/>
                <w:b/>
                <w:color w:val="FFFFFF"/>
                <w:sz w:val="20"/>
                <w:vertAlign w:val="subscript"/>
              </w:rPr>
              <w:t>2</w:t>
            </w:r>
            <w:r w:rsidRPr="000063FC">
              <w:rPr>
                <w:rFonts w:asciiTheme="minorHAnsi" w:hAnsiTheme="minorHAnsi" w:cs="Arial"/>
                <w:b/>
                <w:color w:val="FFFFFF"/>
                <w:sz w:val="20"/>
              </w:rPr>
              <w:t>-ekv, t</w:t>
            </w:r>
          </w:p>
        </w:tc>
      </w:tr>
      <w:tr w:rsidR="008B2E49" w:rsidRPr="000063FC" w:rsidTr="00EA3B8D">
        <w:trPr>
          <w:trHeight w:val="227"/>
        </w:trPr>
        <w:tc>
          <w:tcPr>
            <w:tcW w:w="865" w:type="dxa"/>
            <w:vMerge w:val="restart"/>
            <w:tcBorders>
              <w:left w:val="single" w:sz="12" w:space="0" w:color="4BACC6"/>
            </w:tcBorders>
            <w:noWrap/>
            <w:vAlign w:val="center"/>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Laka teretna vozila</w:t>
            </w:r>
          </w:p>
        </w:tc>
        <w:tc>
          <w:tcPr>
            <w:tcW w:w="1272" w:type="dxa"/>
            <w:vMerge w:val="restart"/>
            <w:noWrap/>
            <w:vAlign w:val="center"/>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Benzin &lt;3,5t</w:t>
            </w: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Conventional</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1393</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3877,6</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12356,9</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6,53</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0,21</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12558,9</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572</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1864,8</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5942,6</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1,95</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0,72</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6206,4</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334</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1088,9</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3470,0</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0,50</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0,42</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3610,5</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III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442</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1441,0</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4592,0</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0,38</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0,56</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4772,0</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IV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295</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961,7</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3064,8</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0,13</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0,37</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3182,5</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restart"/>
            <w:noWrap/>
            <w:vAlign w:val="center"/>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Dizel &lt;3,5 t</w:t>
            </w: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Conventional</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13358</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29986,4</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94104,6</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2,21</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5,68</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95910,9</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4694</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10537,2</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33068,4</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0,78</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1,99</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33703,1</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8134</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18259,4</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57302,5</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0,96</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3,46</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58394,3</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III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8885</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19945,3</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62593,2</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0,61</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3,78</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63776,7</w:t>
            </w:r>
          </w:p>
        </w:tc>
      </w:tr>
      <w:tr w:rsidR="008B2E49" w:rsidRPr="000063FC" w:rsidTr="00EA3B8D">
        <w:trPr>
          <w:trHeight w:val="227"/>
        </w:trPr>
        <w:tc>
          <w:tcPr>
            <w:tcW w:w="865" w:type="dxa"/>
            <w:vMerge/>
            <w:tcBorders>
              <w:left w:val="single" w:sz="12" w:space="0" w:color="4BACC6"/>
              <w:bottom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tcBorders>
              <w:bottom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417" w:type="dxa"/>
            <w:tcBorders>
              <w:bottom w:val="single" w:sz="12" w:space="0" w:color="4BACC6"/>
            </w:tcBorders>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IV </w:t>
            </w:r>
          </w:p>
        </w:tc>
        <w:tc>
          <w:tcPr>
            <w:tcW w:w="992" w:type="dxa"/>
            <w:tcBorders>
              <w:bottom w:val="single" w:sz="12" w:space="0" w:color="4BACC6"/>
            </w:tcBorders>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6365</w:t>
            </w:r>
          </w:p>
        </w:tc>
        <w:tc>
          <w:tcPr>
            <w:tcW w:w="1134" w:type="dxa"/>
            <w:tcBorders>
              <w:bottom w:val="single" w:sz="12" w:space="0" w:color="4BACC6"/>
            </w:tcBorders>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14288,3</w:t>
            </w:r>
          </w:p>
        </w:tc>
        <w:tc>
          <w:tcPr>
            <w:tcW w:w="993" w:type="dxa"/>
            <w:tcBorders>
              <w:bottom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44840,2</w:t>
            </w:r>
          </w:p>
        </w:tc>
        <w:tc>
          <w:tcPr>
            <w:tcW w:w="708" w:type="dxa"/>
            <w:tcBorders>
              <w:bottom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0,26</w:t>
            </w:r>
          </w:p>
        </w:tc>
        <w:tc>
          <w:tcPr>
            <w:tcW w:w="709" w:type="dxa"/>
            <w:tcBorders>
              <w:bottom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2,71</w:t>
            </w:r>
          </w:p>
        </w:tc>
        <w:tc>
          <w:tcPr>
            <w:tcW w:w="1134" w:type="dxa"/>
            <w:tcBorders>
              <w:bottom w:val="single" w:sz="12" w:space="0" w:color="4BACC6"/>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45684,2</w:t>
            </w:r>
          </w:p>
        </w:tc>
      </w:tr>
      <w:tr w:rsidR="008B2E49" w:rsidRPr="000063FC" w:rsidTr="00EA3B8D">
        <w:trPr>
          <w:trHeight w:val="227"/>
        </w:trPr>
        <w:tc>
          <w:tcPr>
            <w:tcW w:w="865" w:type="dxa"/>
            <w:vMerge w:val="restart"/>
            <w:tcBorders>
              <w:top w:val="single" w:sz="12" w:space="0" w:color="4BACC6"/>
              <w:left w:val="single" w:sz="12" w:space="0" w:color="4BACC6"/>
            </w:tcBorders>
            <w:noWrap/>
            <w:vAlign w:val="center"/>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Teška teretna vozila</w:t>
            </w:r>
          </w:p>
        </w:tc>
        <w:tc>
          <w:tcPr>
            <w:tcW w:w="1272" w:type="dxa"/>
            <w:tcBorders>
              <w:top w:val="single" w:sz="12" w:space="0" w:color="4BACC6"/>
            </w:tcBorders>
            <w:noWrap/>
            <w:vAlign w:val="center"/>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Benzin &gt;3,5 t</w:t>
            </w:r>
          </w:p>
        </w:tc>
        <w:tc>
          <w:tcPr>
            <w:tcW w:w="1417" w:type="dxa"/>
            <w:tcBorders>
              <w:top w:val="single" w:sz="12" w:space="0" w:color="4BACC6"/>
            </w:tcBorders>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Conventional</w:t>
            </w:r>
          </w:p>
        </w:tc>
        <w:tc>
          <w:tcPr>
            <w:tcW w:w="992" w:type="dxa"/>
            <w:tcBorders>
              <w:top w:val="single" w:sz="12" w:space="0" w:color="4BACC6"/>
            </w:tcBorders>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18</w:t>
            </w:r>
          </w:p>
        </w:tc>
        <w:tc>
          <w:tcPr>
            <w:tcW w:w="1134" w:type="dxa"/>
            <w:tcBorders>
              <w:top w:val="single" w:sz="12" w:space="0" w:color="4BACC6"/>
            </w:tcBorders>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17,7</w:t>
            </w:r>
          </w:p>
        </w:tc>
        <w:tc>
          <w:tcPr>
            <w:tcW w:w="993" w:type="dxa"/>
            <w:tcBorders>
              <w:top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56,4</w:t>
            </w:r>
          </w:p>
        </w:tc>
        <w:tc>
          <w:tcPr>
            <w:tcW w:w="708" w:type="dxa"/>
            <w:tcBorders>
              <w:top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0,01</w:t>
            </w:r>
          </w:p>
        </w:tc>
        <w:tc>
          <w:tcPr>
            <w:tcW w:w="709" w:type="dxa"/>
            <w:tcBorders>
              <w:top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0,00</w:t>
            </w:r>
          </w:p>
        </w:tc>
        <w:tc>
          <w:tcPr>
            <w:tcW w:w="1134" w:type="dxa"/>
            <w:tcBorders>
              <w:top w:val="single" w:sz="12" w:space="0" w:color="4BACC6"/>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56,8</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restart"/>
            <w:noWrap/>
            <w:vAlign w:val="center"/>
          </w:tcPr>
          <w:p w:rsidR="00BC341E" w:rsidRPr="000063FC" w:rsidRDefault="008B2E49">
            <w:pPr>
              <w:spacing w:line="240" w:lineRule="auto"/>
              <w:jc w:val="center"/>
              <w:rPr>
                <w:rFonts w:asciiTheme="minorHAnsi" w:hAnsiTheme="minorHAnsi" w:cs="Arial"/>
                <w:b/>
                <w:bCs/>
                <w:caps/>
                <w:sz w:val="20"/>
                <w:szCs w:val="24"/>
              </w:rPr>
            </w:pPr>
            <w:r w:rsidRPr="000063FC">
              <w:rPr>
                <w:rFonts w:asciiTheme="minorHAnsi" w:hAnsiTheme="minorHAnsi" w:cs="Arial"/>
                <w:sz w:val="20"/>
              </w:rPr>
              <w:t>Dizel 3,5 - 7,5 t</w:t>
            </w:r>
          </w:p>
        </w:tc>
        <w:tc>
          <w:tcPr>
            <w:tcW w:w="1417" w:type="dxa"/>
            <w:noWrap/>
            <w:vAlign w:val="bottom"/>
          </w:tcPr>
          <w:p w:rsidR="00BC341E" w:rsidRPr="000063FC" w:rsidRDefault="008B2E49">
            <w:pPr>
              <w:spacing w:line="240" w:lineRule="auto"/>
              <w:rPr>
                <w:rFonts w:asciiTheme="minorHAnsi" w:hAnsiTheme="minorHAnsi" w:cs="Arial"/>
                <w:b/>
                <w:bCs/>
                <w:caps/>
                <w:sz w:val="20"/>
                <w:szCs w:val="24"/>
              </w:rPr>
            </w:pPr>
            <w:r w:rsidRPr="000063FC">
              <w:rPr>
                <w:rFonts w:asciiTheme="minorHAnsi" w:hAnsiTheme="minorHAnsi" w:cs="Arial"/>
                <w:sz w:val="20"/>
              </w:rPr>
              <w:t>Conventional</w:t>
            </w:r>
          </w:p>
        </w:tc>
        <w:tc>
          <w:tcPr>
            <w:tcW w:w="992" w:type="dxa"/>
            <w:vAlign w:val="bottom"/>
          </w:tcPr>
          <w:p w:rsidR="00BC341E" w:rsidRPr="000063FC" w:rsidRDefault="008B2E49">
            <w:pPr>
              <w:spacing w:line="240" w:lineRule="auto"/>
              <w:jc w:val="right"/>
              <w:rPr>
                <w:rFonts w:asciiTheme="minorHAnsi" w:hAnsiTheme="minorHAnsi" w:cs="Arial"/>
                <w:b/>
                <w:bCs/>
                <w:caps/>
                <w:sz w:val="20"/>
                <w:szCs w:val="24"/>
              </w:rPr>
            </w:pPr>
            <w:r w:rsidRPr="000063FC">
              <w:rPr>
                <w:rFonts w:asciiTheme="minorHAnsi" w:hAnsiTheme="minorHAnsi" w:cs="Arial"/>
                <w:sz w:val="20"/>
              </w:rPr>
              <w:t>5</w:t>
            </w:r>
          </w:p>
        </w:tc>
        <w:tc>
          <w:tcPr>
            <w:tcW w:w="1134" w:type="dxa"/>
            <w:noWrap/>
            <w:vAlign w:val="bottom"/>
          </w:tcPr>
          <w:p w:rsidR="00BC341E" w:rsidRPr="000063FC" w:rsidRDefault="008B2E49">
            <w:pPr>
              <w:spacing w:line="240" w:lineRule="auto"/>
              <w:jc w:val="right"/>
              <w:rPr>
                <w:rFonts w:asciiTheme="minorHAnsi" w:hAnsiTheme="minorHAnsi" w:cs="Arial"/>
                <w:b/>
                <w:bCs/>
                <w:caps/>
                <w:sz w:val="20"/>
                <w:szCs w:val="24"/>
              </w:rPr>
            </w:pPr>
            <w:r w:rsidRPr="000063FC">
              <w:rPr>
                <w:rFonts w:asciiTheme="minorHAnsi" w:hAnsiTheme="minorHAnsi" w:cs="Arial"/>
                <w:sz w:val="20"/>
              </w:rPr>
              <w:t>2,7</w:t>
            </w:r>
          </w:p>
        </w:tc>
        <w:tc>
          <w:tcPr>
            <w:tcW w:w="993" w:type="dxa"/>
            <w:noWrap/>
            <w:vAlign w:val="bottom"/>
          </w:tcPr>
          <w:p w:rsidR="00BC341E" w:rsidRPr="000063FC" w:rsidRDefault="008B2E49">
            <w:pPr>
              <w:spacing w:line="240" w:lineRule="auto"/>
              <w:jc w:val="center"/>
              <w:rPr>
                <w:rFonts w:asciiTheme="minorHAnsi" w:hAnsiTheme="minorHAnsi" w:cs="Arial"/>
                <w:b/>
                <w:bCs/>
                <w:caps/>
                <w:sz w:val="20"/>
                <w:szCs w:val="24"/>
              </w:rPr>
            </w:pPr>
            <w:r w:rsidRPr="000063FC">
              <w:rPr>
                <w:rFonts w:asciiTheme="minorHAnsi" w:hAnsiTheme="minorHAnsi" w:cs="Arial"/>
                <w:sz w:val="20"/>
              </w:rPr>
              <w:t>8,6</w:t>
            </w:r>
          </w:p>
        </w:tc>
        <w:tc>
          <w:tcPr>
            <w:tcW w:w="708" w:type="dxa"/>
            <w:noWrap/>
            <w:vAlign w:val="bottom"/>
          </w:tcPr>
          <w:p w:rsidR="00BC341E" w:rsidRPr="000063FC" w:rsidRDefault="008B2E49">
            <w:pPr>
              <w:spacing w:line="240" w:lineRule="auto"/>
              <w:jc w:val="center"/>
              <w:rPr>
                <w:rFonts w:asciiTheme="minorHAnsi" w:hAnsiTheme="minorHAnsi" w:cs="Arial"/>
                <w:b/>
                <w:bCs/>
                <w:caps/>
                <w:sz w:val="20"/>
                <w:szCs w:val="24"/>
              </w:rPr>
            </w:pPr>
            <w:r w:rsidRPr="000063FC">
              <w:rPr>
                <w:rFonts w:asciiTheme="minorHAnsi" w:hAnsiTheme="minorHAnsi" w:cs="Arial"/>
                <w:sz w:val="20"/>
              </w:rPr>
              <w:t>0,00</w:t>
            </w:r>
          </w:p>
        </w:tc>
        <w:tc>
          <w:tcPr>
            <w:tcW w:w="709" w:type="dxa"/>
            <w:noWrap/>
            <w:vAlign w:val="bottom"/>
          </w:tcPr>
          <w:p w:rsidR="00BC341E" w:rsidRPr="000063FC" w:rsidRDefault="008B2E49">
            <w:pPr>
              <w:spacing w:line="240" w:lineRule="auto"/>
              <w:jc w:val="center"/>
              <w:rPr>
                <w:rFonts w:asciiTheme="minorHAnsi" w:hAnsiTheme="minorHAnsi" w:cs="Arial"/>
                <w:b/>
                <w:bCs/>
                <w:caps/>
                <w:sz w:val="20"/>
                <w:szCs w:val="24"/>
              </w:rPr>
            </w:pPr>
            <w:r w:rsidRPr="000063FC">
              <w:rPr>
                <w:rFonts w:asciiTheme="minorHAnsi" w:hAnsiTheme="minorHAnsi" w:cs="Arial"/>
                <w:sz w:val="20"/>
              </w:rPr>
              <w:t>0,00</w:t>
            </w:r>
          </w:p>
        </w:tc>
        <w:tc>
          <w:tcPr>
            <w:tcW w:w="1134" w:type="dxa"/>
            <w:tcBorders>
              <w:right w:val="single" w:sz="12" w:space="0" w:color="4BACC6"/>
            </w:tcBorders>
            <w:noWrap/>
            <w:vAlign w:val="bottom"/>
          </w:tcPr>
          <w:p w:rsidR="00BC341E" w:rsidRPr="000063FC" w:rsidRDefault="008B2E49">
            <w:pPr>
              <w:spacing w:line="240" w:lineRule="auto"/>
              <w:jc w:val="center"/>
              <w:rPr>
                <w:rFonts w:asciiTheme="minorHAnsi" w:hAnsiTheme="minorHAnsi" w:cs="Arial"/>
                <w:b/>
                <w:bCs/>
                <w:caps/>
                <w:sz w:val="20"/>
                <w:szCs w:val="24"/>
              </w:rPr>
            </w:pPr>
            <w:r w:rsidRPr="000063FC">
              <w:rPr>
                <w:rFonts w:asciiTheme="minorHAnsi" w:hAnsiTheme="minorHAnsi" w:cs="Arial"/>
                <w:sz w:val="20"/>
              </w:rPr>
              <w:t>8,8</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0,5</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1,7</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0,00</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0,00</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1,8</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III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2</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1,1</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3,4</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0,00</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0,00</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3,5</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restart"/>
            <w:noWrap/>
            <w:vAlign w:val="center"/>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Dizel 7,5 - 16 t</w:t>
            </w: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Conventional</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343</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337,9</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1060,4</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0,10</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0,05</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1078,5</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104</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102,5</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321,5</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0,02</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0,02</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326,8</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332</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327,1</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1026,4</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0,07</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0,05</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1043,3</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III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197</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194,1</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609,0</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0,03</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0,03</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618,8</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IV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159</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156,6</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491,6</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0,02</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0,02</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499,3</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restart"/>
            <w:noWrap/>
            <w:vAlign w:val="center"/>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Dizel 16 - 32 t</w:t>
            </w: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Conventional</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338</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515,2</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1616,9</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0,23</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0,05</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1637,4</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102</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155,5</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487,9</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0,04</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0,02</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493,5</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331</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504,6</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1583,4</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0,11</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0,05</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1601,1</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III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195</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297,2</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932,8</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0,04</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0,03</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942,9</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IV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158</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240,8</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755,8</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0,03</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0,02</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763,7</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restart"/>
            <w:noWrap/>
            <w:vAlign w:val="center"/>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Dizel &gt;32t</w:t>
            </w: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Conventional</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1330</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2671,4</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8383,4</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0,89</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0,20</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8464,0</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525</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1054,5</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3309,2</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0,19</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0,08</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3337,7</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1495</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3002,8</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9423,4</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0,49</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0,22</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9503,2</w:t>
            </w:r>
          </w:p>
        </w:tc>
      </w:tr>
      <w:tr w:rsidR="008B2E49" w:rsidRPr="000063FC" w:rsidTr="00EA3B8D">
        <w:trPr>
          <w:trHeight w:val="227"/>
        </w:trPr>
        <w:tc>
          <w:tcPr>
            <w:tcW w:w="865" w:type="dxa"/>
            <w:vMerge/>
            <w:tcBorders>
              <w:left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vAlign w:val="center"/>
          </w:tcPr>
          <w:p w:rsidR="00B23695" w:rsidRPr="000063FC" w:rsidRDefault="00B23695" w:rsidP="0047434A">
            <w:pPr>
              <w:spacing w:line="240" w:lineRule="auto"/>
              <w:rPr>
                <w:rFonts w:asciiTheme="minorHAnsi" w:hAnsiTheme="minorHAnsi" w:cs="Arial"/>
                <w:sz w:val="20"/>
              </w:rPr>
            </w:pPr>
          </w:p>
        </w:tc>
        <w:tc>
          <w:tcPr>
            <w:tcW w:w="1417"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III </w:t>
            </w:r>
          </w:p>
        </w:tc>
        <w:tc>
          <w:tcPr>
            <w:tcW w:w="992" w:type="dxa"/>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1001</w:t>
            </w:r>
          </w:p>
        </w:tc>
        <w:tc>
          <w:tcPr>
            <w:tcW w:w="1134" w:type="dxa"/>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2010,5</w:t>
            </w:r>
          </w:p>
        </w:tc>
        <w:tc>
          <w:tcPr>
            <w:tcW w:w="993"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6309,6</w:t>
            </w:r>
          </w:p>
        </w:tc>
        <w:tc>
          <w:tcPr>
            <w:tcW w:w="708"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0,23</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0,15</w:t>
            </w:r>
          </w:p>
        </w:tc>
        <w:tc>
          <w:tcPr>
            <w:tcW w:w="1134" w:type="dxa"/>
            <w:tcBorders>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6361,0</w:t>
            </w:r>
          </w:p>
        </w:tc>
      </w:tr>
      <w:tr w:rsidR="008B2E49" w:rsidRPr="000063FC" w:rsidTr="00EA3B8D">
        <w:trPr>
          <w:trHeight w:val="227"/>
        </w:trPr>
        <w:tc>
          <w:tcPr>
            <w:tcW w:w="865" w:type="dxa"/>
            <w:vMerge/>
            <w:tcBorders>
              <w:left w:val="single" w:sz="12" w:space="0" w:color="4BACC6"/>
              <w:bottom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272" w:type="dxa"/>
            <w:vMerge/>
            <w:tcBorders>
              <w:bottom w:val="single" w:sz="12" w:space="0" w:color="4BACC6"/>
            </w:tcBorders>
            <w:vAlign w:val="center"/>
          </w:tcPr>
          <w:p w:rsidR="00B23695" w:rsidRPr="000063FC" w:rsidRDefault="00B23695" w:rsidP="0047434A">
            <w:pPr>
              <w:spacing w:line="240" w:lineRule="auto"/>
              <w:rPr>
                <w:rFonts w:asciiTheme="minorHAnsi" w:hAnsiTheme="minorHAnsi" w:cs="Arial"/>
                <w:sz w:val="20"/>
              </w:rPr>
            </w:pPr>
          </w:p>
        </w:tc>
        <w:tc>
          <w:tcPr>
            <w:tcW w:w="1417" w:type="dxa"/>
            <w:tcBorders>
              <w:bottom w:val="single" w:sz="12" w:space="0" w:color="4BACC6"/>
            </w:tcBorders>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Euro IV </w:t>
            </w:r>
          </w:p>
        </w:tc>
        <w:tc>
          <w:tcPr>
            <w:tcW w:w="992" w:type="dxa"/>
            <w:tcBorders>
              <w:bottom w:val="single" w:sz="12" w:space="0" w:color="4BACC6"/>
            </w:tcBorders>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532</w:t>
            </w:r>
          </w:p>
        </w:tc>
        <w:tc>
          <w:tcPr>
            <w:tcW w:w="1134" w:type="dxa"/>
            <w:tcBorders>
              <w:bottom w:val="single" w:sz="12" w:space="0" w:color="4BACC6"/>
            </w:tcBorders>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1068,5</w:t>
            </w:r>
          </w:p>
        </w:tc>
        <w:tc>
          <w:tcPr>
            <w:tcW w:w="993" w:type="dxa"/>
            <w:tcBorders>
              <w:bottom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3353,3</w:t>
            </w:r>
          </w:p>
        </w:tc>
        <w:tc>
          <w:tcPr>
            <w:tcW w:w="708" w:type="dxa"/>
            <w:tcBorders>
              <w:bottom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0,09</w:t>
            </w:r>
          </w:p>
        </w:tc>
        <w:tc>
          <w:tcPr>
            <w:tcW w:w="709" w:type="dxa"/>
            <w:tcBorders>
              <w:bottom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0,08</w:t>
            </w:r>
          </w:p>
        </w:tc>
        <w:tc>
          <w:tcPr>
            <w:tcW w:w="1134" w:type="dxa"/>
            <w:tcBorders>
              <w:bottom w:val="single" w:sz="12" w:space="0" w:color="4BACC6"/>
              <w:right w:val="single" w:sz="12" w:space="0" w:color="4BACC6"/>
            </w:tcBorders>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3379,9</w:t>
            </w:r>
          </w:p>
        </w:tc>
      </w:tr>
      <w:tr w:rsidR="008B2E49" w:rsidRPr="000063FC" w:rsidTr="00EA3B8D">
        <w:trPr>
          <w:trHeight w:val="227"/>
        </w:trPr>
        <w:tc>
          <w:tcPr>
            <w:tcW w:w="3554" w:type="dxa"/>
            <w:gridSpan w:val="3"/>
            <w:tcBorders>
              <w:top w:val="single" w:sz="12" w:space="0" w:color="4BACC6"/>
              <w:left w:val="single" w:sz="12" w:space="0" w:color="4BACC6"/>
              <w:bottom w:val="single" w:sz="8" w:space="0" w:color="4BACC6"/>
            </w:tcBorders>
            <w:shd w:val="clear" w:color="auto" w:fill="DAEEF3"/>
            <w:noWrap/>
            <w:vAlign w:val="center"/>
          </w:tcPr>
          <w:p w:rsidR="00B23695" w:rsidRPr="000063FC" w:rsidRDefault="008B2E49" w:rsidP="0047434A">
            <w:pPr>
              <w:spacing w:line="240" w:lineRule="auto"/>
              <w:rPr>
                <w:rFonts w:asciiTheme="minorHAnsi" w:hAnsiTheme="minorHAnsi" w:cs="Arial"/>
                <w:b/>
                <w:sz w:val="20"/>
              </w:rPr>
            </w:pPr>
            <w:r w:rsidRPr="000063FC">
              <w:rPr>
                <w:rFonts w:asciiTheme="minorHAnsi" w:hAnsiTheme="minorHAnsi" w:cs="Arial"/>
                <w:b/>
                <w:sz w:val="20"/>
              </w:rPr>
              <w:t>UKUPNO BENZIN</w:t>
            </w:r>
          </w:p>
        </w:tc>
        <w:tc>
          <w:tcPr>
            <w:tcW w:w="992" w:type="dxa"/>
            <w:tcBorders>
              <w:top w:val="single" w:sz="12" w:space="0" w:color="4BACC6"/>
              <w:bottom w:val="single" w:sz="8" w:space="0" w:color="4BACC6"/>
            </w:tcBorders>
            <w:shd w:val="clear" w:color="auto" w:fill="DAEEF3"/>
            <w:vAlign w:val="bottom"/>
          </w:tcPr>
          <w:p w:rsidR="00B23695" w:rsidRPr="000063FC" w:rsidRDefault="008B2E49" w:rsidP="0047434A">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3054</w:t>
            </w:r>
          </w:p>
        </w:tc>
        <w:tc>
          <w:tcPr>
            <w:tcW w:w="1134" w:type="dxa"/>
            <w:tcBorders>
              <w:top w:val="single" w:sz="12" w:space="0" w:color="4BACC6"/>
              <w:bottom w:val="single" w:sz="8" w:space="0" w:color="4BACC6"/>
            </w:tcBorders>
            <w:shd w:val="clear" w:color="auto" w:fill="DAEEF3"/>
            <w:noWrap/>
            <w:vAlign w:val="bottom"/>
          </w:tcPr>
          <w:p w:rsidR="00B23695" w:rsidRPr="000063FC" w:rsidRDefault="008B2E49" w:rsidP="0047434A">
            <w:pPr>
              <w:spacing w:line="240" w:lineRule="auto"/>
              <w:jc w:val="right"/>
              <w:rPr>
                <w:rFonts w:asciiTheme="minorHAnsi" w:hAnsiTheme="minorHAnsi" w:cs="Arial"/>
                <w:color w:val="000000"/>
                <w:sz w:val="20"/>
              </w:rPr>
            </w:pPr>
            <w:r w:rsidRPr="000063FC">
              <w:rPr>
                <w:rFonts w:asciiTheme="minorHAnsi" w:hAnsiTheme="minorHAnsi" w:cs="Arial"/>
                <w:color w:val="000000"/>
                <w:sz w:val="20"/>
              </w:rPr>
              <w:t>9251,7</w:t>
            </w:r>
          </w:p>
        </w:tc>
        <w:tc>
          <w:tcPr>
            <w:tcW w:w="993" w:type="dxa"/>
            <w:tcBorders>
              <w:top w:val="single" w:sz="12" w:space="0" w:color="4BACC6"/>
              <w:bottom w:val="single" w:sz="8" w:space="0" w:color="4BACC6"/>
            </w:tcBorders>
            <w:shd w:val="clear" w:color="auto" w:fill="DAEEF3"/>
            <w:noWrap/>
            <w:vAlign w:val="bottom"/>
          </w:tcPr>
          <w:p w:rsidR="00B23695" w:rsidRPr="000063FC" w:rsidRDefault="008B2E49" w:rsidP="0047434A">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29482,7</w:t>
            </w:r>
          </w:p>
        </w:tc>
        <w:tc>
          <w:tcPr>
            <w:tcW w:w="708" w:type="dxa"/>
            <w:tcBorders>
              <w:top w:val="single" w:sz="12" w:space="0" w:color="4BACC6"/>
              <w:bottom w:val="single" w:sz="8" w:space="0" w:color="4BACC6"/>
            </w:tcBorders>
            <w:shd w:val="clear" w:color="auto" w:fill="DAEEF3"/>
            <w:noWrap/>
            <w:vAlign w:val="bottom"/>
          </w:tcPr>
          <w:p w:rsidR="00B23695" w:rsidRPr="000063FC" w:rsidRDefault="008B2E49" w:rsidP="0047434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9,5</w:t>
            </w:r>
          </w:p>
        </w:tc>
        <w:tc>
          <w:tcPr>
            <w:tcW w:w="709" w:type="dxa"/>
            <w:tcBorders>
              <w:top w:val="single" w:sz="12" w:space="0" w:color="4BACC6"/>
              <w:bottom w:val="single" w:sz="8" w:space="0" w:color="4BACC6"/>
            </w:tcBorders>
            <w:shd w:val="clear" w:color="auto" w:fill="DAEEF3"/>
            <w:noWrap/>
            <w:vAlign w:val="bottom"/>
          </w:tcPr>
          <w:p w:rsidR="00B23695" w:rsidRPr="000063FC" w:rsidRDefault="008B2E49" w:rsidP="0047434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2,28</w:t>
            </w:r>
          </w:p>
        </w:tc>
        <w:tc>
          <w:tcPr>
            <w:tcW w:w="1134" w:type="dxa"/>
            <w:tcBorders>
              <w:top w:val="single" w:sz="12" w:space="0" w:color="4BACC6"/>
              <w:bottom w:val="single" w:sz="8" w:space="0" w:color="4BACC6"/>
              <w:right w:val="single" w:sz="12" w:space="0" w:color="4BACC6"/>
            </w:tcBorders>
            <w:shd w:val="clear" w:color="auto" w:fill="DAEEF3"/>
            <w:noWrap/>
            <w:vAlign w:val="bottom"/>
          </w:tcPr>
          <w:p w:rsidR="00B23695" w:rsidRPr="000063FC" w:rsidRDefault="008B2E49" w:rsidP="0047434A">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30387,1</w:t>
            </w:r>
          </w:p>
        </w:tc>
      </w:tr>
      <w:tr w:rsidR="008B2E49" w:rsidRPr="000063FC" w:rsidTr="00EA3B8D">
        <w:trPr>
          <w:trHeight w:val="227"/>
        </w:trPr>
        <w:tc>
          <w:tcPr>
            <w:tcW w:w="3554" w:type="dxa"/>
            <w:gridSpan w:val="3"/>
            <w:tcBorders>
              <w:top w:val="single" w:sz="12" w:space="0" w:color="4BACC6"/>
              <w:left w:val="single" w:sz="12" w:space="0" w:color="4BACC6"/>
              <w:bottom w:val="single" w:sz="8" w:space="0" w:color="4BACC6"/>
            </w:tcBorders>
            <w:shd w:val="clear" w:color="auto" w:fill="DAEEF3"/>
            <w:noWrap/>
            <w:vAlign w:val="center"/>
          </w:tcPr>
          <w:p w:rsidR="00B23695" w:rsidRPr="000063FC" w:rsidRDefault="008B2E49" w:rsidP="0047434A">
            <w:pPr>
              <w:spacing w:line="240" w:lineRule="auto"/>
              <w:rPr>
                <w:rFonts w:asciiTheme="minorHAnsi" w:hAnsiTheme="minorHAnsi" w:cs="Arial"/>
                <w:b/>
                <w:sz w:val="20"/>
              </w:rPr>
            </w:pPr>
            <w:r w:rsidRPr="000063FC">
              <w:rPr>
                <w:rFonts w:asciiTheme="minorHAnsi" w:hAnsiTheme="minorHAnsi" w:cs="Arial"/>
                <w:b/>
                <w:sz w:val="20"/>
              </w:rPr>
              <w:t>UKUPNO DIZEL</w:t>
            </w:r>
          </w:p>
        </w:tc>
        <w:tc>
          <w:tcPr>
            <w:tcW w:w="992" w:type="dxa"/>
            <w:tcBorders>
              <w:top w:val="single" w:sz="12" w:space="0" w:color="4BACC6"/>
              <w:bottom w:val="single" w:sz="8" w:space="0" w:color="4BACC6"/>
            </w:tcBorders>
            <w:shd w:val="clear" w:color="auto" w:fill="DAEEF3"/>
            <w:vAlign w:val="bottom"/>
          </w:tcPr>
          <w:p w:rsidR="00B23695" w:rsidRPr="000063FC" w:rsidRDefault="008B2E49" w:rsidP="0047434A">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48586</w:t>
            </w:r>
          </w:p>
        </w:tc>
        <w:tc>
          <w:tcPr>
            <w:tcW w:w="1134" w:type="dxa"/>
            <w:tcBorders>
              <w:top w:val="single" w:sz="12" w:space="0" w:color="4BACC6"/>
              <w:bottom w:val="single" w:sz="8" w:space="0" w:color="4BACC6"/>
            </w:tcBorders>
            <w:shd w:val="clear" w:color="auto" w:fill="DAEEF3"/>
            <w:noWrap/>
            <w:vAlign w:val="bottom"/>
          </w:tcPr>
          <w:p w:rsidR="00B23695" w:rsidRPr="000063FC" w:rsidRDefault="008B2E49" w:rsidP="0047434A">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105660,1</w:t>
            </w:r>
          </w:p>
        </w:tc>
        <w:tc>
          <w:tcPr>
            <w:tcW w:w="993" w:type="dxa"/>
            <w:tcBorders>
              <w:top w:val="single" w:sz="12" w:space="0" w:color="4BACC6"/>
              <w:bottom w:val="single" w:sz="8" w:space="0" w:color="4BACC6"/>
            </w:tcBorders>
            <w:shd w:val="clear" w:color="auto" w:fill="DAEEF3"/>
            <w:noWrap/>
            <w:vAlign w:val="bottom"/>
          </w:tcPr>
          <w:p w:rsidR="00B23695" w:rsidRPr="000063FC" w:rsidRDefault="008B2E49" w:rsidP="0047434A">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331587,2</w:t>
            </w:r>
          </w:p>
        </w:tc>
        <w:tc>
          <w:tcPr>
            <w:tcW w:w="708" w:type="dxa"/>
            <w:tcBorders>
              <w:top w:val="single" w:sz="12" w:space="0" w:color="4BACC6"/>
              <w:bottom w:val="single" w:sz="8" w:space="0" w:color="4BACC6"/>
            </w:tcBorders>
            <w:shd w:val="clear" w:color="auto" w:fill="DAEEF3"/>
            <w:noWrap/>
            <w:vAlign w:val="bottom"/>
          </w:tcPr>
          <w:p w:rsidR="00B23695" w:rsidRPr="000063FC" w:rsidRDefault="008B2E49" w:rsidP="0047434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7,4</w:t>
            </w:r>
          </w:p>
        </w:tc>
        <w:tc>
          <w:tcPr>
            <w:tcW w:w="709" w:type="dxa"/>
            <w:tcBorders>
              <w:top w:val="single" w:sz="12" w:space="0" w:color="4BACC6"/>
              <w:bottom w:val="single" w:sz="8" w:space="0" w:color="4BACC6"/>
            </w:tcBorders>
            <w:shd w:val="clear" w:color="auto" w:fill="DAEEF3"/>
            <w:noWrap/>
            <w:vAlign w:val="bottom"/>
          </w:tcPr>
          <w:p w:rsidR="00B23695" w:rsidRPr="000063FC" w:rsidRDefault="008B2E49" w:rsidP="0047434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18,69</w:t>
            </w:r>
          </w:p>
        </w:tc>
        <w:tc>
          <w:tcPr>
            <w:tcW w:w="1134" w:type="dxa"/>
            <w:tcBorders>
              <w:top w:val="single" w:sz="12" w:space="0" w:color="4BACC6"/>
              <w:bottom w:val="single" w:sz="8" w:space="0" w:color="4BACC6"/>
              <w:right w:val="single" w:sz="12" w:space="0" w:color="4BACC6"/>
            </w:tcBorders>
            <w:shd w:val="clear" w:color="auto" w:fill="DAEEF3"/>
            <w:noWrap/>
            <w:vAlign w:val="bottom"/>
          </w:tcPr>
          <w:p w:rsidR="00B23695" w:rsidRPr="000063FC" w:rsidRDefault="008B2E49" w:rsidP="0047434A">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337534,4</w:t>
            </w:r>
          </w:p>
        </w:tc>
      </w:tr>
      <w:tr w:rsidR="008B2E49" w:rsidRPr="000063FC" w:rsidTr="00EA3B8D">
        <w:trPr>
          <w:trHeight w:val="227"/>
        </w:trPr>
        <w:tc>
          <w:tcPr>
            <w:tcW w:w="3554" w:type="dxa"/>
            <w:gridSpan w:val="3"/>
            <w:tcBorders>
              <w:top w:val="single" w:sz="12" w:space="0" w:color="4BACC6"/>
              <w:bottom w:val="single" w:sz="8" w:space="0" w:color="4BACC6"/>
              <w:right w:val="single" w:sz="8" w:space="0" w:color="FFFFFF"/>
            </w:tcBorders>
            <w:shd w:val="clear" w:color="auto" w:fill="4BACC6"/>
            <w:noWrap/>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UKUPNO</w:t>
            </w:r>
          </w:p>
        </w:tc>
        <w:tc>
          <w:tcPr>
            <w:tcW w:w="992" w:type="dxa"/>
            <w:tcBorders>
              <w:top w:val="single" w:sz="12" w:space="0" w:color="4BACC6"/>
              <w:left w:val="single" w:sz="8" w:space="0" w:color="FFFFFF"/>
              <w:bottom w:val="single" w:sz="8" w:space="0" w:color="4BACC6"/>
              <w:right w:val="single" w:sz="8"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bCs/>
                <w:color w:val="FFFFFF"/>
                <w:sz w:val="20"/>
              </w:rPr>
            </w:pPr>
            <w:r w:rsidRPr="000063FC">
              <w:rPr>
                <w:rFonts w:asciiTheme="minorHAnsi" w:hAnsiTheme="minorHAnsi" w:cs="Arial"/>
                <w:b/>
                <w:bCs/>
                <w:color w:val="FFFFFF"/>
                <w:sz w:val="20"/>
              </w:rPr>
              <w:t>51640</w:t>
            </w:r>
          </w:p>
        </w:tc>
        <w:tc>
          <w:tcPr>
            <w:tcW w:w="1134" w:type="dxa"/>
            <w:tcBorders>
              <w:top w:val="single" w:sz="12" w:space="0" w:color="4BACC6"/>
              <w:left w:val="single" w:sz="8" w:space="0" w:color="FFFFFF"/>
              <w:bottom w:val="single" w:sz="8" w:space="0" w:color="4BACC6"/>
              <w:right w:val="single" w:sz="8" w:space="0" w:color="FFFFFF"/>
            </w:tcBorders>
            <w:shd w:val="clear" w:color="auto" w:fill="4BACC6"/>
            <w:noWrap/>
            <w:vAlign w:val="center"/>
          </w:tcPr>
          <w:p w:rsidR="00B23695" w:rsidRPr="000063FC" w:rsidRDefault="00B23695" w:rsidP="0047434A">
            <w:pPr>
              <w:spacing w:line="240" w:lineRule="auto"/>
              <w:jc w:val="center"/>
              <w:rPr>
                <w:rFonts w:asciiTheme="minorHAnsi" w:hAnsiTheme="minorHAnsi" w:cs="Arial"/>
                <w:b/>
                <w:bCs/>
                <w:color w:val="FFFFFF"/>
                <w:sz w:val="20"/>
              </w:rPr>
            </w:pPr>
          </w:p>
        </w:tc>
        <w:tc>
          <w:tcPr>
            <w:tcW w:w="993" w:type="dxa"/>
            <w:tcBorders>
              <w:top w:val="single" w:sz="12" w:space="0" w:color="4BACC6"/>
              <w:left w:val="single" w:sz="8" w:space="0" w:color="FFFFFF"/>
              <w:bottom w:val="single" w:sz="8" w:space="0" w:color="4BACC6"/>
              <w:right w:val="single" w:sz="8" w:space="0" w:color="FFFFFF"/>
            </w:tcBorders>
            <w:shd w:val="clear" w:color="auto" w:fill="4BACC6"/>
            <w:noWrap/>
            <w:vAlign w:val="center"/>
          </w:tcPr>
          <w:p w:rsidR="00B23695" w:rsidRPr="000063FC" w:rsidRDefault="008B2E49" w:rsidP="0047434A">
            <w:pPr>
              <w:spacing w:line="240" w:lineRule="auto"/>
              <w:jc w:val="center"/>
              <w:rPr>
                <w:rFonts w:asciiTheme="minorHAnsi" w:hAnsiTheme="minorHAnsi" w:cs="Arial"/>
                <w:b/>
                <w:bCs/>
                <w:color w:val="FFFFFF"/>
                <w:sz w:val="20"/>
              </w:rPr>
            </w:pPr>
            <w:r w:rsidRPr="000063FC">
              <w:rPr>
                <w:rFonts w:asciiTheme="minorHAnsi" w:hAnsiTheme="minorHAnsi" w:cs="Arial"/>
                <w:b/>
                <w:bCs/>
                <w:color w:val="FFFFFF"/>
                <w:sz w:val="20"/>
              </w:rPr>
              <w:t>361069,9</w:t>
            </w:r>
          </w:p>
        </w:tc>
        <w:tc>
          <w:tcPr>
            <w:tcW w:w="708" w:type="dxa"/>
            <w:tcBorders>
              <w:top w:val="single" w:sz="12" w:space="0" w:color="4BACC6"/>
              <w:left w:val="single" w:sz="8" w:space="0" w:color="FFFFFF"/>
              <w:bottom w:val="single" w:sz="8" w:space="0" w:color="4BACC6"/>
              <w:right w:val="single" w:sz="8" w:space="0" w:color="FFFFFF"/>
            </w:tcBorders>
            <w:shd w:val="clear" w:color="auto" w:fill="4BACC6"/>
            <w:noWrap/>
            <w:vAlign w:val="center"/>
          </w:tcPr>
          <w:p w:rsidR="00B23695" w:rsidRPr="000063FC" w:rsidRDefault="008B2E49" w:rsidP="0047434A">
            <w:pPr>
              <w:spacing w:line="240" w:lineRule="auto"/>
              <w:jc w:val="center"/>
              <w:rPr>
                <w:rFonts w:asciiTheme="minorHAnsi" w:hAnsiTheme="minorHAnsi" w:cs="Arial"/>
                <w:b/>
                <w:bCs/>
                <w:color w:val="FFFFFF"/>
                <w:sz w:val="20"/>
              </w:rPr>
            </w:pPr>
            <w:r w:rsidRPr="000063FC">
              <w:rPr>
                <w:rFonts w:asciiTheme="minorHAnsi" w:hAnsiTheme="minorHAnsi" w:cs="Arial"/>
                <w:b/>
                <w:bCs/>
                <w:color w:val="FFFFFF"/>
                <w:sz w:val="20"/>
              </w:rPr>
              <w:t>16,9</w:t>
            </w:r>
          </w:p>
        </w:tc>
        <w:tc>
          <w:tcPr>
            <w:tcW w:w="709" w:type="dxa"/>
            <w:tcBorders>
              <w:top w:val="single" w:sz="12" w:space="0" w:color="4BACC6"/>
              <w:left w:val="single" w:sz="8" w:space="0" w:color="FFFFFF"/>
              <w:bottom w:val="single" w:sz="8" w:space="0" w:color="4BACC6"/>
              <w:right w:val="single" w:sz="8" w:space="0" w:color="FFFFFF"/>
            </w:tcBorders>
            <w:shd w:val="clear" w:color="auto" w:fill="4BACC6"/>
            <w:noWrap/>
            <w:vAlign w:val="center"/>
          </w:tcPr>
          <w:p w:rsidR="00B23695" w:rsidRPr="000063FC" w:rsidRDefault="008B2E49" w:rsidP="0047434A">
            <w:pPr>
              <w:spacing w:line="240" w:lineRule="auto"/>
              <w:jc w:val="center"/>
              <w:rPr>
                <w:rFonts w:asciiTheme="minorHAnsi" w:hAnsiTheme="minorHAnsi" w:cs="Arial"/>
                <w:b/>
                <w:bCs/>
                <w:color w:val="FFFFFF"/>
                <w:sz w:val="20"/>
              </w:rPr>
            </w:pPr>
            <w:r w:rsidRPr="000063FC">
              <w:rPr>
                <w:rFonts w:asciiTheme="minorHAnsi" w:hAnsiTheme="minorHAnsi" w:cs="Arial"/>
                <w:b/>
                <w:bCs/>
                <w:color w:val="FFFFFF"/>
                <w:sz w:val="20"/>
              </w:rPr>
              <w:t>20,97</w:t>
            </w:r>
          </w:p>
        </w:tc>
        <w:tc>
          <w:tcPr>
            <w:tcW w:w="1134" w:type="dxa"/>
            <w:tcBorders>
              <w:top w:val="single" w:sz="12" w:space="0" w:color="4BACC6"/>
              <w:left w:val="single" w:sz="8" w:space="0" w:color="FFFFFF"/>
              <w:bottom w:val="single" w:sz="8" w:space="0" w:color="4BACC6"/>
            </w:tcBorders>
            <w:shd w:val="clear" w:color="auto" w:fill="4BACC6"/>
            <w:noWrap/>
            <w:vAlign w:val="center"/>
          </w:tcPr>
          <w:p w:rsidR="00B23695" w:rsidRPr="000063FC" w:rsidRDefault="008B2E49" w:rsidP="0047434A">
            <w:pPr>
              <w:spacing w:line="240" w:lineRule="auto"/>
              <w:jc w:val="center"/>
              <w:rPr>
                <w:rFonts w:asciiTheme="minorHAnsi" w:hAnsiTheme="minorHAnsi" w:cs="Arial"/>
                <w:b/>
                <w:bCs/>
                <w:color w:val="FFFFFF"/>
                <w:sz w:val="20"/>
              </w:rPr>
            </w:pPr>
            <w:r w:rsidRPr="000063FC">
              <w:rPr>
                <w:rFonts w:asciiTheme="minorHAnsi" w:hAnsiTheme="minorHAnsi" w:cs="Arial"/>
                <w:b/>
                <w:bCs/>
                <w:color w:val="FFFFFF"/>
                <w:sz w:val="20"/>
              </w:rPr>
              <w:t>367921,5</w:t>
            </w:r>
          </w:p>
        </w:tc>
      </w:tr>
    </w:tbl>
    <w:p w:rsidR="00B23695" w:rsidRPr="000063FC" w:rsidRDefault="00B23695">
      <w:pPr>
        <w:spacing w:line="276" w:lineRule="auto"/>
      </w:pPr>
    </w:p>
    <w:p w:rsidR="00B23695" w:rsidRPr="000063FC" w:rsidRDefault="005C5F6A">
      <w:pPr>
        <w:spacing w:line="276" w:lineRule="auto"/>
      </w:pPr>
      <w:r w:rsidRPr="000063FC">
        <w:br w:type="page"/>
      </w:r>
    </w:p>
    <w:p w:rsidR="00BC341E" w:rsidRPr="000063FC" w:rsidRDefault="006404C5">
      <w:pPr>
        <w:pStyle w:val="Heading9"/>
        <w:numPr>
          <w:ilvl w:val="0"/>
          <w:numId w:val="0"/>
        </w:numPr>
        <w:spacing w:line="276" w:lineRule="auto"/>
        <w:ind w:left="1584"/>
        <w:rPr>
          <w:rFonts w:ascii="Calibri" w:hAnsi="Calibri"/>
        </w:rPr>
      </w:pPr>
      <w:r w:rsidRPr="000063FC">
        <w:rPr>
          <w:rFonts w:ascii="Calibri" w:hAnsi="Calibri"/>
          <w:noProof/>
          <w:lang w:eastAsia="hr-HR"/>
        </w:rPr>
        <w:lastRenderedPageBreak/>
        <w:t xml:space="preserve"> </w:t>
      </w:r>
      <w:r w:rsidR="00234829" w:rsidRPr="000063FC">
        <w:rPr>
          <w:rFonts w:ascii="Calibri" w:hAnsi="Calibri"/>
          <w:noProof/>
          <w:lang w:eastAsia="hr-HR"/>
        </w:rPr>
        <w:drawing>
          <wp:inline distT="0" distB="0" distL="0" distR="0">
            <wp:extent cx="3943985" cy="241744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srcRect/>
                    <a:stretch>
                      <a:fillRect/>
                    </a:stretch>
                  </pic:blipFill>
                  <pic:spPr bwMode="auto">
                    <a:xfrm>
                      <a:off x="0" y="0"/>
                      <a:ext cx="3943985" cy="2417445"/>
                    </a:xfrm>
                    <a:prstGeom prst="rect">
                      <a:avLst/>
                    </a:prstGeom>
                    <a:noFill/>
                    <a:ln w="9525">
                      <a:noFill/>
                      <a:miter lim="800000"/>
                      <a:headEnd/>
                      <a:tailEnd/>
                    </a:ln>
                  </pic:spPr>
                </pic:pic>
              </a:graphicData>
            </a:graphic>
          </wp:inline>
        </w:drawing>
      </w:r>
    </w:p>
    <w:p w:rsidR="00B23695" w:rsidRPr="000063FC" w:rsidRDefault="00B23695">
      <w:pPr>
        <w:spacing w:line="276" w:lineRule="auto"/>
        <w:jc w:val="center"/>
        <w:rPr>
          <w:i/>
        </w:rPr>
      </w:pPr>
    </w:p>
    <w:p w:rsidR="00BC341E" w:rsidRPr="000063FC" w:rsidRDefault="008B2E49">
      <w:pPr>
        <w:pStyle w:val="Heading7"/>
      </w:pPr>
      <w:bookmarkStart w:id="164" w:name="_Toc251935568"/>
      <w:bookmarkStart w:id="165" w:name="_Toc254010292"/>
      <w:r w:rsidRPr="000063FC">
        <w:t xml:space="preserve">Slika </w:t>
      </w:r>
      <w:r w:rsidR="00243323" w:rsidRPr="000063FC">
        <w:t>2.9</w:t>
      </w:r>
      <w:r w:rsidRPr="000063FC">
        <w:t xml:space="preserve">: </w:t>
      </w:r>
      <w:r w:rsidR="0076018E" w:rsidRPr="000063FC">
        <w:t xml:space="preserve">Potrošnja pojedinih vrsta </w:t>
      </w:r>
      <w:r w:rsidRPr="000063FC">
        <w:t>goriva teretnih vozila</w:t>
      </w:r>
      <w:bookmarkEnd w:id="164"/>
      <w:bookmarkEnd w:id="165"/>
    </w:p>
    <w:p w:rsidR="00BC341E" w:rsidRPr="000063FC" w:rsidRDefault="00BC341E">
      <w:pPr>
        <w:spacing w:line="276" w:lineRule="auto"/>
      </w:pPr>
    </w:p>
    <w:p w:rsidR="00B23695" w:rsidRPr="000063FC" w:rsidRDefault="008B2E49">
      <w:pPr>
        <w:spacing w:line="276" w:lineRule="auto"/>
        <w:rPr>
          <w:szCs w:val="22"/>
        </w:rPr>
      </w:pPr>
      <w:r w:rsidRPr="000063FC">
        <w:rPr>
          <w:szCs w:val="22"/>
        </w:rPr>
        <w:t xml:space="preserve">U kategoriji teretnih vozila dizel je najzastupljenije gorivo te njegov udio u ukupnoj potrošnji goriva teretnih vozila iznosi 56%, dok udio potrošnje benzina iznosi 4%. </w:t>
      </w:r>
    </w:p>
    <w:p w:rsidR="0076018E" w:rsidRPr="000063FC" w:rsidRDefault="0076018E">
      <w:pPr>
        <w:spacing w:line="276" w:lineRule="auto"/>
        <w:rPr>
          <w:i/>
        </w:rPr>
      </w:pPr>
    </w:p>
    <w:p w:rsidR="00BC341E" w:rsidRPr="000063FC" w:rsidRDefault="008B2E49" w:rsidP="00B33E2F">
      <w:pPr>
        <w:pStyle w:val="Heading6"/>
      </w:pPr>
      <w:bookmarkStart w:id="166" w:name="_Toc254010251"/>
      <w:r w:rsidRPr="000063FC">
        <w:t xml:space="preserve">Tablica </w:t>
      </w:r>
      <w:r w:rsidR="0076018E" w:rsidRPr="000063FC">
        <w:t>2.24</w:t>
      </w:r>
      <w:r w:rsidRPr="000063FC">
        <w:t>: Ukupna emisija stakleničkih plinova po kategorijama mopeda i motocikala</w:t>
      </w:r>
      <w:bookmarkEnd w:id="166"/>
    </w:p>
    <w:tbl>
      <w:tblPr>
        <w:tblW w:w="9082" w:type="dxa"/>
        <w:tblInd w:w="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003"/>
        <w:gridCol w:w="1701"/>
        <w:gridCol w:w="1559"/>
        <w:gridCol w:w="825"/>
        <w:gridCol w:w="876"/>
        <w:gridCol w:w="850"/>
        <w:gridCol w:w="709"/>
        <w:gridCol w:w="709"/>
        <w:gridCol w:w="850"/>
      </w:tblGrid>
      <w:tr w:rsidR="008B2E49" w:rsidRPr="000063FC" w:rsidTr="009B3A0B">
        <w:trPr>
          <w:trHeight w:val="227"/>
        </w:trPr>
        <w:tc>
          <w:tcPr>
            <w:tcW w:w="1003" w:type="dxa"/>
            <w:tcBorders>
              <w:right w:val="single" w:sz="8"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SEKTOR</w:t>
            </w:r>
          </w:p>
        </w:tc>
        <w:tc>
          <w:tcPr>
            <w:tcW w:w="1701" w:type="dxa"/>
            <w:tcBorders>
              <w:left w:val="single" w:sz="8" w:space="0" w:color="FFFFFF"/>
              <w:right w:val="single" w:sz="8"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PODSEKTOR</w:t>
            </w:r>
          </w:p>
        </w:tc>
        <w:tc>
          <w:tcPr>
            <w:tcW w:w="1559" w:type="dxa"/>
            <w:tcBorders>
              <w:left w:val="single" w:sz="8" w:space="0" w:color="FFFFFF"/>
              <w:right w:val="single" w:sz="8"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TEHNOLOGIJA</w:t>
            </w:r>
          </w:p>
        </w:tc>
        <w:tc>
          <w:tcPr>
            <w:tcW w:w="825" w:type="dxa"/>
            <w:tcBorders>
              <w:left w:val="single" w:sz="8" w:space="0" w:color="FFFFFF"/>
              <w:right w:val="single" w:sz="6"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BROJ VOZILA</w:t>
            </w:r>
          </w:p>
        </w:tc>
        <w:tc>
          <w:tcPr>
            <w:tcW w:w="876" w:type="dxa"/>
            <w:tcBorders>
              <w:left w:val="single" w:sz="6" w:space="0" w:color="FFFFFF"/>
              <w:right w:val="single" w:sz="8"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POTR. GOR. t</w:t>
            </w:r>
          </w:p>
        </w:tc>
        <w:tc>
          <w:tcPr>
            <w:tcW w:w="850" w:type="dxa"/>
            <w:tcBorders>
              <w:left w:val="single" w:sz="8" w:space="0" w:color="FFFFFF"/>
              <w:right w:val="single" w:sz="8"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CO</w:t>
            </w:r>
            <w:r w:rsidRPr="000063FC">
              <w:rPr>
                <w:rFonts w:asciiTheme="minorHAnsi" w:hAnsiTheme="minorHAnsi" w:cs="Arial"/>
                <w:b/>
                <w:color w:val="FFFFFF"/>
                <w:sz w:val="20"/>
                <w:vertAlign w:val="subscript"/>
              </w:rPr>
              <w:t>2</w:t>
            </w:r>
            <w:r w:rsidRPr="000063FC">
              <w:rPr>
                <w:rFonts w:asciiTheme="minorHAnsi" w:hAnsiTheme="minorHAnsi" w:cs="Arial"/>
                <w:b/>
                <w:color w:val="FFFFFF"/>
                <w:sz w:val="20"/>
              </w:rPr>
              <w:t>, t</w:t>
            </w:r>
          </w:p>
        </w:tc>
        <w:tc>
          <w:tcPr>
            <w:tcW w:w="709" w:type="dxa"/>
            <w:tcBorders>
              <w:left w:val="single" w:sz="8" w:space="0" w:color="FFFFFF"/>
              <w:right w:val="single" w:sz="8"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CH</w:t>
            </w:r>
            <w:r w:rsidRPr="000063FC">
              <w:rPr>
                <w:rFonts w:asciiTheme="minorHAnsi" w:hAnsiTheme="minorHAnsi" w:cs="Arial"/>
                <w:b/>
                <w:color w:val="FFFFFF"/>
                <w:sz w:val="20"/>
                <w:vertAlign w:val="subscript"/>
              </w:rPr>
              <w:t>4</w:t>
            </w:r>
            <w:r w:rsidRPr="000063FC">
              <w:rPr>
                <w:rFonts w:asciiTheme="minorHAnsi" w:hAnsiTheme="minorHAnsi" w:cs="Arial"/>
                <w:b/>
                <w:color w:val="FFFFFF"/>
                <w:sz w:val="20"/>
              </w:rPr>
              <w:t>, t</w:t>
            </w:r>
          </w:p>
        </w:tc>
        <w:tc>
          <w:tcPr>
            <w:tcW w:w="709" w:type="dxa"/>
            <w:tcBorders>
              <w:left w:val="single" w:sz="8" w:space="0" w:color="FFFFFF"/>
              <w:right w:val="single" w:sz="8"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N</w:t>
            </w:r>
            <w:r w:rsidRPr="000063FC">
              <w:rPr>
                <w:rFonts w:asciiTheme="minorHAnsi" w:hAnsiTheme="minorHAnsi" w:cs="Arial"/>
                <w:b/>
                <w:color w:val="FFFFFF"/>
                <w:sz w:val="20"/>
                <w:vertAlign w:val="subscript"/>
              </w:rPr>
              <w:t>2</w:t>
            </w:r>
            <w:r w:rsidRPr="000063FC">
              <w:rPr>
                <w:rFonts w:asciiTheme="minorHAnsi" w:hAnsiTheme="minorHAnsi" w:cs="Arial"/>
                <w:b/>
                <w:color w:val="FFFFFF"/>
                <w:sz w:val="20"/>
              </w:rPr>
              <w:t>O, t</w:t>
            </w:r>
          </w:p>
        </w:tc>
        <w:tc>
          <w:tcPr>
            <w:tcW w:w="850" w:type="dxa"/>
            <w:tcBorders>
              <w:left w:val="single" w:sz="8" w:space="0" w:color="FFFFFF"/>
            </w:tcBorders>
            <w:shd w:val="clear" w:color="auto" w:fill="4BACC6"/>
            <w:vAlign w:val="center"/>
          </w:tcPr>
          <w:p w:rsidR="00B23695" w:rsidRPr="000063FC" w:rsidRDefault="008B2E49" w:rsidP="0047434A">
            <w:pPr>
              <w:spacing w:line="240" w:lineRule="auto"/>
              <w:jc w:val="center"/>
              <w:rPr>
                <w:rFonts w:asciiTheme="minorHAnsi" w:hAnsiTheme="minorHAnsi" w:cs="Arial"/>
                <w:b/>
                <w:color w:val="FFFFFF"/>
                <w:sz w:val="20"/>
              </w:rPr>
            </w:pPr>
            <w:r w:rsidRPr="000063FC">
              <w:rPr>
                <w:rFonts w:asciiTheme="minorHAnsi" w:hAnsiTheme="minorHAnsi" w:cs="Arial"/>
                <w:b/>
                <w:color w:val="FFFFFF"/>
                <w:sz w:val="20"/>
              </w:rPr>
              <w:t>CO</w:t>
            </w:r>
            <w:r w:rsidRPr="000063FC">
              <w:rPr>
                <w:rFonts w:asciiTheme="minorHAnsi" w:hAnsiTheme="minorHAnsi" w:cs="Arial"/>
                <w:b/>
                <w:color w:val="FFFFFF"/>
                <w:sz w:val="20"/>
                <w:vertAlign w:val="subscript"/>
              </w:rPr>
              <w:t>2</w:t>
            </w:r>
            <w:r w:rsidRPr="000063FC">
              <w:rPr>
                <w:rFonts w:asciiTheme="minorHAnsi" w:hAnsiTheme="minorHAnsi" w:cs="Arial"/>
                <w:b/>
                <w:color w:val="FFFFFF"/>
                <w:sz w:val="20"/>
              </w:rPr>
              <w:t>-ekv, t</w:t>
            </w:r>
          </w:p>
        </w:tc>
      </w:tr>
      <w:tr w:rsidR="008B2E49" w:rsidRPr="000063FC" w:rsidTr="009B3A0B">
        <w:trPr>
          <w:trHeight w:val="227"/>
        </w:trPr>
        <w:tc>
          <w:tcPr>
            <w:tcW w:w="1003" w:type="dxa"/>
            <w:vMerge w:val="restart"/>
            <w:noWrap/>
            <w:vAlign w:val="center"/>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Mopedi</w:t>
            </w:r>
          </w:p>
        </w:tc>
        <w:tc>
          <w:tcPr>
            <w:tcW w:w="1701" w:type="dxa"/>
            <w:noWrap/>
            <w:vAlign w:val="bottom"/>
          </w:tcPr>
          <w:p w:rsidR="00B23695" w:rsidRPr="000063FC" w:rsidRDefault="008B2E49" w:rsidP="0047434A">
            <w:pPr>
              <w:spacing w:line="240" w:lineRule="auto"/>
              <w:jc w:val="left"/>
              <w:rPr>
                <w:rFonts w:asciiTheme="minorHAnsi" w:hAnsiTheme="minorHAnsi" w:cs="Arial"/>
                <w:sz w:val="20"/>
              </w:rPr>
            </w:pPr>
            <w:r w:rsidRPr="000063FC">
              <w:rPr>
                <w:rFonts w:asciiTheme="minorHAnsi" w:hAnsiTheme="minorHAnsi" w:cs="Arial"/>
                <w:sz w:val="20"/>
              </w:rPr>
              <w:t>&lt;50 cm³</w:t>
            </w:r>
          </w:p>
        </w:tc>
        <w:tc>
          <w:tcPr>
            <w:tcW w:w="1559"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Conventional</w:t>
            </w:r>
          </w:p>
        </w:tc>
        <w:tc>
          <w:tcPr>
            <w:tcW w:w="825" w:type="dxa"/>
            <w:tcBorders>
              <w:right w:val="single" w:sz="6" w:space="0" w:color="4BACC6"/>
            </w:tcBorders>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4120</w:t>
            </w:r>
          </w:p>
        </w:tc>
        <w:tc>
          <w:tcPr>
            <w:tcW w:w="876" w:type="dxa"/>
            <w:tcBorders>
              <w:left w:val="single" w:sz="6" w:space="0" w:color="4BACC6"/>
            </w:tcBorders>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206,0</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656,5</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1,80</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0,01</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696,9</w:t>
            </w:r>
          </w:p>
        </w:tc>
      </w:tr>
      <w:tr w:rsidR="008B2E49" w:rsidRPr="000063FC" w:rsidTr="009B3A0B">
        <w:trPr>
          <w:trHeight w:val="227"/>
        </w:trPr>
        <w:tc>
          <w:tcPr>
            <w:tcW w:w="1003" w:type="dxa"/>
            <w:vMerge/>
            <w:vAlign w:val="center"/>
          </w:tcPr>
          <w:p w:rsidR="00B23695" w:rsidRPr="000063FC" w:rsidRDefault="00B23695" w:rsidP="0047434A">
            <w:pPr>
              <w:spacing w:line="240" w:lineRule="auto"/>
              <w:jc w:val="center"/>
              <w:rPr>
                <w:rFonts w:asciiTheme="minorHAnsi" w:hAnsiTheme="minorHAnsi" w:cs="Arial"/>
                <w:sz w:val="20"/>
              </w:rPr>
            </w:pPr>
          </w:p>
        </w:tc>
        <w:tc>
          <w:tcPr>
            <w:tcW w:w="1701" w:type="dxa"/>
            <w:noWrap/>
            <w:vAlign w:val="bottom"/>
          </w:tcPr>
          <w:p w:rsidR="00B23695" w:rsidRPr="000063FC" w:rsidRDefault="008B2E49" w:rsidP="0047434A">
            <w:pPr>
              <w:spacing w:line="240" w:lineRule="auto"/>
              <w:jc w:val="left"/>
              <w:rPr>
                <w:rFonts w:asciiTheme="minorHAnsi" w:hAnsiTheme="minorHAnsi" w:cs="Arial"/>
                <w:sz w:val="20"/>
              </w:rPr>
            </w:pPr>
            <w:r w:rsidRPr="000063FC">
              <w:rPr>
                <w:rFonts w:asciiTheme="minorHAnsi" w:hAnsiTheme="minorHAnsi" w:cs="Arial"/>
                <w:sz w:val="20"/>
              </w:rPr>
              <w:t>&lt;50 cm³</w:t>
            </w:r>
          </w:p>
        </w:tc>
        <w:tc>
          <w:tcPr>
            <w:tcW w:w="1559"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 97/24/EC St. I</w:t>
            </w:r>
          </w:p>
        </w:tc>
        <w:tc>
          <w:tcPr>
            <w:tcW w:w="825" w:type="dxa"/>
            <w:tcBorders>
              <w:right w:val="single" w:sz="6" w:space="0" w:color="4BACC6"/>
            </w:tcBorders>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1381</w:t>
            </w:r>
          </w:p>
        </w:tc>
        <w:tc>
          <w:tcPr>
            <w:tcW w:w="876" w:type="dxa"/>
            <w:tcBorders>
              <w:left w:val="single" w:sz="6" w:space="0" w:color="4BACC6"/>
            </w:tcBorders>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69,1</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220,0</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0,27</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0,00</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226,6</w:t>
            </w:r>
          </w:p>
        </w:tc>
      </w:tr>
      <w:tr w:rsidR="008B2E49" w:rsidRPr="000063FC" w:rsidTr="009B3A0B">
        <w:trPr>
          <w:trHeight w:val="227"/>
        </w:trPr>
        <w:tc>
          <w:tcPr>
            <w:tcW w:w="1003" w:type="dxa"/>
            <w:vMerge/>
            <w:vAlign w:val="center"/>
          </w:tcPr>
          <w:p w:rsidR="00B23695" w:rsidRPr="000063FC" w:rsidRDefault="00B23695" w:rsidP="0047434A">
            <w:pPr>
              <w:spacing w:line="240" w:lineRule="auto"/>
              <w:jc w:val="center"/>
              <w:rPr>
                <w:rFonts w:asciiTheme="minorHAnsi" w:hAnsiTheme="minorHAnsi" w:cs="Arial"/>
                <w:sz w:val="20"/>
              </w:rPr>
            </w:pPr>
          </w:p>
        </w:tc>
        <w:tc>
          <w:tcPr>
            <w:tcW w:w="1701" w:type="dxa"/>
            <w:noWrap/>
            <w:vAlign w:val="bottom"/>
          </w:tcPr>
          <w:p w:rsidR="00B23695" w:rsidRPr="000063FC" w:rsidRDefault="008B2E49" w:rsidP="0047434A">
            <w:pPr>
              <w:spacing w:line="240" w:lineRule="auto"/>
              <w:jc w:val="left"/>
              <w:rPr>
                <w:rFonts w:asciiTheme="minorHAnsi" w:hAnsiTheme="minorHAnsi" w:cs="Arial"/>
                <w:sz w:val="20"/>
              </w:rPr>
            </w:pPr>
            <w:r w:rsidRPr="000063FC">
              <w:rPr>
                <w:rFonts w:asciiTheme="minorHAnsi" w:hAnsiTheme="minorHAnsi" w:cs="Arial"/>
                <w:sz w:val="20"/>
              </w:rPr>
              <w:t>&lt;50 cm³</w:t>
            </w:r>
          </w:p>
        </w:tc>
        <w:tc>
          <w:tcPr>
            <w:tcW w:w="1559"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 97/24/EC St. II</w:t>
            </w:r>
          </w:p>
        </w:tc>
        <w:tc>
          <w:tcPr>
            <w:tcW w:w="825" w:type="dxa"/>
            <w:tcBorders>
              <w:right w:val="single" w:sz="6" w:space="0" w:color="4BACC6"/>
            </w:tcBorders>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10070</w:t>
            </w:r>
          </w:p>
        </w:tc>
        <w:tc>
          <w:tcPr>
            <w:tcW w:w="876" w:type="dxa"/>
            <w:tcBorders>
              <w:left w:val="single" w:sz="6" w:space="0" w:color="4BACC6"/>
            </w:tcBorders>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503,5</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1604,5</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0,97</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0,02</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1631,1</w:t>
            </w:r>
          </w:p>
        </w:tc>
      </w:tr>
      <w:tr w:rsidR="008B2E49" w:rsidRPr="000063FC" w:rsidTr="009B3A0B">
        <w:trPr>
          <w:trHeight w:val="227"/>
        </w:trPr>
        <w:tc>
          <w:tcPr>
            <w:tcW w:w="1003" w:type="dxa"/>
            <w:vMerge w:val="restart"/>
            <w:noWrap/>
            <w:vAlign w:val="center"/>
          </w:tcPr>
          <w:p w:rsidR="00BC341E" w:rsidRPr="000063FC" w:rsidRDefault="008B2E49">
            <w:pPr>
              <w:spacing w:line="240" w:lineRule="auto"/>
              <w:jc w:val="center"/>
              <w:rPr>
                <w:rFonts w:asciiTheme="minorHAnsi" w:hAnsiTheme="minorHAnsi" w:cs="Arial"/>
                <w:b/>
                <w:bCs/>
                <w:caps/>
                <w:sz w:val="20"/>
                <w:szCs w:val="24"/>
              </w:rPr>
            </w:pPr>
            <w:r w:rsidRPr="000063FC">
              <w:rPr>
                <w:rFonts w:asciiTheme="minorHAnsi" w:hAnsiTheme="minorHAnsi" w:cs="Arial"/>
                <w:sz w:val="20"/>
              </w:rPr>
              <w:t>Motocikli</w:t>
            </w:r>
          </w:p>
        </w:tc>
        <w:tc>
          <w:tcPr>
            <w:tcW w:w="1701" w:type="dxa"/>
            <w:noWrap/>
            <w:vAlign w:val="bottom"/>
          </w:tcPr>
          <w:p w:rsidR="00BC341E" w:rsidRPr="000063FC" w:rsidRDefault="008B2E49">
            <w:pPr>
              <w:spacing w:line="240" w:lineRule="auto"/>
              <w:jc w:val="left"/>
              <w:rPr>
                <w:rFonts w:asciiTheme="minorHAnsi" w:hAnsiTheme="minorHAnsi" w:cs="Arial"/>
                <w:b/>
                <w:bCs/>
                <w:caps/>
                <w:sz w:val="20"/>
                <w:szCs w:val="24"/>
              </w:rPr>
            </w:pPr>
            <w:r w:rsidRPr="000063FC">
              <w:rPr>
                <w:rFonts w:asciiTheme="minorHAnsi" w:hAnsiTheme="minorHAnsi" w:cs="Arial"/>
                <w:sz w:val="20"/>
              </w:rPr>
              <w:t>2-taktni &gt;50 cm³</w:t>
            </w:r>
          </w:p>
        </w:tc>
        <w:tc>
          <w:tcPr>
            <w:tcW w:w="1559" w:type="dxa"/>
            <w:noWrap/>
            <w:vAlign w:val="bottom"/>
          </w:tcPr>
          <w:p w:rsidR="00BC341E" w:rsidRPr="000063FC" w:rsidRDefault="008B2E49">
            <w:pPr>
              <w:spacing w:line="240" w:lineRule="auto"/>
              <w:rPr>
                <w:rFonts w:asciiTheme="minorHAnsi" w:hAnsiTheme="minorHAnsi" w:cs="Arial"/>
                <w:b/>
                <w:bCs/>
                <w:caps/>
                <w:sz w:val="20"/>
                <w:szCs w:val="24"/>
              </w:rPr>
            </w:pPr>
            <w:r w:rsidRPr="000063FC">
              <w:rPr>
                <w:rFonts w:asciiTheme="minorHAnsi" w:hAnsiTheme="minorHAnsi" w:cs="Arial"/>
                <w:sz w:val="20"/>
              </w:rPr>
              <w:t>Conventional</w:t>
            </w:r>
          </w:p>
        </w:tc>
        <w:tc>
          <w:tcPr>
            <w:tcW w:w="825" w:type="dxa"/>
            <w:tcBorders>
              <w:right w:val="single" w:sz="6" w:space="0" w:color="4BACC6"/>
            </w:tcBorders>
            <w:noWrap/>
            <w:vAlign w:val="bottom"/>
          </w:tcPr>
          <w:p w:rsidR="00BC341E" w:rsidRPr="000063FC" w:rsidRDefault="008B2E49">
            <w:pPr>
              <w:spacing w:line="240" w:lineRule="auto"/>
              <w:jc w:val="right"/>
              <w:rPr>
                <w:rFonts w:asciiTheme="minorHAnsi" w:hAnsiTheme="minorHAnsi" w:cs="Arial"/>
                <w:b/>
                <w:bCs/>
                <w:caps/>
                <w:sz w:val="20"/>
                <w:szCs w:val="24"/>
              </w:rPr>
            </w:pPr>
            <w:r w:rsidRPr="000063FC">
              <w:rPr>
                <w:rFonts w:asciiTheme="minorHAnsi" w:hAnsiTheme="minorHAnsi" w:cs="Arial"/>
                <w:sz w:val="20"/>
              </w:rPr>
              <w:t>1448</w:t>
            </w:r>
          </w:p>
        </w:tc>
        <w:tc>
          <w:tcPr>
            <w:tcW w:w="876" w:type="dxa"/>
            <w:tcBorders>
              <w:left w:val="single" w:sz="6" w:space="0" w:color="4BACC6"/>
            </w:tcBorders>
            <w:vAlign w:val="bottom"/>
          </w:tcPr>
          <w:p w:rsidR="00BC341E" w:rsidRPr="000063FC" w:rsidRDefault="008B2E49">
            <w:pPr>
              <w:spacing w:line="240" w:lineRule="auto"/>
              <w:jc w:val="right"/>
              <w:rPr>
                <w:rFonts w:asciiTheme="minorHAnsi" w:hAnsiTheme="minorHAnsi" w:cs="Arial"/>
                <w:b/>
                <w:bCs/>
                <w:caps/>
                <w:sz w:val="20"/>
                <w:szCs w:val="24"/>
              </w:rPr>
            </w:pPr>
            <w:r w:rsidRPr="000063FC">
              <w:rPr>
                <w:rFonts w:asciiTheme="minorHAnsi" w:hAnsiTheme="minorHAnsi" w:cs="Arial"/>
                <w:sz w:val="20"/>
              </w:rPr>
              <w:t>238,2</w:t>
            </w:r>
          </w:p>
        </w:tc>
        <w:tc>
          <w:tcPr>
            <w:tcW w:w="850" w:type="dxa"/>
            <w:noWrap/>
            <w:vAlign w:val="bottom"/>
          </w:tcPr>
          <w:p w:rsidR="00BC341E" w:rsidRPr="000063FC" w:rsidRDefault="008B2E49">
            <w:pPr>
              <w:spacing w:line="240" w:lineRule="auto"/>
              <w:jc w:val="center"/>
              <w:rPr>
                <w:rFonts w:asciiTheme="minorHAnsi" w:hAnsiTheme="minorHAnsi" w:cs="Arial"/>
                <w:b/>
                <w:bCs/>
                <w:caps/>
                <w:sz w:val="20"/>
                <w:szCs w:val="24"/>
              </w:rPr>
            </w:pPr>
            <w:r w:rsidRPr="000063FC">
              <w:rPr>
                <w:rFonts w:asciiTheme="minorHAnsi" w:hAnsiTheme="minorHAnsi" w:cs="Arial"/>
                <w:sz w:val="20"/>
              </w:rPr>
              <w:t>759,0</w:t>
            </w:r>
          </w:p>
        </w:tc>
        <w:tc>
          <w:tcPr>
            <w:tcW w:w="709" w:type="dxa"/>
            <w:noWrap/>
            <w:vAlign w:val="bottom"/>
          </w:tcPr>
          <w:p w:rsidR="00BC341E" w:rsidRPr="000063FC" w:rsidRDefault="008B2E49">
            <w:pPr>
              <w:spacing w:line="240" w:lineRule="auto"/>
              <w:jc w:val="center"/>
              <w:rPr>
                <w:rFonts w:asciiTheme="minorHAnsi" w:hAnsiTheme="minorHAnsi" w:cs="Arial"/>
                <w:b/>
                <w:bCs/>
                <w:caps/>
                <w:sz w:val="20"/>
                <w:szCs w:val="24"/>
              </w:rPr>
            </w:pPr>
            <w:r w:rsidRPr="000063FC">
              <w:rPr>
                <w:rFonts w:asciiTheme="minorHAnsi" w:hAnsiTheme="minorHAnsi" w:cs="Arial"/>
                <w:sz w:val="20"/>
              </w:rPr>
              <w:t>1,09</w:t>
            </w:r>
          </w:p>
        </w:tc>
        <w:tc>
          <w:tcPr>
            <w:tcW w:w="709" w:type="dxa"/>
            <w:noWrap/>
            <w:vAlign w:val="bottom"/>
          </w:tcPr>
          <w:p w:rsidR="00BC341E" w:rsidRPr="000063FC" w:rsidRDefault="008B2E49">
            <w:pPr>
              <w:spacing w:line="240" w:lineRule="auto"/>
              <w:jc w:val="center"/>
              <w:rPr>
                <w:rFonts w:asciiTheme="minorHAnsi" w:hAnsiTheme="minorHAnsi" w:cs="Arial"/>
                <w:b/>
                <w:bCs/>
                <w:caps/>
                <w:sz w:val="20"/>
                <w:szCs w:val="24"/>
              </w:rPr>
            </w:pPr>
            <w:r w:rsidRPr="000063FC">
              <w:rPr>
                <w:rFonts w:asciiTheme="minorHAnsi" w:hAnsiTheme="minorHAnsi" w:cs="Arial"/>
                <w:sz w:val="20"/>
              </w:rPr>
              <w:t>0,01</w:t>
            </w:r>
          </w:p>
        </w:tc>
        <w:tc>
          <w:tcPr>
            <w:tcW w:w="850" w:type="dxa"/>
            <w:noWrap/>
            <w:vAlign w:val="bottom"/>
          </w:tcPr>
          <w:p w:rsidR="00BC341E" w:rsidRPr="000063FC" w:rsidRDefault="008B2E49">
            <w:pPr>
              <w:spacing w:line="240" w:lineRule="auto"/>
              <w:jc w:val="center"/>
              <w:rPr>
                <w:rFonts w:asciiTheme="minorHAnsi" w:hAnsiTheme="minorHAnsi" w:cs="Arial"/>
                <w:b/>
                <w:bCs/>
                <w:caps/>
                <w:sz w:val="20"/>
                <w:szCs w:val="24"/>
              </w:rPr>
            </w:pPr>
            <w:r w:rsidRPr="000063FC">
              <w:rPr>
                <w:rFonts w:asciiTheme="minorHAnsi" w:hAnsiTheme="minorHAnsi" w:cs="Arial"/>
                <w:sz w:val="20"/>
              </w:rPr>
              <w:t>786,3</w:t>
            </w:r>
          </w:p>
        </w:tc>
      </w:tr>
      <w:tr w:rsidR="008B2E49" w:rsidRPr="000063FC" w:rsidTr="009B3A0B">
        <w:trPr>
          <w:trHeight w:val="227"/>
        </w:trPr>
        <w:tc>
          <w:tcPr>
            <w:tcW w:w="1003" w:type="dxa"/>
            <w:vMerge/>
            <w:vAlign w:val="center"/>
          </w:tcPr>
          <w:p w:rsidR="00B23695" w:rsidRPr="000063FC" w:rsidRDefault="00B23695" w:rsidP="0047434A">
            <w:pPr>
              <w:spacing w:line="240" w:lineRule="auto"/>
              <w:rPr>
                <w:rFonts w:asciiTheme="minorHAnsi" w:hAnsiTheme="minorHAnsi" w:cs="Arial"/>
                <w:sz w:val="20"/>
              </w:rPr>
            </w:pPr>
          </w:p>
        </w:tc>
        <w:tc>
          <w:tcPr>
            <w:tcW w:w="1701" w:type="dxa"/>
            <w:noWrap/>
            <w:vAlign w:val="bottom"/>
          </w:tcPr>
          <w:p w:rsidR="00B23695" w:rsidRPr="000063FC" w:rsidRDefault="008B2E49" w:rsidP="0047434A">
            <w:pPr>
              <w:spacing w:line="240" w:lineRule="auto"/>
              <w:jc w:val="left"/>
              <w:rPr>
                <w:rFonts w:asciiTheme="minorHAnsi" w:hAnsiTheme="minorHAnsi" w:cs="Arial"/>
                <w:sz w:val="20"/>
              </w:rPr>
            </w:pPr>
            <w:r w:rsidRPr="000063FC">
              <w:rPr>
                <w:rFonts w:asciiTheme="minorHAnsi" w:hAnsiTheme="minorHAnsi" w:cs="Arial"/>
                <w:sz w:val="20"/>
              </w:rPr>
              <w:t>2-taktni &gt;50 cm³</w:t>
            </w:r>
          </w:p>
        </w:tc>
        <w:tc>
          <w:tcPr>
            <w:tcW w:w="1559"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 97/24/EC</w:t>
            </w:r>
          </w:p>
        </w:tc>
        <w:tc>
          <w:tcPr>
            <w:tcW w:w="825" w:type="dxa"/>
            <w:tcBorders>
              <w:right w:val="single" w:sz="6" w:space="0" w:color="4BACC6"/>
            </w:tcBorders>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586</w:t>
            </w:r>
          </w:p>
        </w:tc>
        <w:tc>
          <w:tcPr>
            <w:tcW w:w="876" w:type="dxa"/>
            <w:tcBorders>
              <w:left w:val="single" w:sz="6" w:space="0" w:color="4BACC6"/>
            </w:tcBorders>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66,4</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211,5</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0,44</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0,01</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222,5</w:t>
            </w:r>
          </w:p>
        </w:tc>
      </w:tr>
      <w:tr w:rsidR="008B2E49" w:rsidRPr="000063FC" w:rsidTr="009B3A0B">
        <w:trPr>
          <w:trHeight w:val="227"/>
        </w:trPr>
        <w:tc>
          <w:tcPr>
            <w:tcW w:w="1003" w:type="dxa"/>
            <w:vMerge/>
            <w:vAlign w:val="center"/>
          </w:tcPr>
          <w:p w:rsidR="00B23695" w:rsidRPr="000063FC" w:rsidRDefault="00B23695" w:rsidP="0047434A">
            <w:pPr>
              <w:spacing w:line="240" w:lineRule="auto"/>
              <w:rPr>
                <w:rFonts w:asciiTheme="minorHAnsi" w:hAnsiTheme="minorHAnsi" w:cs="Arial"/>
                <w:sz w:val="20"/>
              </w:rPr>
            </w:pPr>
          </w:p>
        </w:tc>
        <w:tc>
          <w:tcPr>
            <w:tcW w:w="1701" w:type="dxa"/>
            <w:noWrap/>
            <w:vAlign w:val="bottom"/>
          </w:tcPr>
          <w:p w:rsidR="00B23695" w:rsidRPr="000063FC" w:rsidRDefault="008B2E49" w:rsidP="0047434A">
            <w:pPr>
              <w:spacing w:line="240" w:lineRule="auto"/>
              <w:jc w:val="left"/>
              <w:rPr>
                <w:rFonts w:asciiTheme="minorHAnsi" w:hAnsiTheme="minorHAnsi" w:cs="Arial"/>
                <w:sz w:val="20"/>
              </w:rPr>
            </w:pPr>
            <w:r w:rsidRPr="000063FC">
              <w:rPr>
                <w:rFonts w:asciiTheme="minorHAnsi" w:hAnsiTheme="minorHAnsi" w:cs="Arial"/>
                <w:sz w:val="20"/>
              </w:rPr>
              <w:t>4-taktni &lt;250 cm³</w:t>
            </w:r>
          </w:p>
        </w:tc>
        <w:tc>
          <w:tcPr>
            <w:tcW w:w="1559"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Conventional</w:t>
            </w:r>
          </w:p>
        </w:tc>
        <w:tc>
          <w:tcPr>
            <w:tcW w:w="825" w:type="dxa"/>
            <w:tcBorders>
              <w:right w:val="single" w:sz="6" w:space="0" w:color="4BACC6"/>
            </w:tcBorders>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397</w:t>
            </w:r>
          </w:p>
        </w:tc>
        <w:tc>
          <w:tcPr>
            <w:tcW w:w="876" w:type="dxa"/>
            <w:tcBorders>
              <w:left w:val="single" w:sz="6" w:space="0" w:color="4BACC6"/>
            </w:tcBorders>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62,2</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198,3</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0,40</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0,00</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207,9</w:t>
            </w:r>
          </w:p>
        </w:tc>
      </w:tr>
      <w:tr w:rsidR="008B2E49" w:rsidRPr="000063FC" w:rsidTr="009B3A0B">
        <w:trPr>
          <w:trHeight w:val="227"/>
        </w:trPr>
        <w:tc>
          <w:tcPr>
            <w:tcW w:w="1003" w:type="dxa"/>
            <w:vMerge/>
            <w:vAlign w:val="center"/>
          </w:tcPr>
          <w:p w:rsidR="00B23695" w:rsidRPr="000063FC" w:rsidRDefault="00B23695" w:rsidP="0047434A">
            <w:pPr>
              <w:spacing w:line="240" w:lineRule="auto"/>
              <w:rPr>
                <w:rFonts w:asciiTheme="minorHAnsi" w:hAnsiTheme="minorHAnsi" w:cs="Arial"/>
                <w:sz w:val="20"/>
              </w:rPr>
            </w:pPr>
          </w:p>
        </w:tc>
        <w:tc>
          <w:tcPr>
            <w:tcW w:w="1701" w:type="dxa"/>
            <w:noWrap/>
            <w:vAlign w:val="bottom"/>
          </w:tcPr>
          <w:p w:rsidR="00B23695" w:rsidRPr="000063FC" w:rsidRDefault="008B2E49" w:rsidP="0047434A">
            <w:pPr>
              <w:spacing w:line="240" w:lineRule="auto"/>
              <w:jc w:val="left"/>
              <w:rPr>
                <w:rFonts w:asciiTheme="minorHAnsi" w:hAnsiTheme="minorHAnsi" w:cs="Arial"/>
                <w:sz w:val="20"/>
              </w:rPr>
            </w:pPr>
            <w:r w:rsidRPr="000063FC">
              <w:rPr>
                <w:rFonts w:asciiTheme="minorHAnsi" w:hAnsiTheme="minorHAnsi" w:cs="Arial"/>
                <w:sz w:val="20"/>
              </w:rPr>
              <w:t>4-taktni &lt;250 cm³</w:t>
            </w:r>
          </w:p>
        </w:tc>
        <w:tc>
          <w:tcPr>
            <w:tcW w:w="1559"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 97/24/EC</w:t>
            </w:r>
          </w:p>
        </w:tc>
        <w:tc>
          <w:tcPr>
            <w:tcW w:w="825" w:type="dxa"/>
            <w:tcBorders>
              <w:right w:val="single" w:sz="6" w:space="0" w:color="4BACC6"/>
            </w:tcBorders>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3729</w:t>
            </w:r>
          </w:p>
        </w:tc>
        <w:tc>
          <w:tcPr>
            <w:tcW w:w="876" w:type="dxa"/>
            <w:tcBorders>
              <w:left w:val="single" w:sz="6" w:space="0" w:color="4BACC6"/>
            </w:tcBorders>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665,4</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2120,6</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3,73</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0,04</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2210,4</w:t>
            </w:r>
          </w:p>
        </w:tc>
      </w:tr>
      <w:tr w:rsidR="008B2E49" w:rsidRPr="000063FC" w:rsidTr="009B3A0B">
        <w:trPr>
          <w:trHeight w:val="227"/>
        </w:trPr>
        <w:tc>
          <w:tcPr>
            <w:tcW w:w="1003" w:type="dxa"/>
            <w:vMerge/>
            <w:vAlign w:val="center"/>
          </w:tcPr>
          <w:p w:rsidR="00B23695" w:rsidRPr="000063FC" w:rsidRDefault="00B23695" w:rsidP="0047434A">
            <w:pPr>
              <w:spacing w:line="240" w:lineRule="auto"/>
              <w:rPr>
                <w:rFonts w:asciiTheme="minorHAnsi" w:hAnsiTheme="minorHAnsi" w:cs="Arial"/>
                <w:sz w:val="20"/>
              </w:rPr>
            </w:pPr>
          </w:p>
        </w:tc>
        <w:tc>
          <w:tcPr>
            <w:tcW w:w="1701" w:type="dxa"/>
            <w:noWrap/>
            <w:vAlign w:val="bottom"/>
          </w:tcPr>
          <w:p w:rsidR="00B23695" w:rsidRPr="000063FC" w:rsidRDefault="008B2E49" w:rsidP="0047434A">
            <w:pPr>
              <w:spacing w:line="240" w:lineRule="auto"/>
              <w:jc w:val="left"/>
              <w:rPr>
                <w:rFonts w:asciiTheme="minorHAnsi" w:hAnsiTheme="minorHAnsi" w:cs="Arial"/>
                <w:sz w:val="20"/>
              </w:rPr>
            </w:pPr>
            <w:r w:rsidRPr="000063FC">
              <w:rPr>
                <w:rFonts w:asciiTheme="minorHAnsi" w:hAnsiTheme="minorHAnsi" w:cs="Arial"/>
                <w:sz w:val="20"/>
              </w:rPr>
              <w:t>4-taktni 250 - 750 cm³</w:t>
            </w:r>
          </w:p>
        </w:tc>
        <w:tc>
          <w:tcPr>
            <w:tcW w:w="1559"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Conventional</w:t>
            </w:r>
          </w:p>
        </w:tc>
        <w:tc>
          <w:tcPr>
            <w:tcW w:w="825" w:type="dxa"/>
            <w:tcBorders>
              <w:right w:val="single" w:sz="6" w:space="0" w:color="4BACC6"/>
            </w:tcBorders>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672</w:t>
            </w:r>
          </w:p>
        </w:tc>
        <w:tc>
          <w:tcPr>
            <w:tcW w:w="876" w:type="dxa"/>
            <w:tcBorders>
              <w:left w:val="single" w:sz="6" w:space="0" w:color="4BACC6"/>
            </w:tcBorders>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140,5</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447,8</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0,67</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0,01</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464,0</w:t>
            </w:r>
          </w:p>
        </w:tc>
      </w:tr>
      <w:tr w:rsidR="008B2E49" w:rsidRPr="000063FC" w:rsidTr="009B3A0B">
        <w:trPr>
          <w:trHeight w:val="227"/>
        </w:trPr>
        <w:tc>
          <w:tcPr>
            <w:tcW w:w="1003" w:type="dxa"/>
            <w:vMerge/>
            <w:vAlign w:val="center"/>
          </w:tcPr>
          <w:p w:rsidR="00B23695" w:rsidRPr="000063FC" w:rsidRDefault="00B23695" w:rsidP="0047434A">
            <w:pPr>
              <w:spacing w:line="240" w:lineRule="auto"/>
              <w:rPr>
                <w:rFonts w:asciiTheme="minorHAnsi" w:hAnsiTheme="minorHAnsi" w:cs="Arial"/>
                <w:sz w:val="20"/>
              </w:rPr>
            </w:pPr>
          </w:p>
        </w:tc>
        <w:tc>
          <w:tcPr>
            <w:tcW w:w="1701" w:type="dxa"/>
            <w:noWrap/>
            <w:vAlign w:val="bottom"/>
          </w:tcPr>
          <w:p w:rsidR="00B23695" w:rsidRPr="000063FC" w:rsidRDefault="008B2E49" w:rsidP="0047434A">
            <w:pPr>
              <w:spacing w:line="240" w:lineRule="auto"/>
              <w:jc w:val="left"/>
              <w:rPr>
                <w:rFonts w:asciiTheme="minorHAnsi" w:hAnsiTheme="minorHAnsi" w:cs="Arial"/>
                <w:sz w:val="20"/>
              </w:rPr>
            </w:pPr>
            <w:r w:rsidRPr="000063FC">
              <w:rPr>
                <w:rFonts w:asciiTheme="minorHAnsi" w:hAnsiTheme="minorHAnsi" w:cs="Arial"/>
                <w:sz w:val="20"/>
              </w:rPr>
              <w:t>4-taktni 250 - 750 cm³</w:t>
            </w:r>
          </w:p>
        </w:tc>
        <w:tc>
          <w:tcPr>
            <w:tcW w:w="1559"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 97/24/EC</w:t>
            </w:r>
          </w:p>
        </w:tc>
        <w:tc>
          <w:tcPr>
            <w:tcW w:w="825" w:type="dxa"/>
            <w:tcBorders>
              <w:right w:val="single" w:sz="6" w:space="0" w:color="4BACC6"/>
            </w:tcBorders>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1973</w:t>
            </w:r>
          </w:p>
        </w:tc>
        <w:tc>
          <w:tcPr>
            <w:tcW w:w="876" w:type="dxa"/>
            <w:tcBorders>
              <w:left w:val="single" w:sz="6" w:space="0" w:color="4BACC6"/>
            </w:tcBorders>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352,1</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1122,0</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1,97</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0,02</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1169,5</w:t>
            </w:r>
          </w:p>
        </w:tc>
      </w:tr>
      <w:tr w:rsidR="008B2E49" w:rsidRPr="000063FC" w:rsidTr="009B3A0B">
        <w:trPr>
          <w:trHeight w:val="227"/>
        </w:trPr>
        <w:tc>
          <w:tcPr>
            <w:tcW w:w="1003" w:type="dxa"/>
            <w:vMerge/>
            <w:vAlign w:val="center"/>
          </w:tcPr>
          <w:p w:rsidR="00B23695" w:rsidRPr="000063FC" w:rsidRDefault="00B23695" w:rsidP="0047434A">
            <w:pPr>
              <w:spacing w:line="240" w:lineRule="auto"/>
              <w:rPr>
                <w:rFonts w:asciiTheme="minorHAnsi" w:hAnsiTheme="minorHAnsi" w:cs="Arial"/>
                <w:sz w:val="20"/>
              </w:rPr>
            </w:pPr>
          </w:p>
        </w:tc>
        <w:tc>
          <w:tcPr>
            <w:tcW w:w="1701" w:type="dxa"/>
            <w:noWrap/>
            <w:vAlign w:val="bottom"/>
          </w:tcPr>
          <w:p w:rsidR="00B23695" w:rsidRPr="000063FC" w:rsidRDefault="008B2E49" w:rsidP="0047434A">
            <w:pPr>
              <w:spacing w:line="240" w:lineRule="auto"/>
              <w:jc w:val="left"/>
              <w:rPr>
                <w:rFonts w:asciiTheme="minorHAnsi" w:hAnsiTheme="minorHAnsi" w:cs="Arial"/>
                <w:sz w:val="20"/>
              </w:rPr>
            </w:pPr>
            <w:r w:rsidRPr="000063FC">
              <w:rPr>
                <w:rFonts w:asciiTheme="minorHAnsi" w:hAnsiTheme="minorHAnsi" w:cs="Arial"/>
                <w:sz w:val="20"/>
              </w:rPr>
              <w:t>4-taktni &gt;750 cm³</w:t>
            </w:r>
          </w:p>
        </w:tc>
        <w:tc>
          <w:tcPr>
            <w:tcW w:w="1559"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Conventional</w:t>
            </w:r>
          </w:p>
        </w:tc>
        <w:tc>
          <w:tcPr>
            <w:tcW w:w="825" w:type="dxa"/>
            <w:tcBorders>
              <w:right w:val="single" w:sz="6" w:space="0" w:color="4BACC6"/>
            </w:tcBorders>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249</w:t>
            </w:r>
          </w:p>
        </w:tc>
        <w:tc>
          <w:tcPr>
            <w:tcW w:w="876" w:type="dxa"/>
            <w:tcBorders>
              <w:left w:val="single" w:sz="6" w:space="0" w:color="4BACC6"/>
            </w:tcBorders>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65,5</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208,7</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0,25</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0,00</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214,7</w:t>
            </w:r>
          </w:p>
        </w:tc>
      </w:tr>
      <w:tr w:rsidR="008B2E49" w:rsidRPr="000063FC" w:rsidTr="009B3A0B">
        <w:trPr>
          <w:trHeight w:val="227"/>
        </w:trPr>
        <w:tc>
          <w:tcPr>
            <w:tcW w:w="1003" w:type="dxa"/>
            <w:vMerge/>
            <w:vAlign w:val="center"/>
          </w:tcPr>
          <w:p w:rsidR="00B23695" w:rsidRPr="000063FC" w:rsidRDefault="00B23695" w:rsidP="0047434A">
            <w:pPr>
              <w:spacing w:line="240" w:lineRule="auto"/>
              <w:rPr>
                <w:rFonts w:asciiTheme="minorHAnsi" w:hAnsiTheme="minorHAnsi" w:cs="Arial"/>
                <w:sz w:val="20"/>
              </w:rPr>
            </w:pPr>
          </w:p>
        </w:tc>
        <w:tc>
          <w:tcPr>
            <w:tcW w:w="1701" w:type="dxa"/>
            <w:noWrap/>
            <w:vAlign w:val="bottom"/>
          </w:tcPr>
          <w:p w:rsidR="00B23695" w:rsidRPr="000063FC" w:rsidRDefault="008B2E49" w:rsidP="0047434A">
            <w:pPr>
              <w:spacing w:line="240" w:lineRule="auto"/>
              <w:jc w:val="left"/>
              <w:rPr>
                <w:rFonts w:asciiTheme="minorHAnsi" w:hAnsiTheme="minorHAnsi" w:cs="Arial"/>
                <w:sz w:val="20"/>
              </w:rPr>
            </w:pPr>
            <w:r w:rsidRPr="000063FC">
              <w:rPr>
                <w:rFonts w:asciiTheme="minorHAnsi" w:hAnsiTheme="minorHAnsi" w:cs="Arial"/>
                <w:sz w:val="20"/>
              </w:rPr>
              <w:t>4-taktni &gt;750 cm³</w:t>
            </w:r>
          </w:p>
        </w:tc>
        <w:tc>
          <w:tcPr>
            <w:tcW w:w="1559" w:type="dxa"/>
            <w:noWrap/>
            <w:vAlign w:val="bottom"/>
          </w:tcPr>
          <w:p w:rsidR="00B23695" w:rsidRPr="000063FC" w:rsidRDefault="008B2E49" w:rsidP="0047434A">
            <w:pPr>
              <w:spacing w:line="240" w:lineRule="auto"/>
              <w:rPr>
                <w:rFonts w:asciiTheme="minorHAnsi" w:hAnsiTheme="minorHAnsi" w:cs="Arial"/>
                <w:sz w:val="20"/>
              </w:rPr>
            </w:pPr>
            <w:r w:rsidRPr="000063FC">
              <w:rPr>
                <w:rFonts w:asciiTheme="minorHAnsi" w:hAnsiTheme="minorHAnsi" w:cs="Arial"/>
                <w:sz w:val="20"/>
              </w:rPr>
              <w:t xml:space="preserve"> 97/24/EC</w:t>
            </w:r>
          </w:p>
        </w:tc>
        <w:tc>
          <w:tcPr>
            <w:tcW w:w="825" w:type="dxa"/>
            <w:tcBorders>
              <w:right w:val="single" w:sz="6" w:space="0" w:color="4BACC6"/>
            </w:tcBorders>
            <w:noWrap/>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869</w:t>
            </w:r>
          </w:p>
        </w:tc>
        <w:tc>
          <w:tcPr>
            <w:tcW w:w="876" w:type="dxa"/>
            <w:tcBorders>
              <w:left w:val="single" w:sz="6" w:space="0" w:color="4BACC6"/>
            </w:tcBorders>
            <w:vAlign w:val="bottom"/>
          </w:tcPr>
          <w:p w:rsidR="00B23695" w:rsidRPr="000063FC" w:rsidRDefault="008B2E49" w:rsidP="0047434A">
            <w:pPr>
              <w:spacing w:line="240" w:lineRule="auto"/>
              <w:jc w:val="right"/>
              <w:rPr>
                <w:rFonts w:asciiTheme="minorHAnsi" w:hAnsiTheme="minorHAnsi" w:cs="Arial"/>
                <w:sz w:val="20"/>
              </w:rPr>
            </w:pPr>
            <w:r w:rsidRPr="000063FC">
              <w:rPr>
                <w:rFonts w:asciiTheme="minorHAnsi" w:hAnsiTheme="minorHAnsi" w:cs="Arial"/>
                <w:sz w:val="20"/>
              </w:rPr>
              <w:t>155,1</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494,2</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0,87</w:t>
            </w:r>
          </w:p>
        </w:tc>
        <w:tc>
          <w:tcPr>
            <w:tcW w:w="709"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0,01</w:t>
            </w:r>
          </w:p>
        </w:tc>
        <w:tc>
          <w:tcPr>
            <w:tcW w:w="850" w:type="dxa"/>
            <w:noWrap/>
            <w:vAlign w:val="bottom"/>
          </w:tcPr>
          <w:p w:rsidR="00B23695" w:rsidRPr="000063FC" w:rsidRDefault="008B2E49" w:rsidP="0047434A">
            <w:pPr>
              <w:spacing w:line="240" w:lineRule="auto"/>
              <w:jc w:val="center"/>
              <w:rPr>
                <w:rFonts w:asciiTheme="minorHAnsi" w:hAnsiTheme="minorHAnsi" w:cs="Arial"/>
                <w:sz w:val="20"/>
              </w:rPr>
            </w:pPr>
            <w:r w:rsidRPr="000063FC">
              <w:rPr>
                <w:rFonts w:asciiTheme="minorHAnsi" w:hAnsiTheme="minorHAnsi" w:cs="Arial"/>
                <w:sz w:val="20"/>
              </w:rPr>
              <w:t>515,1</w:t>
            </w:r>
          </w:p>
        </w:tc>
      </w:tr>
      <w:tr w:rsidR="008B2E49" w:rsidRPr="000063FC" w:rsidTr="009B3A0B">
        <w:trPr>
          <w:trHeight w:val="227"/>
        </w:trPr>
        <w:tc>
          <w:tcPr>
            <w:tcW w:w="4263" w:type="dxa"/>
            <w:gridSpan w:val="3"/>
            <w:shd w:val="clear" w:color="auto" w:fill="DAEEF3"/>
            <w:noWrap/>
            <w:vAlign w:val="center"/>
          </w:tcPr>
          <w:p w:rsidR="00B23695" w:rsidRPr="000063FC" w:rsidRDefault="008B2E49" w:rsidP="0047434A">
            <w:pPr>
              <w:spacing w:line="240" w:lineRule="auto"/>
              <w:rPr>
                <w:rFonts w:asciiTheme="minorHAnsi" w:hAnsiTheme="minorHAnsi" w:cs="Arial"/>
                <w:b/>
                <w:sz w:val="20"/>
              </w:rPr>
            </w:pPr>
            <w:r w:rsidRPr="000063FC">
              <w:rPr>
                <w:rFonts w:asciiTheme="minorHAnsi" w:hAnsiTheme="minorHAnsi" w:cs="Arial"/>
                <w:b/>
                <w:sz w:val="20"/>
              </w:rPr>
              <w:t>UKUPNO</w:t>
            </w:r>
          </w:p>
        </w:tc>
        <w:tc>
          <w:tcPr>
            <w:tcW w:w="825" w:type="dxa"/>
            <w:tcBorders>
              <w:right w:val="single" w:sz="6" w:space="0" w:color="4BACC6"/>
            </w:tcBorders>
            <w:shd w:val="clear" w:color="auto" w:fill="DAEEF3"/>
            <w:noWrap/>
            <w:vAlign w:val="center"/>
          </w:tcPr>
          <w:p w:rsidR="00B23695" w:rsidRPr="000063FC" w:rsidRDefault="008B2E49" w:rsidP="0047434A">
            <w:pPr>
              <w:spacing w:line="240" w:lineRule="auto"/>
              <w:jc w:val="center"/>
              <w:rPr>
                <w:rFonts w:asciiTheme="minorHAnsi" w:hAnsiTheme="minorHAnsi" w:cs="Arial"/>
                <w:b/>
                <w:sz w:val="20"/>
              </w:rPr>
            </w:pPr>
            <w:r w:rsidRPr="000063FC">
              <w:rPr>
                <w:rFonts w:asciiTheme="minorHAnsi" w:hAnsiTheme="minorHAnsi" w:cs="Arial"/>
                <w:b/>
                <w:sz w:val="20"/>
              </w:rPr>
              <w:t>25</w:t>
            </w:r>
            <w:r w:rsidR="0076018E" w:rsidRPr="000063FC">
              <w:rPr>
                <w:rFonts w:asciiTheme="minorHAnsi" w:hAnsiTheme="minorHAnsi" w:cs="Arial"/>
                <w:b/>
                <w:sz w:val="20"/>
              </w:rPr>
              <w:t xml:space="preserve"> </w:t>
            </w:r>
            <w:r w:rsidRPr="000063FC">
              <w:rPr>
                <w:rFonts w:asciiTheme="minorHAnsi" w:hAnsiTheme="minorHAnsi" w:cs="Arial"/>
                <w:b/>
                <w:sz w:val="20"/>
              </w:rPr>
              <w:t>494</w:t>
            </w:r>
          </w:p>
        </w:tc>
        <w:tc>
          <w:tcPr>
            <w:tcW w:w="876" w:type="dxa"/>
            <w:tcBorders>
              <w:left w:val="single" w:sz="6" w:space="0" w:color="4BACC6"/>
            </w:tcBorders>
            <w:shd w:val="clear" w:color="auto" w:fill="DAEEF3"/>
            <w:vAlign w:val="center"/>
          </w:tcPr>
          <w:p w:rsidR="00B23695" w:rsidRPr="000063FC" w:rsidRDefault="008B2E49" w:rsidP="0047434A">
            <w:pPr>
              <w:spacing w:line="240" w:lineRule="auto"/>
              <w:jc w:val="right"/>
              <w:rPr>
                <w:rFonts w:asciiTheme="minorHAnsi" w:hAnsiTheme="minorHAnsi" w:cs="Arial"/>
                <w:b/>
                <w:sz w:val="20"/>
              </w:rPr>
            </w:pPr>
            <w:r w:rsidRPr="000063FC">
              <w:rPr>
                <w:rFonts w:asciiTheme="minorHAnsi" w:hAnsiTheme="minorHAnsi" w:cs="Arial"/>
                <w:b/>
                <w:sz w:val="20"/>
              </w:rPr>
              <w:t>2</w:t>
            </w:r>
            <w:r w:rsidR="0076018E" w:rsidRPr="000063FC">
              <w:rPr>
                <w:rFonts w:asciiTheme="minorHAnsi" w:hAnsiTheme="minorHAnsi" w:cs="Arial"/>
                <w:b/>
                <w:sz w:val="20"/>
              </w:rPr>
              <w:t xml:space="preserve"> </w:t>
            </w:r>
            <w:r w:rsidRPr="000063FC">
              <w:rPr>
                <w:rFonts w:asciiTheme="minorHAnsi" w:hAnsiTheme="minorHAnsi" w:cs="Arial"/>
                <w:b/>
                <w:sz w:val="20"/>
              </w:rPr>
              <w:t>523,9</w:t>
            </w:r>
          </w:p>
        </w:tc>
        <w:tc>
          <w:tcPr>
            <w:tcW w:w="850" w:type="dxa"/>
            <w:shd w:val="clear" w:color="auto" w:fill="DAEEF3"/>
            <w:noWrap/>
            <w:vAlign w:val="center"/>
          </w:tcPr>
          <w:p w:rsidR="00B23695" w:rsidRPr="000063FC" w:rsidRDefault="008B2E49" w:rsidP="0047434A">
            <w:pPr>
              <w:spacing w:line="240" w:lineRule="auto"/>
              <w:jc w:val="center"/>
              <w:rPr>
                <w:rFonts w:asciiTheme="minorHAnsi" w:hAnsiTheme="minorHAnsi" w:cs="Arial"/>
                <w:b/>
                <w:sz w:val="20"/>
              </w:rPr>
            </w:pPr>
            <w:r w:rsidRPr="000063FC">
              <w:rPr>
                <w:rFonts w:asciiTheme="minorHAnsi" w:hAnsiTheme="minorHAnsi" w:cs="Arial"/>
                <w:b/>
                <w:sz w:val="20"/>
              </w:rPr>
              <w:t>8</w:t>
            </w:r>
            <w:r w:rsidR="0076018E" w:rsidRPr="000063FC">
              <w:rPr>
                <w:rFonts w:asciiTheme="minorHAnsi" w:hAnsiTheme="minorHAnsi" w:cs="Arial"/>
                <w:b/>
                <w:sz w:val="20"/>
              </w:rPr>
              <w:t xml:space="preserve"> </w:t>
            </w:r>
            <w:r w:rsidRPr="000063FC">
              <w:rPr>
                <w:rFonts w:asciiTheme="minorHAnsi" w:hAnsiTheme="minorHAnsi" w:cs="Arial"/>
                <w:b/>
                <w:sz w:val="20"/>
              </w:rPr>
              <w:t>043,0</w:t>
            </w:r>
          </w:p>
        </w:tc>
        <w:tc>
          <w:tcPr>
            <w:tcW w:w="709" w:type="dxa"/>
            <w:shd w:val="clear" w:color="auto" w:fill="DAEEF3"/>
            <w:noWrap/>
            <w:vAlign w:val="center"/>
          </w:tcPr>
          <w:p w:rsidR="00B23695" w:rsidRPr="000063FC" w:rsidRDefault="008B2E49" w:rsidP="0047434A">
            <w:pPr>
              <w:spacing w:line="240" w:lineRule="auto"/>
              <w:jc w:val="center"/>
              <w:rPr>
                <w:rFonts w:asciiTheme="minorHAnsi" w:hAnsiTheme="minorHAnsi" w:cs="Arial"/>
                <w:b/>
                <w:sz w:val="20"/>
              </w:rPr>
            </w:pPr>
            <w:r w:rsidRPr="000063FC">
              <w:rPr>
                <w:rFonts w:asciiTheme="minorHAnsi" w:hAnsiTheme="minorHAnsi" w:cs="Arial"/>
                <w:b/>
                <w:sz w:val="20"/>
              </w:rPr>
              <w:t>12,46</w:t>
            </w:r>
          </w:p>
        </w:tc>
        <w:tc>
          <w:tcPr>
            <w:tcW w:w="709" w:type="dxa"/>
            <w:shd w:val="clear" w:color="auto" w:fill="DAEEF3"/>
            <w:noWrap/>
            <w:vAlign w:val="center"/>
          </w:tcPr>
          <w:p w:rsidR="00B23695" w:rsidRPr="000063FC" w:rsidRDefault="008B2E49" w:rsidP="0047434A">
            <w:pPr>
              <w:spacing w:line="240" w:lineRule="auto"/>
              <w:jc w:val="center"/>
              <w:rPr>
                <w:rFonts w:asciiTheme="minorHAnsi" w:hAnsiTheme="minorHAnsi" w:cs="Arial"/>
                <w:b/>
                <w:sz w:val="20"/>
              </w:rPr>
            </w:pPr>
            <w:r w:rsidRPr="000063FC">
              <w:rPr>
                <w:rFonts w:asciiTheme="minorHAnsi" w:hAnsiTheme="minorHAnsi" w:cs="Arial"/>
                <w:b/>
                <w:sz w:val="20"/>
              </w:rPr>
              <w:t>0,13</w:t>
            </w:r>
          </w:p>
        </w:tc>
        <w:tc>
          <w:tcPr>
            <w:tcW w:w="850" w:type="dxa"/>
            <w:shd w:val="clear" w:color="auto" w:fill="DAEEF3"/>
            <w:noWrap/>
            <w:vAlign w:val="center"/>
          </w:tcPr>
          <w:p w:rsidR="00B23695" w:rsidRPr="000063FC" w:rsidRDefault="008B2E49" w:rsidP="0047434A">
            <w:pPr>
              <w:spacing w:line="240" w:lineRule="auto"/>
              <w:jc w:val="center"/>
              <w:rPr>
                <w:rFonts w:asciiTheme="minorHAnsi" w:hAnsiTheme="minorHAnsi" w:cs="Arial"/>
                <w:b/>
                <w:sz w:val="20"/>
              </w:rPr>
            </w:pPr>
            <w:r w:rsidRPr="000063FC">
              <w:rPr>
                <w:rFonts w:asciiTheme="minorHAnsi" w:hAnsiTheme="minorHAnsi" w:cs="Arial"/>
                <w:b/>
                <w:sz w:val="20"/>
              </w:rPr>
              <w:t>8</w:t>
            </w:r>
            <w:r w:rsidR="0076018E" w:rsidRPr="000063FC">
              <w:rPr>
                <w:rFonts w:asciiTheme="minorHAnsi" w:hAnsiTheme="minorHAnsi" w:cs="Arial"/>
                <w:b/>
                <w:sz w:val="20"/>
              </w:rPr>
              <w:t xml:space="preserve"> </w:t>
            </w:r>
            <w:r w:rsidRPr="000063FC">
              <w:rPr>
                <w:rFonts w:asciiTheme="minorHAnsi" w:hAnsiTheme="minorHAnsi" w:cs="Arial"/>
                <w:b/>
                <w:sz w:val="20"/>
              </w:rPr>
              <w:t>345,1</w:t>
            </w:r>
          </w:p>
        </w:tc>
      </w:tr>
    </w:tbl>
    <w:p w:rsidR="00B23695" w:rsidRPr="000063FC" w:rsidRDefault="00B23695">
      <w:pPr>
        <w:spacing w:line="276" w:lineRule="auto"/>
      </w:pPr>
    </w:p>
    <w:p w:rsidR="00B23695" w:rsidRPr="000063FC" w:rsidRDefault="00B23695">
      <w:pPr>
        <w:spacing w:line="276" w:lineRule="auto"/>
      </w:pPr>
    </w:p>
    <w:p w:rsidR="00B23695" w:rsidRPr="000063FC" w:rsidRDefault="006B21EB">
      <w:pPr>
        <w:spacing w:line="276" w:lineRule="auto"/>
        <w:jc w:val="center"/>
      </w:pPr>
      <w:r w:rsidRPr="000063FC">
        <w:rPr>
          <w:noProof/>
          <w:lang w:eastAsia="hr-HR"/>
        </w:rPr>
        <w:lastRenderedPageBreak/>
        <w:drawing>
          <wp:inline distT="0" distB="0" distL="0" distR="0">
            <wp:extent cx="4600575" cy="23717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C341E" w:rsidRPr="000063FC" w:rsidRDefault="008B2E49">
      <w:pPr>
        <w:pStyle w:val="Heading7"/>
      </w:pPr>
      <w:bookmarkStart w:id="167" w:name="_Toc251935569"/>
      <w:bookmarkStart w:id="168" w:name="_Toc254010293"/>
      <w:r w:rsidRPr="000063FC">
        <w:t xml:space="preserve">Slika </w:t>
      </w:r>
      <w:r w:rsidR="00243323" w:rsidRPr="000063FC">
        <w:t>2.10</w:t>
      </w:r>
      <w:r w:rsidRPr="000063FC">
        <w:t>: Potrošnja benzinskog goriva kategorije mopeda i motocikala</w:t>
      </w:r>
      <w:bookmarkEnd w:id="167"/>
      <w:bookmarkEnd w:id="168"/>
    </w:p>
    <w:p w:rsidR="00BC341E" w:rsidRPr="000063FC" w:rsidRDefault="00BC341E">
      <w:pPr>
        <w:pStyle w:val="Caption"/>
      </w:pPr>
    </w:p>
    <w:p w:rsidR="00B23695" w:rsidRPr="000063FC" w:rsidRDefault="008B2E49">
      <w:pPr>
        <w:spacing w:line="276" w:lineRule="auto"/>
        <w:rPr>
          <w:szCs w:val="22"/>
        </w:rPr>
      </w:pPr>
      <w:r w:rsidRPr="000063FC">
        <w:rPr>
          <w:szCs w:val="22"/>
        </w:rPr>
        <w:t>Svi mopedi i motocikli kao gorivo koriste isključivo benzin. Udio potrošnje benzinskog goriva u kategoriji motocikala iznos 69%. Ostatak od 31% odnosi se na potrošnju benzina kategorije mopedi.</w:t>
      </w:r>
    </w:p>
    <w:p w:rsidR="00B23695" w:rsidRPr="000063FC" w:rsidRDefault="00B23695">
      <w:pPr>
        <w:spacing w:line="276" w:lineRule="auto"/>
        <w:rPr>
          <w:b/>
          <w:bCs/>
          <w:szCs w:val="28"/>
        </w:rPr>
      </w:pPr>
    </w:p>
    <w:p w:rsidR="00BC341E" w:rsidRPr="000063FC" w:rsidRDefault="008B2E49">
      <w:pPr>
        <w:pStyle w:val="Heading4"/>
      </w:pPr>
      <w:bookmarkStart w:id="169" w:name="_Toc254010191"/>
      <w:r w:rsidRPr="000063FC">
        <w:t>Kontrolna analiza potrošnje goriva cestovnog prometa</w:t>
      </w:r>
      <w:bookmarkEnd w:id="169"/>
    </w:p>
    <w:p w:rsidR="00B23695" w:rsidRPr="000063FC" w:rsidRDefault="008B2E49">
      <w:pPr>
        <w:spacing w:after="240" w:line="276" w:lineRule="auto"/>
        <w:rPr>
          <w:szCs w:val="22"/>
        </w:rPr>
      </w:pPr>
      <w:r w:rsidRPr="000063FC">
        <w:rPr>
          <w:szCs w:val="22"/>
        </w:rPr>
        <w:t xml:space="preserve">Pod kategorijom Cestovni promet podrazumijevaju se pod-kategorije: osobna vozila, teretna vozila, autobusi te mopedi i motocikli. Ukupna potrošnja goriva u cestovnom prometu utvrđena je COPERT modelom (osim za autobuse ZET-a, koja je bila poznata). S obzirom na činjenicu da prilikom izrade Inventara nije bila poznata potrošnja goriva sektora Cestovnih vozila provela se i kontrolna analiza potrošnje goriva u slučaju da se u proračunu koriste COPERT preporučeni podaci o srednjoj brzini putovanja. Usporedba dobivenih potrošnji goriva prikazana je u tablici </w:t>
      </w:r>
      <w:r w:rsidR="0076018E" w:rsidRPr="000063FC">
        <w:rPr>
          <w:szCs w:val="22"/>
        </w:rPr>
        <w:t>2.25</w:t>
      </w:r>
      <w:r w:rsidRPr="000063FC">
        <w:rPr>
          <w:szCs w:val="22"/>
        </w:rPr>
        <w:t xml:space="preserve">. </w:t>
      </w:r>
    </w:p>
    <w:p w:rsidR="00B23695" w:rsidRPr="000063FC" w:rsidRDefault="00B23695">
      <w:pPr>
        <w:spacing w:line="276" w:lineRule="auto"/>
      </w:pPr>
    </w:p>
    <w:p w:rsidR="00BC341E" w:rsidRPr="000063FC" w:rsidRDefault="008B2E49" w:rsidP="00B33E2F">
      <w:pPr>
        <w:pStyle w:val="Heading6"/>
      </w:pPr>
      <w:bookmarkStart w:id="170" w:name="_Toc254010252"/>
      <w:r w:rsidRPr="000063FC">
        <w:t>Tablica</w:t>
      </w:r>
      <w:r w:rsidR="00482AD1" w:rsidRPr="000063FC">
        <w:t xml:space="preserve"> </w:t>
      </w:r>
      <w:r w:rsidR="0076018E" w:rsidRPr="000063FC">
        <w:t>2.25</w:t>
      </w:r>
      <w:r w:rsidRPr="000063FC">
        <w:t xml:space="preserve">: Potrošnja </w:t>
      </w:r>
      <w:r w:rsidR="0076018E" w:rsidRPr="000063FC">
        <w:t xml:space="preserve">pojedine vrste goriva </w:t>
      </w:r>
      <w:r w:rsidRPr="000063FC">
        <w:t>u 2008. godini</w:t>
      </w:r>
      <w:bookmarkEnd w:id="170"/>
    </w:p>
    <w:tbl>
      <w:tblPr>
        <w:tblW w:w="9072" w:type="dxa"/>
        <w:tblInd w:w="108"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000" w:firstRow="0" w:lastRow="0" w:firstColumn="0" w:lastColumn="0" w:noHBand="0" w:noVBand="0"/>
      </w:tblPr>
      <w:tblGrid>
        <w:gridCol w:w="3545"/>
        <w:gridCol w:w="1701"/>
        <w:gridCol w:w="1418"/>
        <w:gridCol w:w="1176"/>
        <w:gridCol w:w="1232"/>
      </w:tblGrid>
      <w:tr w:rsidR="008B2E49" w:rsidRPr="000063FC" w:rsidTr="0047434A">
        <w:trPr>
          <w:trHeight w:val="227"/>
        </w:trPr>
        <w:tc>
          <w:tcPr>
            <w:tcW w:w="3545" w:type="dxa"/>
            <w:tcBorders>
              <w:right w:val="single" w:sz="4" w:space="0" w:color="FFFFFF"/>
            </w:tcBorders>
            <w:shd w:val="clear" w:color="auto" w:fill="4BACC6"/>
            <w:vAlign w:val="center"/>
          </w:tcPr>
          <w:p w:rsidR="00B23695" w:rsidRPr="000063FC" w:rsidRDefault="008B2E49">
            <w:pPr>
              <w:spacing w:line="276" w:lineRule="auto"/>
              <w:jc w:val="center"/>
              <w:rPr>
                <w:b/>
                <w:color w:val="FFFFFF"/>
                <w:sz w:val="20"/>
              </w:rPr>
            </w:pPr>
            <w:r w:rsidRPr="000063FC">
              <w:rPr>
                <w:b/>
                <w:color w:val="FFFFFF"/>
                <w:sz w:val="20"/>
              </w:rPr>
              <w:t>Potrošnja goriva, t/god</w:t>
            </w:r>
          </w:p>
        </w:tc>
        <w:tc>
          <w:tcPr>
            <w:tcW w:w="1701" w:type="dxa"/>
            <w:tcBorders>
              <w:left w:val="single" w:sz="4" w:space="0" w:color="FFFFFF"/>
              <w:right w:val="single" w:sz="4" w:space="0" w:color="FFFFFF"/>
            </w:tcBorders>
            <w:shd w:val="clear" w:color="auto" w:fill="4BACC6"/>
            <w:vAlign w:val="center"/>
          </w:tcPr>
          <w:p w:rsidR="00B23695" w:rsidRPr="000063FC" w:rsidRDefault="008B2E49">
            <w:pPr>
              <w:spacing w:line="276" w:lineRule="auto"/>
              <w:jc w:val="center"/>
              <w:rPr>
                <w:b/>
                <w:color w:val="FFFFFF"/>
                <w:sz w:val="20"/>
              </w:rPr>
            </w:pPr>
            <w:r w:rsidRPr="000063FC">
              <w:rPr>
                <w:b/>
                <w:color w:val="FFFFFF"/>
                <w:sz w:val="20"/>
              </w:rPr>
              <w:t>Diesel gorivo</w:t>
            </w:r>
          </w:p>
        </w:tc>
        <w:tc>
          <w:tcPr>
            <w:tcW w:w="1418" w:type="dxa"/>
            <w:tcBorders>
              <w:left w:val="single" w:sz="4" w:space="0" w:color="FFFFFF"/>
              <w:right w:val="single" w:sz="4" w:space="0" w:color="FFFFFF"/>
            </w:tcBorders>
            <w:shd w:val="clear" w:color="auto" w:fill="4BACC6"/>
            <w:vAlign w:val="center"/>
          </w:tcPr>
          <w:p w:rsidR="00B23695" w:rsidRPr="000063FC" w:rsidRDefault="008B2E49">
            <w:pPr>
              <w:spacing w:line="276" w:lineRule="auto"/>
              <w:jc w:val="center"/>
              <w:rPr>
                <w:b/>
                <w:color w:val="FFFFFF"/>
                <w:sz w:val="20"/>
              </w:rPr>
            </w:pPr>
            <w:r w:rsidRPr="000063FC">
              <w:rPr>
                <w:b/>
                <w:color w:val="FFFFFF"/>
                <w:sz w:val="20"/>
              </w:rPr>
              <w:t>Bezolovni benzin</w:t>
            </w:r>
          </w:p>
        </w:tc>
        <w:tc>
          <w:tcPr>
            <w:tcW w:w="1176" w:type="dxa"/>
            <w:tcBorders>
              <w:left w:val="single" w:sz="4" w:space="0" w:color="FFFFFF"/>
              <w:right w:val="single" w:sz="6" w:space="0" w:color="FFFFFF"/>
            </w:tcBorders>
            <w:shd w:val="clear" w:color="auto" w:fill="4BACC6"/>
            <w:vAlign w:val="center"/>
          </w:tcPr>
          <w:p w:rsidR="00B23695" w:rsidRPr="000063FC" w:rsidRDefault="008B2E49">
            <w:pPr>
              <w:spacing w:line="276" w:lineRule="auto"/>
              <w:jc w:val="center"/>
              <w:rPr>
                <w:b/>
                <w:color w:val="FFFFFF"/>
                <w:sz w:val="20"/>
              </w:rPr>
            </w:pPr>
            <w:r w:rsidRPr="000063FC">
              <w:rPr>
                <w:b/>
                <w:color w:val="FFFFFF"/>
                <w:sz w:val="20"/>
              </w:rPr>
              <w:t>LPG</w:t>
            </w:r>
          </w:p>
        </w:tc>
        <w:tc>
          <w:tcPr>
            <w:tcW w:w="1232" w:type="dxa"/>
            <w:tcBorders>
              <w:left w:val="single" w:sz="6" w:space="0" w:color="FFFFFF"/>
            </w:tcBorders>
            <w:shd w:val="clear" w:color="auto" w:fill="4BACC6"/>
            <w:vAlign w:val="center"/>
          </w:tcPr>
          <w:p w:rsidR="00B23695" w:rsidRPr="000063FC" w:rsidRDefault="008B2E49">
            <w:pPr>
              <w:spacing w:line="276" w:lineRule="auto"/>
              <w:jc w:val="center"/>
              <w:rPr>
                <w:b/>
                <w:color w:val="FFFFFF"/>
                <w:sz w:val="20"/>
              </w:rPr>
            </w:pPr>
            <w:r w:rsidRPr="000063FC">
              <w:rPr>
                <w:b/>
                <w:color w:val="FFFFFF"/>
                <w:sz w:val="20"/>
              </w:rPr>
              <w:t>Prirodni plin</w:t>
            </w:r>
          </w:p>
        </w:tc>
      </w:tr>
      <w:tr w:rsidR="008B2E49" w:rsidRPr="000063FC" w:rsidTr="0047434A">
        <w:trPr>
          <w:trHeight w:val="227"/>
        </w:trPr>
        <w:tc>
          <w:tcPr>
            <w:tcW w:w="3545" w:type="dxa"/>
            <w:vAlign w:val="center"/>
          </w:tcPr>
          <w:p w:rsidR="00B23695" w:rsidRPr="000063FC" w:rsidRDefault="008B2E49">
            <w:pPr>
              <w:spacing w:line="276" w:lineRule="auto"/>
              <w:rPr>
                <w:sz w:val="20"/>
              </w:rPr>
            </w:pPr>
            <w:r w:rsidRPr="000063FC">
              <w:rPr>
                <w:sz w:val="20"/>
              </w:rPr>
              <w:t>KEO srednja brzina putovanja</w:t>
            </w:r>
          </w:p>
        </w:tc>
        <w:tc>
          <w:tcPr>
            <w:tcW w:w="1701" w:type="dxa"/>
            <w:vAlign w:val="center"/>
          </w:tcPr>
          <w:p w:rsidR="00B23695" w:rsidRPr="000063FC" w:rsidRDefault="008B2E49">
            <w:pPr>
              <w:spacing w:line="276" w:lineRule="auto"/>
              <w:jc w:val="center"/>
              <w:rPr>
                <w:sz w:val="20"/>
              </w:rPr>
            </w:pPr>
            <w:r w:rsidRPr="000063FC">
              <w:rPr>
                <w:sz w:val="20"/>
              </w:rPr>
              <w:t>173762,0</w:t>
            </w:r>
          </w:p>
        </w:tc>
        <w:tc>
          <w:tcPr>
            <w:tcW w:w="1418" w:type="dxa"/>
            <w:vAlign w:val="center"/>
          </w:tcPr>
          <w:p w:rsidR="00B23695" w:rsidRPr="000063FC" w:rsidRDefault="008B2E49">
            <w:pPr>
              <w:spacing w:line="276" w:lineRule="auto"/>
              <w:jc w:val="center"/>
              <w:rPr>
                <w:sz w:val="20"/>
              </w:rPr>
            </w:pPr>
            <w:r w:rsidRPr="000063FC">
              <w:rPr>
                <w:sz w:val="20"/>
              </w:rPr>
              <w:t>136136,9</w:t>
            </w:r>
          </w:p>
        </w:tc>
        <w:tc>
          <w:tcPr>
            <w:tcW w:w="1176" w:type="dxa"/>
            <w:vAlign w:val="center"/>
          </w:tcPr>
          <w:p w:rsidR="00B23695" w:rsidRPr="000063FC" w:rsidRDefault="008B2E49">
            <w:pPr>
              <w:spacing w:line="276" w:lineRule="auto"/>
              <w:jc w:val="center"/>
              <w:rPr>
                <w:sz w:val="20"/>
              </w:rPr>
            </w:pPr>
            <w:r w:rsidRPr="000063FC">
              <w:rPr>
                <w:sz w:val="20"/>
              </w:rPr>
              <w:t>2282,7</w:t>
            </w:r>
          </w:p>
        </w:tc>
        <w:tc>
          <w:tcPr>
            <w:tcW w:w="1232" w:type="dxa"/>
            <w:vMerge w:val="restart"/>
            <w:vAlign w:val="center"/>
          </w:tcPr>
          <w:p w:rsidR="00B23695" w:rsidRPr="000063FC" w:rsidRDefault="008B2E49">
            <w:pPr>
              <w:spacing w:line="276" w:lineRule="auto"/>
              <w:jc w:val="center"/>
              <w:rPr>
                <w:sz w:val="20"/>
              </w:rPr>
            </w:pPr>
            <w:r w:rsidRPr="000063FC">
              <w:rPr>
                <w:rFonts w:cs="Arial"/>
                <w:sz w:val="20"/>
                <w:lang w:eastAsia="hr-HR"/>
              </w:rPr>
              <w:t>33.23</w:t>
            </w:r>
          </w:p>
        </w:tc>
      </w:tr>
      <w:tr w:rsidR="008B2E49" w:rsidRPr="000063FC" w:rsidTr="0047434A">
        <w:trPr>
          <w:trHeight w:val="227"/>
        </w:trPr>
        <w:tc>
          <w:tcPr>
            <w:tcW w:w="3545" w:type="dxa"/>
            <w:vAlign w:val="center"/>
          </w:tcPr>
          <w:p w:rsidR="00B23695" w:rsidRPr="000063FC" w:rsidRDefault="008B2E49">
            <w:pPr>
              <w:spacing w:line="276" w:lineRule="auto"/>
              <w:rPr>
                <w:sz w:val="20"/>
              </w:rPr>
            </w:pPr>
            <w:r w:rsidRPr="000063FC">
              <w:rPr>
                <w:sz w:val="20"/>
              </w:rPr>
              <w:t>COPERT srednja brzina putovanja</w:t>
            </w:r>
          </w:p>
        </w:tc>
        <w:tc>
          <w:tcPr>
            <w:tcW w:w="1701" w:type="dxa"/>
            <w:vAlign w:val="center"/>
          </w:tcPr>
          <w:p w:rsidR="00B23695" w:rsidRPr="000063FC" w:rsidRDefault="008B2E49">
            <w:pPr>
              <w:spacing w:line="276" w:lineRule="auto"/>
              <w:jc w:val="center"/>
              <w:rPr>
                <w:rFonts w:cs="Arial"/>
                <w:sz w:val="20"/>
              </w:rPr>
            </w:pPr>
            <w:r w:rsidRPr="000063FC">
              <w:rPr>
                <w:rFonts w:cs="Arial"/>
                <w:sz w:val="20"/>
              </w:rPr>
              <w:t>166011,7</w:t>
            </w:r>
          </w:p>
        </w:tc>
        <w:tc>
          <w:tcPr>
            <w:tcW w:w="1418" w:type="dxa"/>
            <w:vAlign w:val="center"/>
          </w:tcPr>
          <w:p w:rsidR="00B23695" w:rsidRPr="000063FC" w:rsidRDefault="008B2E49">
            <w:pPr>
              <w:spacing w:line="276" w:lineRule="auto"/>
              <w:jc w:val="center"/>
              <w:rPr>
                <w:rFonts w:cs="Arial"/>
                <w:sz w:val="20"/>
              </w:rPr>
            </w:pPr>
            <w:r w:rsidRPr="000063FC">
              <w:rPr>
                <w:rFonts w:cs="Arial"/>
                <w:sz w:val="20"/>
              </w:rPr>
              <w:t>128484,5</w:t>
            </w:r>
          </w:p>
        </w:tc>
        <w:tc>
          <w:tcPr>
            <w:tcW w:w="1176" w:type="dxa"/>
            <w:vAlign w:val="center"/>
          </w:tcPr>
          <w:p w:rsidR="00B23695" w:rsidRPr="000063FC" w:rsidRDefault="008B2E49">
            <w:pPr>
              <w:spacing w:line="276" w:lineRule="auto"/>
              <w:jc w:val="center"/>
              <w:rPr>
                <w:rFonts w:cs="Arial"/>
                <w:sz w:val="20"/>
              </w:rPr>
            </w:pPr>
            <w:r w:rsidRPr="000063FC">
              <w:rPr>
                <w:rFonts w:cs="Arial"/>
                <w:sz w:val="20"/>
              </w:rPr>
              <w:t>2234,6</w:t>
            </w:r>
          </w:p>
        </w:tc>
        <w:tc>
          <w:tcPr>
            <w:tcW w:w="1232" w:type="dxa"/>
            <w:vMerge/>
            <w:vAlign w:val="center"/>
          </w:tcPr>
          <w:p w:rsidR="00B23695" w:rsidRPr="000063FC" w:rsidRDefault="00B23695">
            <w:pPr>
              <w:spacing w:line="276" w:lineRule="auto"/>
              <w:jc w:val="center"/>
              <w:rPr>
                <w:rFonts w:cs="Arial"/>
                <w:sz w:val="20"/>
                <w:lang w:eastAsia="hr-HR"/>
              </w:rPr>
            </w:pPr>
          </w:p>
        </w:tc>
      </w:tr>
      <w:tr w:rsidR="008B2E49" w:rsidRPr="000063FC" w:rsidTr="0047434A">
        <w:trPr>
          <w:trHeight w:val="227"/>
        </w:trPr>
        <w:tc>
          <w:tcPr>
            <w:tcW w:w="3545" w:type="dxa"/>
            <w:vAlign w:val="center"/>
          </w:tcPr>
          <w:p w:rsidR="00B23695" w:rsidRPr="000063FC" w:rsidRDefault="008B2E49">
            <w:pPr>
              <w:spacing w:line="276" w:lineRule="auto"/>
              <w:rPr>
                <w:sz w:val="20"/>
              </w:rPr>
            </w:pPr>
            <w:r w:rsidRPr="000063FC">
              <w:rPr>
                <w:sz w:val="20"/>
              </w:rPr>
              <w:t>Razlika,%</w:t>
            </w:r>
          </w:p>
        </w:tc>
        <w:tc>
          <w:tcPr>
            <w:tcW w:w="1701" w:type="dxa"/>
            <w:vAlign w:val="center"/>
          </w:tcPr>
          <w:p w:rsidR="00B23695" w:rsidRPr="000063FC" w:rsidRDefault="008B2E49">
            <w:pPr>
              <w:spacing w:line="276" w:lineRule="auto"/>
              <w:jc w:val="center"/>
              <w:rPr>
                <w:rFonts w:cs="Arial"/>
                <w:sz w:val="20"/>
              </w:rPr>
            </w:pPr>
            <w:r w:rsidRPr="000063FC">
              <w:rPr>
                <w:rFonts w:cs="Arial"/>
                <w:sz w:val="20"/>
              </w:rPr>
              <w:t>4,46</w:t>
            </w:r>
          </w:p>
        </w:tc>
        <w:tc>
          <w:tcPr>
            <w:tcW w:w="1418" w:type="dxa"/>
            <w:vAlign w:val="center"/>
          </w:tcPr>
          <w:p w:rsidR="00B23695" w:rsidRPr="000063FC" w:rsidRDefault="008B2E49">
            <w:pPr>
              <w:spacing w:line="276" w:lineRule="auto"/>
              <w:jc w:val="center"/>
              <w:rPr>
                <w:rFonts w:cs="Arial"/>
                <w:sz w:val="20"/>
              </w:rPr>
            </w:pPr>
            <w:r w:rsidRPr="000063FC">
              <w:rPr>
                <w:rFonts w:cs="Arial"/>
                <w:sz w:val="20"/>
              </w:rPr>
              <w:t>5,62</w:t>
            </w:r>
          </w:p>
        </w:tc>
        <w:tc>
          <w:tcPr>
            <w:tcW w:w="1176" w:type="dxa"/>
            <w:vAlign w:val="center"/>
          </w:tcPr>
          <w:p w:rsidR="00B23695" w:rsidRPr="000063FC" w:rsidRDefault="008B2E49">
            <w:pPr>
              <w:spacing w:line="276" w:lineRule="auto"/>
              <w:jc w:val="center"/>
              <w:rPr>
                <w:rFonts w:cs="Arial"/>
                <w:sz w:val="20"/>
              </w:rPr>
            </w:pPr>
            <w:r w:rsidRPr="000063FC">
              <w:rPr>
                <w:rFonts w:cs="Arial"/>
                <w:sz w:val="20"/>
              </w:rPr>
              <w:t>2,11</w:t>
            </w:r>
          </w:p>
        </w:tc>
        <w:tc>
          <w:tcPr>
            <w:tcW w:w="1232" w:type="dxa"/>
            <w:vAlign w:val="center"/>
          </w:tcPr>
          <w:p w:rsidR="00B23695" w:rsidRPr="000063FC" w:rsidRDefault="008B2E49">
            <w:pPr>
              <w:spacing w:line="276" w:lineRule="auto"/>
              <w:jc w:val="center"/>
              <w:rPr>
                <w:rFonts w:cs="Arial"/>
                <w:sz w:val="20"/>
                <w:lang w:eastAsia="hr-HR"/>
              </w:rPr>
            </w:pPr>
            <w:r w:rsidRPr="000063FC">
              <w:rPr>
                <w:rFonts w:cs="Arial"/>
                <w:sz w:val="20"/>
                <w:lang w:eastAsia="hr-HR"/>
              </w:rPr>
              <w:t>-</w:t>
            </w:r>
          </w:p>
        </w:tc>
      </w:tr>
    </w:tbl>
    <w:p w:rsidR="00B23695" w:rsidRPr="000063FC" w:rsidRDefault="00B23695">
      <w:pPr>
        <w:spacing w:line="276" w:lineRule="auto"/>
      </w:pPr>
    </w:p>
    <w:p w:rsidR="00B23695" w:rsidRPr="000063FC" w:rsidRDefault="008B2E49">
      <w:pPr>
        <w:spacing w:line="276" w:lineRule="auto"/>
        <w:rPr>
          <w:szCs w:val="22"/>
        </w:rPr>
      </w:pPr>
      <w:r w:rsidRPr="000063FC">
        <w:rPr>
          <w:szCs w:val="22"/>
        </w:rPr>
        <w:t>Potrošnje goriva određene preko COPERT preporučenih parametara razlikuju se za oko 5% u odnosu na potrošnje goriva određene preko perimetara istraživanja. Detaljna analiza u Inventaru je rađena na temelju podataka dobivenih istraživanjem jer je pretpostavljeno da su ti podaci točniji od onih preporučenih COPERT modelom.</w:t>
      </w:r>
    </w:p>
    <w:p w:rsidR="00B23695" w:rsidRPr="000063FC" w:rsidRDefault="00B23695">
      <w:pPr>
        <w:spacing w:line="276" w:lineRule="auto"/>
        <w:rPr>
          <w:b/>
          <w:sz w:val="24"/>
        </w:rPr>
      </w:pPr>
    </w:p>
    <w:p w:rsidR="00BC341E" w:rsidRPr="000063FC" w:rsidRDefault="008B2E49">
      <w:pPr>
        <w:pStyle w:val="Heading4"/>
      </w:pPr>
      <w:r w:rsidRPr="000063FC">
        <w:br w:type="page"/>
      </w:r>
      <w:bookmarkStart w:id="171" w:name="_Toc254010192"/>
      <w:r w:rsidR="004616E0" w:rsidRPr="000063FC">
        <w:lastRenderedPageBreak/>
        <w:t xml:space="preserve">Pregled ukupnih emisija </w:t>
      </w:r>
      <w:r w:rsidR="00B324F5" w:rsidRPr="000063FC">
        <w:t>CO</w:t>
      </w:r>
      <w:r w:rsidR="00B324F5" w:rsidRPr="000063FC">
        <w:rPr>
          <w:vertAlign w:val="subscript"/>
        </w:rPr>
        <w:t xml:space="preserve">2 </w:t>
      </w:r>
      <w:r w:rsidR="00B324F5" w:rsidRPr="000063FC">
        <w:t xml:space="preserve"> i ekvivalenta CO</w:t>
      </w:r>
      <w:r w:rsidR="00B324F5" w:rsidRPr="000063FC">
        <w:rPr>
          <w:vertAlign w:val="subscript"/>
        </w:rPr>
        <w:t>2</w:t>
      </w:r>
      <w:r w:rsidR="00B324F5" w:rsidRPr="000063FC">
        <w:t xml:space="preserve"> podsektora osobnih i komercijalnih vozila</w:t>
      </w:r>
      <w:bookmarkEnd w:id="171"/>
    </w:p>
    <w:p w:rsidR="00B324F5" w:rsidRPr="000063FC" w:rsidRDefault="00B324F5" w:rsidP="00B324F5">
      <w:pPr>
        <w:pStyle w:val="NoSpacing"/>
        <w:jc w:val="both"/>
      </w:pPr>
      <w:r w:rsidRPr="000063FC">
        <w:t>U tablici 2.26 dane su potrošnje goriva i pripadajuće emisije i ekvivalent CO</w:t>
      </w:r>
      <w:r w:rsidRPr="000063FC">
        <w:rPr>
          <w:vertAlign w:val="subscript"/>
        </w:rPr>
        <w:t>2</w:t>
      </w:r>
      <w:r w:rsidRPr="000063FC">
        <w:t xml:space="preserve"> za podsektor osobnih, teretnih i kombiniranih vozila.</w:t>
      </w:r>
    </w:p>
    <w:p w:rsidR="00B33E2F" w:rsidRPr="000063FC" w:rsidRDefault="00B33E2F" w:rsidP="00B324F5">
      <w:pPr>
        <w:pStyle w:val="NoSpacing"/>
        <w:jc w:val="both"/>
      </w:pPr>
    </w:p>
    <w:p w:rsidR="00B324F5" w:rsidRPr="000063FC" w:rsidRDefault="00B324F5" w:rsidP="00B33E2F">
      <w:pPr>
        <w:pStyle w:val="Heading6"/>
      </w:pPr>
      <w:bookmarkStart w:id="172" w:name="_Toc251924024"/>
      <w:bookmarkStart w:id="173" w:name="_Toc254010253"/>
      <w:r w:rsidRPr="000063FC">
        <w:t>Tablica 2.26: Emisije i ekvivalent CO</w:t>
      </w:r>
      <w:r w:rsidRPr="000063FC">
        <w:rPr>
          <w:vertAlign w:val="subscript"/>
        </w:rPr>
        <w:t>2</w:t>
      </w:r>
      <w:r w:rsidRPr="000063FC">
        <w:t xml:space="preserve"> za podsektor osobnih i </w:t>
      </w:r>
      <w:r w:rsidRPr="000063FC">
        <w:rPr>
          <w:szCs w:val="22"/>
        </w:rPr>
        <w:t>komercijalnih</w:t>
      </w:r>
      <w:r w:rsidRPr="000063FC">
        <w:t xml:space="preserve"> vozila</w:t>
      </w:r>
      <w:bookmarkEnd w:id="172"/>
      <w:bookmarkEnd w:id="173"/>
    </w:p>
    <w:tbl>
      <w:tblPr>
        <w:tblW w:w="9072" w:type="dxa"/>
        <w:tblInd w:w="108"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Look w:val="04A0" w:firstRow="1" w:lastRow="0" w:firstColumn="1" w:lastColumn="0" w:noHBand="0" w:noVBand="1"/>
      </w:tblPr>
      <w:tblGrid>
        <w:gridCol w:w="2553"/>
        <w:gridCol w:w="1966"/>
        <w:gridCol w:w="2388"/>
        <w:gridCol w:w="2165"/>
      </w:tblGrid>
      <w:tr w:rsidR="00B324F5" w:rsidRPr="000063FC" w:rsidTr="00772AF0">
        <w:trPr>
          <w:trHeight w:val="229"/>
        </w:trPr>
        <w:tc>
          <w:tcPr>
            <w:tcW w:w="2553" w:type="dxa"/>
            <w:tcBorders>
              <w:top w:val="single" w:sz="4" w:space="0" w:color="FFFFFF" w:themeColor="background1"/>
              <w:left w:val="single" w:sz="4" w:space="0" w:color="FFFFFF" w:themeColor="background1"/>
              <w:bottom w:val="single" w:sz="4" w:space="0" w:color="FFFFFF" w:themeColor="background1"/>
              <w:right w:val="single" w:sz="4" w:space="0" w:color="F2F2F2" w:themeColor="background1" w:themeShade="F2"/>
            </w:tcBorders>
            <w:shd w:val="clear" w:color="auto" w:fill="4BACC6" w:themeFill="accent5"/>
            <w:tcMar>
              <w:top w:w="0" w:type="dxa"/>
              <w:left w:w="108" w:type="dxa"/>
              <w:bottom w:w="0" w:type="dxa"/>
              <w:right w:w="108" w:type="dxa"/>
            </w:tcMar>
            <w:vAlign w:val="center"/>
            <w:hideMark/>
          </w:tcPr>
          <w:p w:rsidR="00B324F5" w:rsidRPr="000063FC" w:rsidRDefault="00B324F5" w:rsidP="00B324F5">
            <w:pPr>
              <w:pStyle w:val="NoSpacing"/>
              <w:spacing w:after="200"/>
              <w:jc w:val="center"/>
              <w:rPr>
                <w:b/>
                <w:bCs/>
                <w:color w:val="FFFFFF" w:themeColor="background1"/>
                <w:sz w:val="20"/>
                <w:szCs w:val="20"/>
              </w:rPr>
            </w:pPr>
            <w:r w:rsidRPr="000063FC">
              <w:rPr>
                <w:b/>
                <w:bCs/>
                <w:color w:val="FFFFFF" w:themeColor="background1"/>
                <w:sz w:val="20"/>
                <w:szCs w:val="20"/>
              </w:rPr>
              <w:t>Osobna i komercijalna vozila</w:t>
            </w:r>
          </w:p>
        </w:tc>
        <w:tc>
          <w:tcPr>
            <w:tcW w:w="1966" w:type="dxa"/>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4BACC6" w:themeFill="accent5"/>
            <w:tcMar>
              <w:top w:w="0" w:type="dxa"/>
              <w:left w:w="108" w:type="dxa"/>
              <w:bottom w:w="0" w:type="dxa"/>
              <w:right w:w="108" w:type="dxa"/>
            </w:tcMar>
            <w:vAlign w:val="center"/>
            <w:hideMark/>
          </w:tcPr>
          <w:p w:rsidR="00B324F5" w:rsidRPr="000063FC" w:rsidRDefault="00B324F5" w:rsidP="00B324F5">
            <w:pPr>
              <w:pStyle w:val="NoSpacing"/>
              <w:jc w:val="center"/>
              <w:rPr>
                <w:b/>
                <w:bCs/>
                <w:color w:val="FFFFFF" w:themeColor="background1"/>
                <w:sz w:val="20"/>
                <w:szCs w:val="20"/>
              </w:rPr>
            </w:pPr>
            <w:r w:rsidRPr="000063FC">
              <w:rPr>
                <w:b/>
                <w:bCs/>
                <w:color w:val="FFFFFF" w:themeColor="background1"/>
                <w:sz w:val="20"/>
                <w:szCs w:val="20"/>
              </w:rPr>
              <w:t>Potrošena energija, MWh</w:t>
            </w:r>
          </w:p>
        </w:tc>
        <w:tc>
          <w:tcPr>
            <w:tcW w:w="2388" w:type="dxa"/>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4BACC6" w:themeFill="accent5"/>
            <w:tcMar>
              <w:top w:w="0" w:type="dxa"/>
              <w:left w:w="108" w:type="dxa"/>
              <w:bottom w:w="0" w:type="dxa"/>
              <w:right w:w="108" w:type="dxa"/>
            </w:tcMar>
            <w:vAlign w:val="center"/>
            <w:hideMark/>
          </w:tcPr>
          <w:p w:rsidR="00B324F5" w:rsidRPr="000063FC" w:rsidRDefault="00B324F5" w:rsidP="00B324F5">
            <w:pPr>
              <w:pStyle w:val="NoSpacing"/>
              <w:jc w:val="center"/>
              <w:rPr>
                <w:b/>
                <w:bCs/>
                <w:color w:val="FFFFFF" w:themeColor="background1"/>
                <w:sz w:val="20"/>
                <w:szCs w:val="20"/>
              </w:rPr>
            </w:pPr>
            <w:r w:rsidRPr="000063FC">
              <w:rPr>
                <w:b/>
                <w:bCs/>
                <w:color w:val="FFFFFF" w:themeColor="background1"/>
                <w:sz w:val="20"/>
                <w:szCs w:val="20"/>
              </w:rPr>
              <w:t>Emisija CO</w:t>
            </w:r>
            <w:r w:rsidRPr="000063FC">
              <w:rPr>
                <w:b/>
                <w:bCs/>
                <w:color w:val="FFFFFF" w:themeColor="background1"/>
                <w:sz w:val="20"/>
                <w:szCs w:val="20"/>
                <w:vertAlign w:val="subscript"/>
              </w:rPr>
              <w:t xml:space="preserve">2 </w:t>
            </w:r>
            <w:r w:rsidRPr="000063FC">
              <w:rPr>
                <w:b/>
                <w:bCs/>
                <w:color w:val="FFFFFF" w:themeColor="background1"/>
                <w:sz w:val="20"/>
                <w:szCs w:val="20"/>
              </w:rPr>
              <w:t>t</w:t>
            </w:r>
          </w:p>
        </w:tc>
        <w:tc>
          <w:tcPr>
            <w:tcW w:w="2165" w:type="dxa"/>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4BACC6" w:themeFill="accent5"/>
            <w:tcMar>
              <w:top w:w="0" w:type="dxa"/>
              <w:left w:w="108" w:type="dxa"/>
              <w:bottom w:w="0" w:type="dxa"/>
              <w:right w:w="108" w:type="dxa"/>
            </w:tcMar>
            <w:vAlign w:val="center"/>
            <w:hideMark/>
          </w:tcPr>
          <w:p w:rsidR="00B324F5" w:rsidRPr="000063FC" w:rsidRDefault="00B324F5" w:rsidP="00B324F5">
            <w:pPr>
              <w:pStyle w:val="NoSpacing"/>
              <w:jc w:val="center"/>
              <w:rPr>
                <w:b/>
                <w:bCs/>
                <w:color w:val="FFFFFF" w:themeColor="background1"/>
                <w:sz w:val="20"/>
                <w:szCs w:val="20"/>
              </w:rPr>
            </w:pPr>
            <w:r w:rsidRPr="000063FC">
              <w:rPr>
                <w:b/>
                <w:bCs/>
                <w:color w:val="FFFFFF" w:themeColor="background1"/>
                <w:sz w:val="20"/>
                <w:szCs w:val="20"/>
              </w:rPr>
              <w:t>Emisija CO</w:t>
            </w:r>
            <w:r w:rsidRPr="000063FC">
              <w:rPr>
                <w:b/>
                <w:bCs/>
                <w:color w:val="FFFFFF" w:themeColor="background1"/>
                <w:sz w:val="20"/>
                <w:szCs w:val="20"/>
                <w:vertAlign w:val="subscript"/>
              </w:rPr>
              <w:t>2</w:t>
            </w:r>
            <w:r w:rsidRPr="000063FC">
              <w:rPr>
                <w:b/>
                <w:bCs/>
                <w:color w:val="FFFFFF" w:themeColor="background1"/>
                <w:sz w:val="20"/>
                <w:szCs w:val="20"/>
              </w:rPr>
              <w:t>-ekv, t</w:t>
            </w:r>
          </w:p>
        </w:tc>
      </w:tr>
      <w:tr w:rsidR="00B324F5" w:rsidRPr="000063FC" w:rsidTr="00772AF0">
        <w:trPr>
          <w:trHeight w:val="229"/>
        </w:trPr>
        <w:tc>
          <w:tcPr>
            <w:tcW w:w="2553" w:type="dxa"/>
            <w:tcBorders>
              <w:top w:val="single" w:sz="4" w:space="0" w:color="FFFFFF" w:themeColor="background1"/>
            </w:tcBorders>
            <w:shd w:val="clear" w:color="auto" w:fill="FFFFFF" w:themeFill="background1"/>
            <w:noWrap/>
            <w:tcMar>
              <w:top w:w="0" w:type="dxa"/>
              <w:left w:w="108" w:type="dxa"/>
              <w:bottom w:w="0" w:type="dxa"/>
              <w:right w:w="108" w:type="dxa"/>
            </w:tcMar>
            <w:vAlign w:val="center"/>
            <w:hideMark/>
          </w:tcPr>
          <w:p w:rsidR="00B324F5" w:rsidRPr="000063FC" w:rsidRDefault="00B324F5" w:rsidP="00B324F5">
            <w:pPr>
              <w:pStyle w:val="NoSpacing"/>
              <w:spacing w:after="200" w:line="276" w:lineRule="auto"/>
              <w:rPr>
                <w:b/>
                <w:sz w:val="20"/>
                <w:szCs w:val="20"/>
              </w:rPr>
            </w:pPr>
            <w:r w:rsidRPr="000063FC">
              <w:rPr>
                <w:b/>
                <w:sz w:val="20"/>
                <w:szCs w:val="20"/>
              </w:rPr>
              <w:t>Osobna vozila</w:t>
            </w:r>
          </w:p>
        </w:tc>
        <w:tc>
          <w:tcPr>
            <w:tcW w:w="1966" w:type="dxa"/>
            <w:tcBorders>
              <w:top w:val="single" w:sz="4" w:space="0" w:color="FFFFFF" w:themeColor="background1"/>
            </w:tcBorders>
            <w:shd w:val="clear" w:color="auto" w:fill="auto"/>
            <w:noWrap/>
            <w:tcMar>
              <w:top w:w="0" w:type="dxa"/>
              <w:left w:w="108" w:type="dxa"/>
              <w:bottom w:w="0" w:type="dxa"/>
              <w:right w:w="108" w:type="dxa"/>
            </w:tcMar>
            <w:vAlign w:val="bottom"/>
            <w:hideMark/>
          </w:tcPr>
          <w:p w:rsidR="00B324F5" w:rsidRPr="000063FC" w:rsidRDefault="00B324F5" w:rsidP="00B324F5">
            <w:pPr>
              <w:pStyle w:val="NoSpacing"/>
              <w:jc w:val="right"/>
              <w:rPr>
                <w:sz w:val="20"/>
                <w:szCs w:val="20"/>
              </w:rPr>
            </w:pPr>
            <w:r w:rsidRPr="000063FC">
              <w:rPr>
                <w:sz w:val="20"/>
                <w:szCs w:val="20"/>
              </w:rPr>
              <w:t>2 184 857,4</w:t>
            </w:r>
          </w:p>
        </w:tc>
        <w:tc>
          <w:tcPr>
            <w:tcW w:w="2388" w:type="dxa"/>
            <w:tcBorders>
              <w:top w:val="single" w:sz="4" w:space="0" w:color="FFFFFF" w:themeColor="background1"/>
            </w:tcBorders>
            <w:shd w:val="clear" w:color="auto" w:fill="auto"/>
            <w:noWrap/>
            <w:tcMar>
              <w:top w:w="0" w:type="dxa"/>
              <w:left w:w="108" w:type="dxa"/>
              <w:bottom w:w="0" w:type="dxa"/>
              <w:right w:w="108" w:type="dxa"/>
            </w:tcMar>
            <w:vAlign w:val="bottom"/>
            <w:hideMark/>
          </w:tcPr>
          <w:p w:rsidR="00B324F5" w:rsidRPr="000063FC" w:rsidRDefault="00B324F5" w:rsidP="00B324F5">
            <w:pPr>
              <w:pStyle w:val="NoSpacing"/>
              <w:jc w:val="right"/>
              <w:rPr>
                <w:sz w:val="20"/>
                <w:szCs w:val="20"/>
              </w:rPr>
            </w:pPr>
            <w:r w:rsidRPr="000063FC">
              <w:rPr>
                <w:sz w:val="20"/>
                <w:szCs w:val="20"/>
              </w:rPr>
              <w:t>567 350,3</w:t>
            </w:r>
          </w:p>
        </w:tc>
        <w:tc>
          <w:tcPr>
            <w:tcW w:w="2165" w:type="dxa"/>
            <w:tcBorders>
              <w:top w:val="single" w:sz="4" w:space="0" w:color="FFFFFF" w:themeColor="background1"/>
            </w:tcBorders>
            <w:shd w:val="clear" w:color="auto" w:fill="auto"/>
            <w:noWrap/>
            <w:tcMar>
              <w:top w:w="0" w:type="dxa"/>
              <w:left w:w="108" w:type="dxa"/>
              <w:bottom w:w="0" w:type="dxa"/>
              <w:right w:w="108" w:type="dxa"/>
            </w:tcMar>
            <w:vAlign w:val="bottom"/>
            <w:hideMark/>
          </w:tcPr>
          <w:p w:rsidR="00B324F5" w:rsidRPr="000063FC" w:rsidRDefault="00B324F5" w:rsidP="00B324F5">
            <w:pPr>
              <w:pStyle w:val="NoSpacing"/>
              <w:jc w:val="right"/>
              <w:rPr>
                <w:sz w:val="20"/>
                <w:szCs w:val="20"/>
              </w:rPr>
            </w:pPr>
            <w:r w:rsidRPr="000063FC">
              <w:rPr>
                <w:sz w:val="20"/>
                <w:szCs w:val="20"/>
              </w:rPr>
              <w:t>596 338,2</w:t>
            </w:r>
          </w:p>
        </w:tc>
      </w:tr>
      <w:tr w:rsidR="00B324F5" w:rsidRPr="000063FC" w:rsidTr="00772AF0">
        <w:trPr>
          <w:trHeight w:val="229"/>
        </w:trPr>
        <w:tc>
          <w:tcPr>
            <w:tcW w:w="2553" w:type="dxa"/>
            <w:shd w:val="clear" w:color="auto" w:fill="FFFFFF" w:themeFill="background1"/>
            <w:noWrap/>
            <w:tcMar>
              <w:top w:w="0" w:type="dxa"/>
              <w:left w:w="108" w:type="dxa"/>
              <w:bottom w:w="0" w:type="dxa"/>
              <w:right w:w="108" w:type="dxa"/>
            </w:tcMar>
            <w:vAlign w:val="center"/>
            <w:hideMark/>
          </w:tcPr>
          <w:p w:rsidR="00B324F5" w:rsidRPr="000063FC" w:rsidRDefault="00B324F5" w:rsidP="00B324F5">
            <w:pPr>
              <w:pStyle w:val="NoSpacing"/>
              <w:spacing w:after="200" w:line="276" w:lineRule="auto"/>
              <w:rPr>
                <w:b/>
                <w:sz w:val="20"/>
                <w:szCs w:val="20"/>
              </w:rPr>
            </w:pPr>
            <w:r w:rsidRPr="000063FC">
              <w:rPr>
                <w:rFonts w:cs="Arial"/>
                <w:b/>
                <w:sz w:val="20"/>
              </w:rPr>
              <w:t>Teretna i kombinirana vozila</w:t>
            </w:r>
          </w:p>
        </w:tc>
        <w:tc>
          <w:tcPr>
            <w:tcW w:w="1966" w:type="dxa"/>
            <w:shd w:val="clear" w:color="auto" w:fill="auto"/>
            <w:noWrap/>
            <w:tcMar>
              <w:top w:w="0" w:type="dxa"/>
              <w:left w:w="108" w:type="dxa"/>
              <w:bottom w:w="0" w:type="dxa"/>
              <w:right w:w="108" w:type="dxa"/>
            </w:tcMar>
            <w:vAlign w:val="bottom"/>
            <w:hideMark/>
          </w:tcPr>
          <w:p w:rsidR="00B324F5" w:rsidRPr="000063FC" w:rsidRDefault="00B324F5" w:rsidP="00B324F5">
            <w:pPr>
              <w:pStyle w:val="NoSpacing"/>
              <w:jc w:val="right"/>
              <w:rPr>
                <w:sz w:val="20"/>
                <w:szCs w:val="20"/>
              </w:rPr>
            </w:pPr>
            <w:r w:rsidRPr="000063FC">
              <w:rPr>
                <w:sz w:val="20"/>
                <w:szCs w:val="20"/>
              </w:rPr>
              <w:t>1 368 158,0</w:t>
            </w:r>
          </w:p>
        </w:tc>
        <w:tc>
          <w:tcPr>
            <w:tcW w:w="2388" w:type="dxa"/>
            <w:shd w:val="clear" w:color="auto" w:fill="auto"/>
            <w:noWrap/>
            <w:tcMar>
              <w:top w:w="0" w:type="dxa"/>
              <w:left w:w="108" w:type="dxa"/>
              <w:bottom w:w="0" w:type="dxa"/>
              <w:right w:w="108" w:type="dxa"/>
            </w:tcMar>
            <w:vAlign w:val="bottom"/>
            <w:hideMark/>
          </w:tcPr>
          <w:p w:rsidR="00B324F5" w:rsidRPr="000063FC" w:rsidRDefault="00B324F5" w:rsidP="00B324F5">
            <w:pPr>
              <w:pStyle w:val="NoSpacing"/>
              <w:jc w:val="right"/>
              <w:rPr>
                <w:sz w:val="20"/>
                <w:szCs w:val="20"/>
              </w:rPr>
            </w:pPr>
            <w:r w:rsidRPr="000063FC">
              <w:rPr>
                <w:sz w:val="20"/>
                <w:szCs w:val="20"/>
              </w:rPr>
              <w:t>361 069,9</w:t>
            </w:r>
          </w:p>
        </w:tc>
        <w:tc>
          <w:tcPr>
            <w:tcW w:w="2165" w:type="dxa"/>
            <w:shd w:val="clear" w:color="auto" w:fill="auto"/>
            <w:noWrap/>
            <w:tcMar>
              <w:top w:w="0" w:type="dxa"/>
              <w:left w:w="108" w:type="dxa"/>
              <w:bottom w:w="0" w:type="dxa"/>
              <w:right w:w="108" w:type="dxa"/>
            </w:tcMar>
            <w:vAlign w:val="bottom"/>
            <w:hideMark/>
          </w:tcPr>
          <w:p w:rsidR="00B324F5" w:rsidRPr="000063FC" w:rsidRDefault="00B324F5" w:rsidP="00B324F5">
            <w:pPr>
              <w:pStyle w:val="NoSpacing"/>
              <w:jc w:val="right"/>
              <w:rPr>
                <w:sz w:val="20"/>
                <w:szCs w:val="20"/>
              </w:rPr>
            </w:pPr>
            <w:r w:rsidRPr="000063FC">
              <w:rPr>
                <w:sz w:val="20"/>
                <w:szCs w:val="20"/>
              </w:rPr>
              <w:t>367 921,5</w:t>
            </w:r>
          </w:p>
        </w:tc>
      </w:tr>
      <w:tr w:rsidR="00B324F5" w:rsidRPr="000063FC" w:rsidTr="00772AF0">
        <w:trPr>
          <w:trHeight w:val="229"/>
        </w:trPr>
        <w:tc>
          <w:tcPr>
            <w:tcW w:w="2553" w:type="dxa"/>
            <w:shd w:val="clear" w:color="auto" w:fill="FFFFFF" w:themeFill="background1"/>
            <w:noWrap/>
            <w:tcMar>
              <w:top w:w="0" w:type="dxa"/>
              <w:left w:w="108" w:type="dxa"/>
              <w:bottom w:w="0" w:type="dxa"/>
              <w:right w:w="108" w:type="dxa"/>
            </w:tcMar>
            <w:vAlign w:val="center"/>
            <w:hideMark/>
          </w:tcPr>
          <w:p w:rsidR="00B324F5" w:rsidRPr="000063FC" w:rsidRDefault="00B324F5" w:rsidP="00B324F5">
            <w:pPr>
              <w:pStyle w:val="NoSpacing"/>
              <w:spacing w:after="200" w:line="276" w:lineRule="auto"/>
              <w:rPr>
                <w:b/>
                <w:sz w:val="20"/>
                <w:szCs w:val="20"/>
              </w:rPr>
            </w:pPr>
            <w:r w:rsidRPr="000063FC">
              <w:rPr>
                <w:rFonts w:cs="Arial"/>
                <w:b/>
                <w:sz w:val="20"/>
              </w:rPr>
              <w:t>Mopedi i motocikli</w:t>
            </w:r>
          </w:p>
        </w:tc>
        <w:tc>
          <w:tcPr>
            <w:tcW w:w="1966" w:type="dxa"/>
            <w:shd w:val="clear" w:color="auto" w:fill="auto"/>
            <w:noWrap/>
            <w:tcMar>
              <w:top w:w="0" w:type="dxa"/>
              <w:left w:w="108" w:type="dxa"/>
              <w:bottom w:w="0" w:type="dxa"/>
              <w:right w:w="108" w:type="dxa"/>
            </w:tcMar>
            <w:vAlign w:val="bottom"/>
            <w:hideMark/>
          </w:tcPr>
          <w:p w:rsidR="00B324F5" w:rsidRPr="000063FC" w:rsidRDefault="00B324F5" w:rsidP="00B324F5">
            <w:pPr>
              <w:pStyle w:val="NoSpacing"/>
              <w:jc w:val="right"/>
              <w:rPr>
                <w:sz w:val="20"/>
                <w:szCs w:val="20"/>
              </w:rPr>
            </w:pPr>
            <w:r w:rsidRPr="000063FC">
              <w:rPr>
                <w:sz w:val="20"/>
                <w:szCs w:val="20"/>
              </w:rPr>
              <w:t>31 268,3</w:t>
            </w:r>
          </w:p>
        </w:tc>
        <w:tc>
          <w:tcPr>
            <w:tcW w:w="2388" w:type="dxa"/>
            <w:shd w:val="clear" w:color="auto" w:fill="auto"/>
            <w:noWrap/>
            <w:tcMar>
              <w:top w:w="0" w:type="dxa"/>
              <w:left w:w="108" w:type="dxa"/>
              <w:bottom w:w="0" w:type="dxa"/>
              <w:right w:w="108" w:type="dxa"/>
            </w:tcMar>
            <w:vAlign w:val="bottom"/>
            <w:hideMark/>
          </w:tcPr>
          <w:p w:rsidR="00B324F5" w:rsidRPr="000063FC" w:rsidRDefault="00B324F5" w:rsidP="00B324F5">
            <w:pPr>
              <w:pStyle w:val="NoSpacing"/>
              <w:jc w:val="right"/>
              <w:rPr>
                <w:sz w:val="20"/>
                <w:szCs w:val="20"/>
              </w:rPr>
            </w:pPr>
            <w:r w:rsidRPr="000063FC">
              <w:rPr>
                <w:sz w:val="20"/>
                <w:szCs w:val="20"/>
              </w:rPr>
              <w:t>8 043,0</w:t>
            </w:r>
          </w:p>
        </w:tc>
        <w:tc>
          <w:tcPr>
            <w:tcW w:w="2165" w:type="dxa"/>
            <w:shd w:val="clear" w:color="auto" w:fill="auto"/>
            <w:noWrap/>
            <w:tcMar>
              <w:top w:w="0" w:type="dxa"/>
              <w:left w:w="108" w:type="dxa"/>
              <w:bottom w:w="0" w:type="dxa"/>
              <w:right w:w="108" w:type="dxa"/>
            </w:tcMar>
            <w:vAlign w:val="bottom"/>
            <w:hideMark/>
          </w:tcPr>
          <w:p w:rsidR="00B324F5" w:rsidRPr="000063FC" w:rsidRDefault="00B324F5" w:rsidP="00B324F5">
            <w:pPr>
              <w:pStyle w:val="NoSpacing"/>
              <w:jc w:val="right"/>
              <w:rPr>
                <w:sz w:val="20"/>
                <w:szCs w:val="20"/>
              </w:rPr>
            </w:pPr>
            <w:r w:rsidRPr="000063FC">
              <w:rPr>
                <w:sz w:val="20"/>
                <w:szCs w:val="20"/>
              </w:rPr>
              <w:t>8 345,1</w:t>
            </w:r>
          </w:p>
        </w:tc>
      </w:tr>
      <w:tr w:rsidR="00B324F5" w:rsidRPr="000063FC" w:rsidTr="00772AF0">
        <w:trPr>
          <w:trHeight w:val="229"/>
        </w:trPr>
        <w:tc>
          <w:tcPr>
            <w:tcW w:w="2553" w:type="dxa"/>
            <w:shd w:val="clear" w:color="auto" w:fill="FFFFFF" w:themeFill="background1"/>
            <w:noWrap/>
            <w:tcMar>
              <w:top w:w="0" w:type="dxa"/>
              <w:left w:w="108" w:type="dxa"/>
              <w:bottom w:w="0" w:type="dxa"/>
              <w:right w:w="108" w:type="dxa"/>
            </w:tcMar>
            <w:vAlign w:val="center"/>
            <w:hideMark/>
          </w:tcPr>
          <w:p w:rsidR="00B324F5" w:rsidRPr="000063FC" w:rsidRDefault="00B324F5" w:rsidP="00B324F5">
            <w:pPr>
              <w:pStyle w:val="NoSpacing"/>
              <w:rPr>
                <w:b/>
                <w:sz w:val="20"/>
                <w:szCs w:val="20"/>
              </w:rPr>
            </w:pPr>
            <w:r w:rsidRPr="000063FC">
              <w:rPr>
                <w:b/>
                <w:sz w:val="20"/>
                <w:szCs w:val="20"/>
              </w:rPr>
              <w:t>UKUPNO</w:t>
            </w:r>
          </w:p>
        </w:tc>
        <w:tc>
          <w:tcPr>
            <w:tcW w:w="1966" w:type="dxa"/>
            <w:shd w:val="clear" w:color="auto" w:fill="auto"/>
            <w:noWrap/>
            <w:tcMar>
              <w:top w:w="0" w:type="dxa"/>
              <w:left w:w="108" w:type="dxa"/>
              <w:bottom w:w="0" w:type="dxa"/>
              <w:right w:w="108" w:type="dxa"/>
            </w:tcMar>
            <w:vAlign w:val="bottom"/>
            <w:hideMark/>
          </w:tcPr>
          <w:p w:rsidR="00B324F5" w:rsidRPr="000063FC" w:rsidRDefault="00B324F5" w:rsidP="00B324F5">
            <w:pPr>
              <w:pStyle w:val="NoSpacing"/>
              <w:jc w:val="right"/>
              <w:rPr>
                <w:sz w:val="20"/>
                <w:szCs w:val="20"/>
              </w:rPr>
            </w:pPr>
            <w:r w:rsidRPr="000063FC">
              <w:rPr>
                <w:sz w:val="20"/>
                <w:szCs w:val="20"/>
              </w:rPr>
              <w:t>3 584 283,7</w:t>
            </w:r>
          </w:p>
        </w:tc>
        <w:tc>
          <w:tcPr>
            <w:tcW w:w="2388" w:type="dxa"/>
            <w:shd w:val="clear" w:color="auto" w:fill="auto"/>
            <w:noWrap/>
            <w:tcMar>
              <w:top w:w="0" w:type="dxa"/>
              <w:left w:w="108" w:type="dxa"/>
              <w:bottom w:w="0" w:type="dxa"/>
              <w:right w:w="108" w:type="dxa"/>
            </w:tcMar>
            <w:vAlign w:val="bottom"/>
            <w:hideMark/>
          </w:tcPr>
          <w:p w:rsidR="00B324F5" w:rsidRPr="000063FC" w:rsidRDefault="00B324F5" w:rsidP="00B324F5">
            <w:pPr>
              <w:pStyle w:val="NoSpacing"/>
              <w:jc w:val="right"/>
              <w:rPr>
                <w:sz w:val="20"/>
                <w:szCs w:val="20"/>
              </w:rPr>
            </w:pPr>
            <w:r w:rsidRPr="000063FC">
              <w:rPr>
                <w:sz w:val="20"/>
                <w:szCs w:val="20"/>
              </w:rPr>
              <w:t>936 463,2</w:t>
            </w:r>
          </w:p>
        </w:tc>
        <w:tc>
          <w:tcPr>
            <w:tcW w:w="2165" w:type="dxa"/>
            <w:shd w:val="clear" w:color="auto" w:fill="auto"/>
            <w:noWrap/>
            <w:tcMar>
              <w:top w:w="0" w:type="dxa"/>
              <w:left w:w="108" w:type="dxa"/>
              <w:bottom w:w="0" w:type="dxa"/>
              <w:right w:w="108" w:type="dxa"/>
            </w:tcMar>
            <w:vAlign w:val="bottom"/>
            <w:hideMark/>
          </w:tcPr>
          <w:p w:rsidR="00B324F5" w:rsidRPr="000063FC" w:rsidRDefault="00B324F5" w:rsidP="00B324F5">
            <w:pPr>
              <w:pStyle w:val="NoSpacing"/>
              <w:jc w:val="right"/>
              <w:rPr>
                <w:sz w:val="20"/>
                <w:szCs w:val="20"/>
              </w:rPr>
            </w:pPr>
            <w:r w:rsidRPr="000063FC">
              <w:rPr>
                <w:sz w:val="20"/>
                <w:szCs w:val="20"/>
              </w:rPr>
              <w:t>972 604,8</w:t>
            </w:r>
          </w:p>
        </w:tc>
      </w:tr>
    </w:tbl>
    <w:p w:rsidR="0014671D" w:rsidRDefault="0014671D" w:rsidP="00B33E2F">
      <w:pPr>
        <w:pStyle w:val="Heading6"/>
      </w:pPr>
    </w:p>
    <w:p w:rsidR="0014671D" w:rsidRDefault="0014671D" w:rsidP="0014671D">
      <w:r>
        <w:br w:type="page"/>
      </w:r>
    </w:p>
    <w:p w:rsidR="00BC341E" w:rsidRPr="000063FC" w:rsidRDefault="00B82483">
      <w:pPr>
        <w:pStyle w:val="Heading2"/>
      </w:pPr>
      <w:bookmarkStart w:id="174" w:name="_Toc248428875"/>
      <w:bookmarkStart w:id="175" w:name="_Toc254010193"/>
      <w:r w:rsidRPr="000063FC">
        <w:lastRenderedPageBreak/>
        <w:t xml:space="preserve">PRIKAZ </w:t>
      </w:r>
      <w:r w:rsidR="00C401D7" w:rsidRPr="000063FC">
        <w:t xml:space="preserve">UKUPNE </w:t>
      </w:r>
      <w:r w:rsidRPr="000063FC">
        <w:t>POTROŠNJE ENERGENATA I EMISIJA INVENTARA</w:t>
      </w:r>
      <w:bookmarkEnd w:id="174"/>
      <w:r w:rsidR="00C401D7" w:rsidRPr="000063FC">
        <w:t xml:space="preserve"> U GRADU ZAGREBU</w:t>
      </w:r>
      <w:bookmarkEnd w:id="175"/>
    </w:p>
    <w:p w:rsidR="00B23695" w:rsidRPr="000063FC" w:rsidRDefault="00B82483">
      <w:pPr>
        <w:spacing w:line="276" w:lineRule="auto"/>
        <w:rPr>
          <w:szCs w:val="22"/>
        </w:rPr>
      </w:pPr>
      <w:r w:rsidRPr="000063FC">
        <w:rPr>
          <w:rFonts w:cs="Arial"/>
          <w:szCs w:val="22"/>
        </w:rPr>
        <w:t>U ovom poglavlju predstavljeni su rezultati proračuna emisija stakleničkih plinova Grada Zagreba.</w:t>
      </w:r>
      <w:r w:rsidRPr="000063FC">
        <w:rPr>
          <w:szCs w:val="22"/>
        </w:rPr>
        <w:t xml:space="preserve"> Referentni inventar emisija izrađen je za 2008. godinu koja je odabrana kao referentna godina. Inventar je obuhvatio </w:t>
      </w:r>
      <w:r w:rsidR="00AB2F79" w:rsidRPr="000063FC">
        <w:rPr>
          <w:szCs w:val="22"/>
        </w:rPr>
        <w:t>tri</w:t>
      </w:r>
      <w:r w:rsidRPr="000063FC">
        <w:rPr>
          <w:szCs w:val="22"/>
        </w:rPr>
        <w:t xml:space="preserve"> glavna sektora finalne potrošnje energije: </w:t>
      </w:r>
      <w:r w:rsidR="00AB2F79" w:rsidRPr="000063FC">
        <w:rPr>
          <w:szCs w:val="22"/>
        </w:rPr>
        <w:t xml:space="preserve">sektor zgradarstva, javnu rasvjetu </w:t>
      </w:r>
      <w:r w:rsidRPr="000063FC">
        <w:rPr>
          <w:szCs w:val="22"/>
        </w:rPr>
        <w:t xml:space="preserve">te promet. U poglavlju </w:t>
      </w:r>
      <w:r w:rsidR="0095745B" w:rsidRPr="000063FC">
        <w:rPr>
          <w:szCs w:val="22"/>
        </w:rPr>
        <w:t>2.4</w:t>
      </w:r>
      <w:r w:rsidRPr="000063FC">
        <w:rPr>
          <w:szCs w:val="22"/>
        </w:rPr>
        <w:t xml:space="preserve">.1. prikazane su ukupne potrošnje energije po energentima i sektorima, dok su u poglavlju </w:t>
      </w:r>
      <w:r w:rsidR="0095745B" w:rsidRPr="000063FC">
        <w:rPr>
          <w:szCs w:val="22"/>
        </w:rPr>
        <w:t>2.4</w:t>
      </w:r>
      <w:r w:rsidRPr="000063FC">
        <w:rPr>
          <w:szCs w:val="22"/>
        </w:rPr>
        <w:t>.2</w:t>
      </w:r>
      <w:r w:rsidR="00FA6537" w:rsidRPr="000063FC">
        <w:rPr>
          <w:szCs w:val="22"/>
        </w:rPr>
        <w:t>.</w:t>
      </w:r>
      <w:r w:rsidRPr="000063FC">
        <w:rPr>
          <w:szCs w:val="22"/>
        </w:rPr>
        <w:t xml:space="preserve"> prikazane emisije po sektorima i energentima. </w:t>
      </w:r>
    </w:p>
    <w:p w:rsidR="00772AF0" w:rsidRPr="000063FC" w:rsidRDefault="00772AF0">
      <w:pPr>
        <w:tabs>
          <w:tab w:val="clear" w:pos="720"/>
          <w:tab w:val="clear" w:pos="6912"/>
        </w:tabs>
        <w:spacing w:line="240" w:lineRule="auto"/>
        <w:jc w:val="left"/>
      </w:pPr>
    </w:p>
    <w:p w:rsidR="00BC341E" w:rsidRPr="000063FC" w:rsidRDefault="00C45FF5">
      <w:pPr>
        <w:pStyle w:val="Heading3"/>
      </w:pPr>
      <w:bookmarkStart w:id="176" w:name="_Toc248428876"/>
      <w:bookmarkStart w:id="177" w:name="_Toc254010194"/>
      <w:r w:rsidRPr="000063FC">
        <w:t>PREGLED UKUPNE POTROŠNJE ENERGIJE</w:t>
      </w:r>
      <w:bookmarkEnd w:id="176"/>
      <w:bookmarkEnd w:id="177"/>
    </w:p>
    <w:p w:rsidR="00B23695" w:rsidRPr="000063FC" w:rsidRDefault="001D576A">
      <w:pPr>
        <w:spacing w:line="276" w:lineRule="auto"/>
        <w:rPr>
          <w:rFonts w:cs="Arial"/>
          <w:szCs w:val="22"/>
        </w:rPr>
      </w:pPr>
      <w:r w:rsidRPr="000063FC">
        <w:rPr>
          <w:szCs w:val="22"/>
        </w:rPr>
        <w:t xml:space="preserve">U tablici </w:t>
      </w:r>
      <w:r w:rsidR="0095745B" w:rsidRPr="000063FC">
        <w:rPr>
          <w:szCs w:val="22"/>
        </w:rPr>
        <w:t>2.27</w:t>
      </w:r>
      <w:r w:rsidR="00B82483" w:rsidRPr="000063FC">
        <w:rPr>
          <w:szCs w:val="22"/>
        </w:rPr>
        <w:t xml:space="preserve"> prikazane su potrošnje energije inventara po sektorima i energentima. Na slici </w:t>
      </w:r>
      <w:r w:rsidR="0095745B" w:rsidRPr="000063FC">
        <w:rPr>
          <w:szCs w:val="22"/>
        </w:rPr>
        <w:t>2.12</w:t>
      </w:r>
      <w:r w:rsidR="00B82483" w:rsidRPr="000063FC">
        <w:rPr>
          <w:szCs w:val="22"/>
        </w:rPr>
        <w:t xml:space="preserve"> prikazana je </w:t>
      </w:r>
      <w:r w:rsidR="0095745B" w:rsidRPr="000063FC">
        <w:rPr>
          <w:szCs w:val="22"/>
        </w:rPr>
        <w:t xml:space="preserve">ukupna </w:t>
      </w:r>
      <w:r w:rsidR="00B82483" w:rsidRPr="000063FC">
        <w:rPr>
          <w:szCs w:val="22"/>
        </w:rPr>
        <w:t xml:space="preserve">potrošnja </w:t>
      </w:r>
      <w:r w:rsidR="0095745B" w:rsidRPr="000063FC">
        <w:rPr>
          <w:szCs w:val="22"/>
        </w:rPr>
        <w:t>energije (</w:t>
      </w:r>
      <w:r w:rsidR="00B82483" w:rsidRPr="000063FC">
        <w:rPr>
          <w:szCs w:val="22"/>
        </w:rPr>
        <w:t>MWh</w:t>
      </w:r>
      <w:r w:rsidR="0095745B" w:rsidRPr="000063FC">
        <w:rPr>
          <w:szCs w:val="22"/>
        </w:rPr>
        <w:t>)</w:t>
      </w:r>
      <w:r w:rsidR="00B82483" w:rsidRPr="000063FC">
        <w:rPr>
          <w:szCs w:val="22"/>
        </w:rPr>
        <w:t xml:space="preserve"> po sektor</w:t>
      </w:r>
      <w:r w:rsidR="0095745B" w:rsidRPr="000063FC">
        <w:rPr>
          <w:szCs w:val="22"/>
        </w:rPr>
        <w:t xml:space="preserve">ima, a </w:t>
      </w:r>
      <w:r w:rsidR="00B82483" w:rsidRPr="000063FC">
        <w:rPr>
          <w:szCs w:val="22"/>
        </w:rPr>
        <w:t xml:space="preserve">na slici </w:t>
      </w:r>
      <w:r w:rsidR="00243323" w:rsidRPr="000063FC">
        <w:rPr>
          <w:szCs w:val="22"/>
        </w:rPr>
        <w:t>2.1</w:t>
      </w:r>
      <w:r w:rsidR="0095745B" w:rsidRPr="000063FC">
        <w:rPr>
          <w:szCs w:val="22"/>
        </w:rPr>
        <w:t>3</w:t>
      </w:r>
      <w:r w:rsidR="00B82483" w:rsidRPr="000063FC">
        <w:rPr>
          <w:szCs w:val="22"/>
        </w:rPr>
        <w:t xml:space="preserve"> potrošnja  pojedinog energenta inventara. Na slici </w:t>
      </w:r>
      <w:r w:rsidR="00243323" w:rsidRPr="000063FC">
        <w:rPr>
          <w:szCs w:val="22"/>
        </w:rPr>
        <w:t>2.1</w:t>
      </w:r>
      <w:r w:rsidR="009C02B8" w:rsidRPr="000063FC">
        <w:rPr>
          <w:szCs w:val="22"/>
        </w:rPr>
        <w:t>4</w:t>
      </w:r>
      <w:r w:rsidR="00B82483" w:rsidRPr="000063FC">
        <w:rPr>
          <w:szCs w:val="22"/>
        </w:rPr>
        <w:t xml:space="preserve"> dan je skupni prikaz potrošnje energije po sektorima i energentima. </w:t>
      </w:r>
    </w:p>
    <w:p w:rsidR="00B23695" w:rsidRPr="000063FC" w:rsidRDefault="00B23695">
      <w:pPr>
        <w:spacing w:line="276" w:lineRule="auto"/>
        <w:rPr>
          <w:rFonts w:cs="Arial"/>
          <w:szCs w:val="22"/>
        </w:rPr>
      </w:pPr>
    </w:p>
    <w:p w:rsidR="00BC341E" w:rsidRDefault="00B82483" w:rsidP="00B33E2F">
      <w:pPr>
        <w:pStyle w:val="Heading6"/>
      </w:pPr>
      <w:bookmarkStart w:id="178" w:name="_Toc248427242"/>
      <w:bookmarkStart w:id="179" w:name="_Toc254010254"/>
      <w:r w:rsidRPr="000063FC">
        <w:t xml:space="preserve">Tablica </w:t>
      </w:r>
      <w:r w:rsidR="0095745B" w:rsidRPr="000063FC">
        <w:t>2.27</w:t>
      </w:r>
      <w:r w:rsidRPr="000063FC">
        <w:t>: Potrošnje energije po sektorima i energentima</w:t>
      </w:r>
      <w:bookmarkEnd w:id="178"/>
      <w:bookmarkEnd w:id="179"/>
    </w:p>
    <w:tbl>
      <w:tblPr>
        <w:tblW w:w="9368" w:type="dxa"/>
        <w:tblInd w:w="96" w:type="dxa"/>
        <w:tblBorders>
          <w:top w:val="single" w:sz="6" w:space="0" w:color="4BACC6"/>
          <w:left w:val="single" w:sz="6" w:space="0" w:color="4BACC6"/>
          <w:bottom w:val="single" w:sz="6" w:space="0" w:color="4BACC6"/>
          <w:right w:val="single" w:sz="6" w:space="0" w:color="4BACC6"/>
          <w:insideH w:val="single" w:sz="6" w:space="0" w:color="4BACC6"/>
          <w:insideV w:val="single" w:sz="6" w:space="0" w:color="4BACC6"/>
        </w:tblBorders>
        <w:tblLayout w:type="fixed"/>
        <w:tblLook w:val="00A0" w:firstRow="1" w:lastRow="0" w:firstColumn="1" w:lastColumn="0" w:noHBand="0" w:noVBand="0"/>
      </w:tblPr>
      <w:tblGrid>
        <w:gridCol w:w="2139"/>
        <w:gridCol w:w="1417"/>
        <w:gridCol w:w="1418"/>
        <w:gridCol w:w="1417"/>
        <w:gridCol w:w="1559"/>
        <w:gridCol w:w="1418"/>
      </w:tblGrid>
      <w:tr w:rsidR="00F36A59" w:rsidRPr="00F36A59" w:rsidTr="00F36A59">
        <w:trPr>
          <w:trHeight w:val="389"/>
        </w:trPr>
        <w:tc>
          <w:tcPr>
            <w:tcW w:w="2139" w:type="dxa"/>
            <w:vMerge w:val="restart"/>
            <w:tcBorders>
              <w:bottom w:val="single" w:sz="6" w:space="0" w:color="FFFFFF"/>
              <w:right w:val="single" w:sz="6" w:space="0" w:color="FFFFFF"/>
            </w:tcBorders>
            <w:shd w:val="clear" w:color="auto" w:fill="4BACC6"/>
            <w:noWrap/>
            <w:vAlign w:val="center"/>
          </w:tcPr>
          <w:p w:rsidR="00F36A59" w:rsidRPr="00F36A59" w:rsidRDefault="00F36A59" w:rsidP="00F36A59">
            <w:pPr>
              <w:spacing w:line="240" w:lineRule="auto"/>
              <w:jc w:val="center"/>
              <w:rPr>
                <w:rFonts w:asciiTheme="minorHAnsi" w:hAnsiTheme="minorHAnsi" w:cs="Arial"/>
                <w:b/>
                <w:color w:val="FFFFFF"/>
                <w:sz w:val="20"/>
                <w:lang w:eastAsia="hr-HR"/>
              </w:rPr>
            </w:pPr>
            <w:r w:rsidRPr="00F36A59">
              <w:rPr>
                <w:rFonts w:asciiTheme="minorHAnsi" w:hAnsiTheme="minorHAnsi" w:cs="Arial"/>
                <w:b/>
                <w:color w:val="FFFFFF"/>
                <w:sz w:val="20"/>
                <w:lang w:eastAsia="hr-HR"/>
              </w:rPr>
              <w:t>Energent</w:t>
            </w:r>
          </w:p>
        </w:tc>
        <w:tc>
          <w:tcPr>
            <w:tcW w:w="5811" w:type="dxa"/>
            <w:gridSpan w:val="4"/>
            <w:tcBorders>
              <w:top w:val="single" w:sz="4" w:space="0" w:color="FFFFFF"/>
              <w:left w:val="single" w:sz="6" w:space="0" w:color="FFFFFF"/>
              <w:bottom w:val="single" w:sz="4" w:space="0" w:color="FFFFFF"/>
              <w:right w:val="single" w:sz="4" w:space="0" w:color="FFFFFF"/>
            </w:tcBorders>
            <w:shd w:val="clear" w:color="auto" w:fill="4BACC6"/>
            <w:noWrap/>
            <w:vAlign w:val="bottom"/>
          </w:tcPr>
          <w:p w:rsidR="00F36A59" w:rsidRPr="00F36A59" w:rsidRDefault="00F36A59" w:rsidP="00F36A59">
            <w:pPr>
              <w:spacing w:line="240" w:lineRule="auto"/>
              <w:jc w:val="center"/>
              <w:rPr>
                <w:rFonts w:asciiTheme="minorHAnsi" w:hAnsiTheme="minorHAnsi" w:cs="Arial"/>
                <w:b/>
                <w:color w:val="FFFFFF"/>
                <w:sz w:val="20"/>
                <w:lang w:eastAsia="hr-HR"/>
              </w:rPr>
            </w:pPr>
            <w:r w:rsidRPr="00F36A59">
              <w:rPr>
                <w:rFonts w:asciiTheme="minorHAnsi" w:hAnsiTheme="minorHAnsi" w:cs="Arial"/>
                <w:b/>
                <w:color w:val="FFFFFF"/>
                <w:sz w:val="20"/>
                <w:lang w:eastAsia="hr-HR"/>
              </w:rPr>
              <w:t>Potrošnja goriva MWh</w:t>
            </w:r>
          </w:p>
        </w:tc>
        <w:tc>
          <w:tcPr>
            <w:tcW w:w="1418" w:type="dxa"/>
            <w:tcBorders>
              <w:top w:val="single" w:sz="4" w:space="0" w:color="FFFFFF"/>
              <w:left w:val="single" w:sz="4" w:space="0" w:color="FFFFFF"/>
              <w:bottom w:val="single" w:sz="4" w:space="0" w:color="FFFFFF"/>
            </w:tcBorders>
            <w:shd w:val="clear" w:color="auto" w:fill="4BACC6"/>
            <w:vAlign w:val="bottom"/>
          </w:tcPr>
          <w:p w:rsidR="00F36A59" w:rsidRPr="00F36A59" w:rsidRDefault="00F36A59" w:rsidP="00F36A59">
            <w:pPr>
              <w:spacing w:line="240" w:lineRule="auto"/>
              <w:jc w:val="center"/>
              <w:rPr>
                <w:rFonts w:asciiTheme="minorHAnsi" w:hAnsiTheme="minorHAnsi" w:cs="Arial"/>
                <w:b/>
                <w:color w:val="FFFFFF"/>
                <w:sz w:val="20"/>
                <w:lang w:eastAsia="hr-HR"/>
              </w:rPr>
            </w:pPr>
            <w:r w:rsidRPr="00F36A59">
              <w:rPr>
                <w:rFonts w:asciiTheme="minorHAnsi" w:hAnsiTheme="minorHAnsi" w:cs="Arial"/>
                <w:b/>
                <w:color w:val="FFFFFF"/>
                <w:sz w:val="20"/>
                <w:lang w:eastAsia="hr-HR"/>
              </w:rPr>
              <w:t>%</w:t>
            </w:r>
          </w:p>
        </w:tc>
      </w:tr>
      <w:tr w:rsidR="00F36A59" w:rsidRPr="00F36A59" w:rsidTr="00F36A59">
        <w:trPr>
          <w:trHeight w:val="552"/>
        </w:trPr>
        <w:tc>
          <w:tcPr>
            <w:tcW w:w="2139" w:type="dxa"/>
            <w:vMerge/>
            <w:tcBorders>
              <w:top w:val="single" w:sz="6" w:space="0" w:color="FFFFFF"/>
              <w:right w:val="single" w:sz="6" w:space="0" w:color="FFFFFF"/>
            </w:tcBorders>
            <w:shd w:val="clear" w:color="auto" w:fill="4BACC6"/>
            <w:vAlign w:val="center"/>
          </w:tcPr>
          <w:p w:rsidR="00F36A59" w:rsidRPr="00F36A59" w:rsidRDefault="00F36A59" w:rsidP="00F36A59">
            <w:pPr>
              <w:spacing w:line="240" w:lineRule="auto"/>
              <w:rPr>
                <w:rFonts w:asciiTheme="minorHAnsi" w:hAnsiTheme="minorHAnsi" w:cs="Arial"/>
                <w:b/>
                <w:color w:val="FFFFFF"/>
                <w:sz w:val="20"/>
                <w:lang w:eastAsia="hr-HR"/>
              </w:rPr>
            </w:pPr>
          </w:p>
        </w:tc>
        <w:tc>
          <w:tcPr>
            <w:tcW w:w="1417" w:type="dxa"/>
            <w:tcBorders>
              <w:top w:val="single" w:sz="4" w:space="0" w:color="FFFFFF"/>
              <w:left w:val="single" w:sz="6" w:space="0" w:color="FFFFFF"/>
              <w:right w:val="single" w:sz="6" w:space="0" w:color="FFFFFF"/>
            </w:tcBorders>
            <w:shd w:val="clear" w:color="auto" w:fill="4BACC6"/>
            <w:vAlign w:val="center"/>
          </w:tcPr>
          <w:p w:rsidR="00F36A59" w:rsidRPr="00F36A59" w:rsidRDefault="00F36A59" w:rsidP="00F36A59">
            <w:pPr>
              <w:spacing w:line="240" w:lineRule="auto"/>
              <w:jc w:val="center"/>
              <w:rPr>
                <w:rFonts w:asciiTheme="minorHAnsi" w:hAnsiTheme="minorHAnsi" w:cs="Arial"/>
                <w:b/>
                <w:color w:val="FFFFFF"/>
                <w:sz w:val="20"/>
              </w:rPr>
            </w:pPr>
            <w:r w:rsidRPr="00F36A59">
              <w:rPr>
                <w:rFonts w:asciiTheme="minorHAnsi" w:hAnsiTheme="minorHAnsi" w:cs="Arial"/>
                <w:b/>
                <w:color w:val="FFFFFF"/>
                <w:sz w:val="20"/>
              </w:rPr>
              <w:t>Promet</w:t>
            </w:r>
          </w:p>
        </w:tc>
        <w:tc>
          <w:tcPr>
            <w:tcW w:w="1418" w:type="dxa"/>
            <w:tcBorders>
              <w:top w:val="single" w:sz="4" w:space="0" w:color="FFFFFF"/>
              <w:left w:val="single" w:sz="6" w:space="0" w:color="FFFFFF"/>
              <w:right w:val="single" w:sz="6" w:space="0" w:color="FFFFFF"/>
            </w:tcBorders>
            <w:shd w:val="clear" w:color="auto" w:fill="4BACC6"/>
            <w:vAlign w:val="center"/>
          </w:tcPr>
          <w:p w:rsidR="00F36A59" w:rsidRPr="00F36A59" w:rsidRDefault="00F36A59" w:rsidP="00F36A59">
            <w:pPr>
              <w:spacing w:line="240" w:lineRule="auto"/>
              <w:jc w:val="center"/>
              <w:rPr>
                <w:rFonts w:asciiTheme="minorHAnsi" w:hAnsiTheme="minorHAnsi" w:cs="Arial"/>
                <w:b/>
                <w:color w:val="FFFFFF"/>
                <w:sz w:val="20"/>
              </w:rPr>
            </w:pPr>
            <w:r w:rsidRPr="00F36A59">
              <w:rPr>
                <w:rFonts w:asciiTheme="minorHAnsi" w:hAnsiTheme="minorHAnsi" w:cs="Arial"/>
                <w:b/>
                <w:color w:val="FFFFFF"/>
                <w:sz w:val="20"/>
              </w:rPr>
              <w:t>Javna rasvjeta</w:t>
            </w:r>
          </w:p>
        </w:tc>
        <w:tc>
          <w:tcPr>
            <w:tcW w:w="1417" w:type="dxa"/>
            <w:tcBorders>
              <w:top w:val="single" w:sz="6" w:space="0" w:color="FFFFFF"/>
              <w:left w:val="single" w:sz="6" w:space="0" w:color="FFFFFF"/>
              <w:right w:val="single" w:sz="6" w:space="0" w:color="FFFFFF"/>
            </w:tcBorders>
            <w:shd w:val="clear" w:color="auto" w:fill="4BACC6"/>
            <w:noWrap/>
            <w:vAlign w:val="center"/>
          </w:tcPr>
          <w:p w:rsidR="00F36A59" w:rsidRPr="00F36A59" w:rsidRDefault="00F36A59" w:rsidP="00F36A59">
            <w:pPr>
              <w:spacing w:line="240" w:lineRule="auto"/>
              <w:jc w:val="center"/>
              <w:rPr>
                <w:rFonts w:asciiTheme="minorHAnsi" w:hAnsiTheme="minorHAnsi" w:cs="Arial"/>
                <w:b/>
                <w:color w:val="FFFFFF"/>
                <w:sz w:val="20"/>
              </w:rPr>
            </w:pPr>
            <w:r w:rsidRPr="00F36A59">
              <w:rPr>
                <w:rFonts w:asciiTheme="minorHAnsi" w:hAnsiTheme="minorHAnsi" w:cs="Arial"/>
                <w:b/>
                <w:color w:val="FFFFFF"/>
                <w:sz w:val="20"/>
              </w:rPr>
              <w:t>Zgradarstvo</w:t>
            </w:r>
          </w:p>
        </w:tc>
        <w:tc>
          <w:tcPr>
            <w:tcW w:w="1559" w:type="dxa"/>
            <w:tcBorders>
              <w:top w:val="single" w:sz="6" w:space="0" w:color="FFFFFF"/>
              <w:left w:val="single" w:sz="6" w:space="0" w:color="FFFFFF"/>
              <w:right w:val="single" w:sz="4" w:space="0" w:color="FFFFFF"/>
            </w:tcBorders>
            <w:shd w:val="clear" w:color="auto" w:fill="4BACC6"/>
            <w:noWrap/>
            <w:vAlign w:val="center"/>
          </w:tcPr>
          <w:p w:rsidR="00F36A59" w:rsidRPr="00F36A59" w:rsidRDefault="00F36A59" w:rsidP="00F36A59">
            <w:pPr>
              <w:spacing w:line="240" w:lineRule="auto"/>
              <w:jc w:val="center"/>
              <w:rPr>
                <w:rFonts w:asciiTheme="minorHAnsi" w:hAnsiTheme="minorHAnsi" w:cs="Arial"/>
                <w:b/>
                <w:color w:val="FFFFFF"/>
                <w:sz w:val="20"/>
              </w:rPr>
            </w:pPr>
            <w:r w:rsidRPr="00F36A59">
              <w:rPr>
                <w:rFonts w:asciiTheme="minorHAnsi" w:hAnsiTheme="minorHAnsi" w:cs="Arial"/>
                <w:b/>
                <w:color w:val="FFFFFF"/>
                <w:sz w:val="20"/>
              </w:rPr>
              <w:t>Ukupno po energentima</w:t>
            </w:r>
          </w:p>
        </w:tc>
        <w:tc>
          <w:tcPr>
            <w:tcW w:w="1418" w:type="dxa"/>
            <w:tcBorders>
              <w:top w:val="single" w:sz="6" w:space="0" w:color="FFFFFF"/>
              <w:left w:val="single" w:sz="4" w:space="0" w:color="FFFFFF"/>
            </w:tcBorders>
            <w:shd w:val="clear" w:color="auto" w:fill="4BACC6"/>
            <w:vAlign w:val="center"/>
          </w:tcPr>
          <w:p w:rsidR="00F36A59" w:rsidRPr="00F36A59" w:rsidRDefault="00F36A59" w:rsidP="00F36A59">
            <w:pPr>
              <w:spacing w:line="240" w:lineRule="auto"/>
              <w:jc w:val="center"/>
              <w:rPr>
                <w:rFonts w:asciiTheme="minorHAnsi" w:hAnsiTheme="minorHAnsi" w:cs="Arial"/>
                <w:b/>
                <w:color w:val="FFFFFF"/>
                <w:sz w:val="20"/>
              </w:rPr>
            </w:pPr>
            <w:r w:rsidRPr="00F36A59">
              <w:rPr>
                <w:rFonts w:asciiTheme="minorHAnsi" w:hAnsiTheme="minorHAnsi" w:cs="Arial"/>
                <w:b/>
                <w:color w:val="FFFFFF"/>
                <w:sz w:val="20"/>
              </w:rPr>
              <w:t>Udio po energentima</w:t>
            </w:r>
          </w:p>
        </w:tc>
      </w:tr>
      <w:tr w:rsidR="00F36A59" w:rsidRPr="00F36A59" w:rsidTr="00F36A59">
        <w:trPr>
          <w:trHeight w:val="255"/>
        </w:trPr>
        <w:tc>
          <w:tcPr>
            <w:tcW w:w="2139" w:type="dxa"/>
            <w:noWrap/>
            <w:vAlign w:val="center"/>
          </w:tcPr>
          <w:p w:rsidR="00F36A59" w:rsidRPr="00F36A59" w:rsidRDefault="00F36A59" w:rsidP="00F36A59">
            <w:pPr>
              <w:spacing w:line="240" w:lineRule="auto"/>
              <w:rPr>
                <w:rFonts w:asciiTheme="minorHAnsi" w:hAnsiTheme="minorHAnsi" w:cs="Arial"/>
                <w:color w:val="000000"/>
                <w:sz w:val="20"/>
              </w:rPr>
            </w:pPr>
            <w:r w:rsidRPr="00F36A59">
              <w:rPr>
                <w:rFonts w:asciiTheme="minorHAnsi" w:hAnsiTheme="minorHAnsi" w:cs="Arial"/>
                <w:color w:val="000000"/>
                <w:sz w:val="20"/>
              </w:rPr>
              <w:t>Dizel</w:t>
            </w:r>
          </w:p>
        </w:tc>
        <w:tc>
          <w:tcPr>
            <w:tcW w:w="1417" w:type="dxa"/>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2.061.493,1</w:t>
            </w:r>
          </w:p>
        </w:tc>
        <w:tc>
          <w:tcPr>
            <w:tcW w:w="1418" w:type="dxa"/>
            <w:noWrap/>
            <w:vAlign w:val="bottom"/>
          </w:tcPr>
          <w:p w:rsidR="00F36A59" w:rsidRPr="00F36A59" w:rsidRDefault="00F36A59" w:rsidP="00F36A59">
            <w:pPr>
              <w:spacing w:line="240" w:lineRule="auto"/>
              <w:rPr>
                <w:rFonts w:asciiTheme="minorHAnsi" w:hAnsiTheme="minorHAnsi" w:cs="Arial"/>
                <w:color w:val="000000"/>
                <w:sz w:val="20"/>
              </w:rPr>
            </w:pPr>
          </w:p>
        </w:tc>
        <w:tc>
          <w:tcPr>
            <w:tcW w:w="1417" w:type="dxa"/>
            <w:noWrap/>
            <w:vAlign w:val="bottom"/>
          </w:tcPr>
          <w:p w:rsidR="00F36A59" w:rsidRPr="00F36A59" w:rsidRDefault="00F36A59" w:rsidP="00F36A59">
            <w:pPr>
              <w:spacing w:line="240" w:lineRule="auto"/>
              <w:rPr>
                <w:rFonts w:asciiTheme="minorHAnsi" w:hAnsiTheme="minorHAnsi" w:cs="Arial"/>
                <w:color w:val="000000"/>
                <w:sz w:val="20"/>
              </w:rPr>
            </w:pPr>
          </w:p>
        </w:tc>
        <w:tc>
          <w:tcPr>
            <w:tcW w:w="1559" w:type="dxa"/>
            <w:tcBorders>
              <w:right w:val="single" w:sz="4" w:space="0" w:color="4BACC6"/>
            </w:tcBorders>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2.061.493,1</w:t>
            </w:r>
          </w:p>
        </w:tc>
        <w:tc>
          <w:tcPr>
            <w:tcW w:w="1418" w:type="dxa"/>
            <w:tcBorders>
              <w:left w:val="single" w:sz="4" w:space="0" w:color="4BACC6"/>
            </w:tcBorders>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18,23</w:t>
            </w:r>
          </w:p>
        </w:tc>
      </w:tr>
      <w:tr w:rsidR="00F36A59" w:rsidRPr="00F36A59" w:rsidTr="00F36A59">
        <w:trPr>
          <w:trHeight w:val="255"/>
        </w:trPr>
        <w:tc>
          <w:tcPr>
            <w:tcW w:w="2139" w:type="dxa"/>
            <w:noWrap/>
            <w:vAlign w:val="center"/>
          </w:tcPr>
          <w:p w:rsidR="00F36A59" w:rsidRPr="00F36A59" w:rsidRDefault="00F36A59" w:rsidP="00F36A59">
            <w:pPr>
              <w:spacing w:line="240" w:lineRule="auto"/>
              <w:rPr>
                <w:rFonts w:asciiTheme="minorHAnsi" w:hAnsiTheme="minorHAnsi" w:cs="Arial"/>
                <w:color w:val="000000"/>
                <w:sz w:val="20"/>
              </w:rPr>
            </w:pPr>
            <w:r w:rsidRPr="00F36A59">
              <w:rPr>
                <w:rFonts w:asciiTheme="minorHAnsi" w:hAnsiTheme="minorHAnsi" w:cs="Arial"/>
                <w:color w:val="000000"/>
                <w:sz w:val="20"/>
              </w:rPr>
              <w:t>Loživo ulje</w:t>
            </w:r>
          </w:p>
        </w:tc>
        <w:tc>
          <w:tcPr>
            <w:tcW w:w="1417" w:type="dxa"/>
            <w:noWrap/>
            <w:vAlign w:val="bottom"/>
          </w:tcPr>
          <w:p w:rsidR="00F36A59" w:rsidRPr="00F36A59" w:rsidRDefault="00F36A59" w:rsidP="00F36A59">
            <w:pPr>
              <w:spacing w:line="240" w:lineRule="auto"/>
              <w:rPr>
                <w:rFonts w:asciiTheme="minorHAnsi" w:hAnsiTheme="minorHAnsi" w:cs="Arial"/>
                <w:color w:val="000000"/>
                <w:sz w:val="20"/>
              </w:rPr>
            </w:pPr>
          </w:p>
        </w:tc>
        <w:tc>
          <w:tcPr>
            <w:tcW w:w="1418" w:type="dxa"/>
            <w:noWrap/>
            <w:vAlign w:val="bottom"/>
          </w:tcPr>
          <w:p w:rsidR="00F36A59" w:rsidRPr="00F36A59" w:rsidRDefault="00F36A59" w:rsidP="00F36A59">
            <w:pPr>
              <w:spacing w:line="240" w:lineRule="auto"/>
              <w:rPr>
                <w:rFonts w:asciiTheme="minorHAnsi" w:hAnsiTheme="minorHAnsi" w:cs="Arial"/>
                <w:color w:val="000000"/>
                <w:sz w:val="20"/>
              </w:rPr>
            </w:pPr>
          </w:p>
        </w:tc>
        <w:tc>
          <w:tcPr>
            <w:tcW w:w="1417" w:type="dxa"/>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362.668,0</w:t>
            </w:r>
          </w:p>
        </w:tc>
        <w:tc>
          <w:tcPr>
            <w:tcW w:w="1559" w:type="dxa"/>
            <w:tcBorders>
              <w:right w:val="single" w:sz="4" w:space="0" w:color="4BACC6"/>
            </w:tcBorders>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362.668,0</w:t>
            </w:r>
          </w:p>
        </w:tc>
        <w:tc>
          <w:tcPr>
            <w:tcW w:w="1418" w:type="dxa"/>
            <w:tcBorders>
              <w:left w:val="single" w:sz="4" w:space="0" w:color="4BACC6"/>
            </w:tcBorders>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3,21</w:t>
            </w:r>
          </w:p>
        </w:tc>
      </w:tr>
      <w:tr w:rsidR="00F36A59" w:rsidRPr="00F36A59" w:rsidTr="00F36A59">
        <w:trPr>
          <w:trHeight w:val="255"/>
        </w:trPr>
        <w:tc>
          <w:tcPr>
            <w:tcW w:w="2139" w:type="dxa"/>
            <w:noWrap/>
            <w:vAlign w:val="center"/>
          </w:tcPr>
          <w:p w:rsidR="00F36A59" w:rsidRPr="00F36A59" w:rsidRDefault="00F36A59" w:rsidP="00F36A59">
            <w:pPr>
              <w:spacing w:line="240" w:lineRule="auto"/>
              <w:rPr>
                <w:rFonts w:asciiTheme="minorHAnsi" w:hAnsiTheme="minorHAnsi" w:cs="Arial"/>
                <w:color w:val="000000"/>
                <w:sz w:val="20"/>
              </w:rPr>
            </w:pPr>
            <w:r w:rsidRPr="00F36A59">
              <w:rPr>
                <w:rFonts w:asciiTheme="minorHAnsi" w:hAnsiTheme="minorHAnsi" w:cs="Arial"/>
                <w:color w:val="000000"/>
                <w:sz w:val="20"/>
              </w:rPr>
              <w:t>Motorni benzin</w:t>
            </w:r>
          </w:p>
        </w:tc>
        <w:tc>
          <w:tcPr>
            <w:tcW w:w="1417" w:type="dxa"/>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1.686.583,7</w:t>
            </w:r>
          </w:p>
        </w:tc>
        <w:tc>
          <w:tcPr>
            <w:tcW w:w="1418" w:type="dxa"/>
            <w:noWrap/>
            <w:vAlign w:val="bottom"/>
          </w:tcPr>
          <w:p w:rsidR="00F36A59" w:rsidRPr="00F36A59" w:rsidRDefault="00F36A59" w:rsidP="00F36A59">
            <w:pPr>
              <w:spacing w:line="240" w:lineRule="auto"/>
              <w:rPr>
                <w:rFonts w:asciiTheme="minorHAnsi" w:hAnsiTheme="minorHAnsi" w:cs="Arial"/>
                <w:color w:val="000000"/>
                <w:sz w:val="20"/>
              </w:rPr>
            </w:pPr>
          </w:p>
        </w:tc>
        <w:tc>
          <w:tcPr>
            <w:tcW w:w="1417" w:type="dxa"/>
            <w:noWrap/>
            <w:vAlign w:val="bottom"/>
          </w:tcPr>
          <w:p w:rsidR="00F36A59" w:rsidRPr="00F36A59" w:rsidRDefault="00F36A59" w:rsidP="00F36A59">
            <w:pPr>
              <w:spacing w:line="240" w:lineRule="auto"/>
              <w:rPr>
                <w:rFonts w:asciiTheme="minorHAnsi" w:hAnsiTheme="minorHAnsi" w:cs="Arial"/>
                <w:color w:val="000000"/>
                <w:sz w:val="20"/>
              </w:rPr>
            </w:pPr>
          </w:p>
        </w:tc>
        <w:tc>
          <w:tcPr>
            <w:tcW w:w="1559" w:type="dxa"/>
            <w:tcBorders>
              <w:right w:val="single" w:sz="4" w:space="0" w:color="4BACC6"/>
            </w:tcBorders>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1.686.583,7</w:t>
            </w:r>
          </w:p>
        </w:tc>
        <w:tc>
          <w:tcPr>
            <w:tcW w:w="1418" w:type="dxa"/>
            <w:tcBorders>
              <w:left w:val="single" w:sz="4" w:space="0" w:color="4BACC6"/>
            </w:tcBorders>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14,91</w:t>
            </w:r>
          </w:p>
        </w:tc>
      </w:tr>
      <w:tr w:rsidR="00F36A59" w:rsidRPr="00F36A59" w:rsidTr="00F36A59">
        <w:trPr>
          <w:trHeight w:val="255"/>
        </w:trPr>
        <w:tc>
          <w:tcPr>
            <w:tcW w:w="2139" w:type="dxa"/>
            <w:noWrap/>
            <w:vAlign w:val="center"/>
          </w:tcPr>
          <w:p w:rsidR="00F36A59" w:rsidRPr="00F36A59" w:rsidRDefault="00F36A59" w:rsidP="00F36A59">
            <w:pPr>
              <w:spacing w:line="240" w:lineRule="auto"/>
              <w:rPr>
                <w:rFonts w:asciiTheme="minorHAnsi" w:hAnsiTheme="minorHAnsi" w:cs="Arial"/>
                <w:color w:val="000000"/>
                <w:sz w:val="20"/>
              </w:rPr>
            </w:pPr>
            <w:r w:rsidRPr="00F36A59">
              <w:rPr>
                <w:rFonts w:asciiTheme="minorHAnsi" w:hAnsiTheme="minorHAnsi" w:cs="Arial"/>
                <w:color w:val="000000"/>
                <w:sz w:val="20"/>
              </w:rPr>
              <w:t>Biodizel</w:t>
            </w:r>
          </w:p>
        </w:tc>
        <w:tc>
          <w:tcPr>
            <w:tcW w:w="1417" w:type="dxa"/>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2.739,4</w:t>
            </w:r>
          </w:p>
        </w:tc>
        <w:tc>
          <w:tcPr>
            <w:tcW w:w="1418" w:type="dxa"/>
            <w:noWrap/>
            <w:vAlign w:val="bottom"/>
          </w:tcPr>
          <w:p w:rsidR="00F36A59" w:rsidRPr="00F36A59" w:rsidRDefault="00F36A59" w:rsidP="00F36A59">
            <w:pPr>
              <w:spacing w:line="240" w:lineRule="auto"/>
              <w:rPr>
                <w:rFonts w:asciiTheme="minorHAnsi" w:hAnsiTheme="minorHAnsi" w:cs="Arial"/>
                <w:color w:val="000000"/>
                <w:sz w:val="20"/>
              </w:rPr>
            </w:pPr>
          </w:p>
        </w:tc>
        <w:tc>
          <w:tcPr>
            <w:tcW w:w="1417" w:type="dxa"/>
            <w:noWrap/>
            <w:vAlign w:val="bottom"/>
          </w:tcPr>
          <w:p w:rsidR="00F36A59" w:rsidRPr="00F36A59" w:rsidRDefault="00F36A59" w:rsidP="00F36A59">
            <w:pPr>
              <w:spacing w:line="240" w:lineRule="auto"/>
              <w:rPr>
                <w:rFonts w:asciiTheme="minorHAnsi" w:hAnsiTheme="minorHAnsi" w:cs="Arial"/>
                <w:color w:val="000000"/>
                <w:sz w:val="20"/>
              </w:rPr>
            </w:pPr>
          </w:p>
        </w:tc>
        <w:tc>
          <w:tcPr>
            <w:tcW w:w="1559" w:type="dxa"/>
            <w:tcBorders>
              <w:right w:val="single" w:sz="4" w:space="0" w:color="4BACC6"/>
            </w:tcBorders>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2.739,4</w:t>
            </w:r>
          </w:p>
        </w:tc>
        <w:tc>
          <w:tcPr>
            <w:tcW w:w="1418" w:type="dxa"/>
            <w:tcBorders>
              <w:left w:val="single" w:sz="4" w:space="0" w:color="4BACC6"/>
            </w:tcBorders>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0,02</w:t>
            </w:r>
          </w:p>
        </w:tc>
      </w:tr>
      <w:tr w:rsidR="00F36A59" w:rsidRPr="00F36A59" w:rsidTr="00F36A59">
        <w:trPr>
          <w:trHeight w:val="255"/>
        </w:trPr>
        <w:tc>
          <w:tcPr>
            <w:tcW w:w="2139" w:type="dxa"/>
            <w:noWrap/>
            <w:vAlign w:val="center"/>
          </w:tcPr>
          <w:p w:rsidR="00F36A59" w:rsidRPr="00F36A59" w:rsidRDefault="00F36A59" w:rsidP="00F36A59">
            <w:pPr>
              <w:spacing w:line="240" w:lineRule="auto"/>
              <w:rPr>
                <w:rFonts w:asciiTheme="minorHAnsi" w:hAnsiTheme="minorHAnsi" w:cs="Arial"/>
                <w:color w:val="000000"/>
                <w:sz w:val="20"/>
              </w:rPr>
            </w:pPr>
            <w:r w:rsidRPr="00F36A59">
              <w:rPr>
                <w:rFonts w:asciiTheme="minorHAnsi" w:hAnsiTheme="minorHAnsi" w:cs="Arial"/>
                <w:color w:val="000000"/>
                <w:sz w:val="20"/>
              </w:rPr>
              <w:t>UNP</w:t>
            </w:r>
          </w:p>
        </w:tc>
        <w:tc>
          <w:tcPr>
            <w:tcW w:w="1417" w:type="dxa"/>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29.738,5</w:t>
            </w:r>
          </w:p>
        </w:tc>
        <w:tc>
          <w:tcPr>
            <w:tcW w:w="1418" w:type="dxa"/>
            <w:noWrap/>
            <w:vAlign w:val="bottom"/>
          </w:tcPr>
          <w:p w:rsidR="00F36A59" w:rsidRPr="00F36A59" w:rsidRDefault="00F36A59" w:rsidP="00F36A59">
            <w:pPr>
              <w:spacing w:line="240" w:lineRule="auto"/>
              <w:rPr>
                <w:rFonts w:asciiTheme="minorHAnsi" w:hAnsiTheme="minorHAnsi" w:cs="Arial"/>
                <w:color w:val="000000"/>
                <w:sz w:val="20"/>
              </w:rPr>
            </w:pPr>
          </w:p>
        </w:tc>
        <w:tc>
          <w:tcPr>
            <w:tcW w:w="1417" w:type="dxa"/>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257,9</w:t>
            </w:r>
          </w:p>
        </w:tc>
        <w:tc>
          <w:tcPr>
            <w:tcW w:w="1559" w:type="dxa"/>
            <w:tcBorders>
              <w:right w:val="single" w:sz="4" w:space="0" w:color="4BACC6"/>
            </w:tcBorders>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29.996,4</w:t>
            </w:r>
          </w:p>
        </w:tc>
        <w:tc>
          <w:tcPr>
            <w:tcW w:w="1418" w:type="dxa"/>
            <w:tcBorders>
              <w:left w:val="single" w:sz="4" w:space="0" w:color="4BACC6"/>
            </w:tcBorders>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0,27</w:t>
            </w:r>
          </w:p>
        </w:tc>
      </w:tr>
      <w:tr w:rsidR="00F36A59" w:rsidRPr="00F36A59" w:rsidTr="00F36A59">
        <w:trPr>
          <w:trHeight w:val="255"/>
        </w:trPr>
        <w:tc>
          <w:tcPr>
            <w:tcW w:w="2139" w:type="dxa"/>
            <w:noWrap/>
            <w:vAlign w:val="center"/>
          </w:tcPr>
          <w:p w:rsidR="00F36A59" w:rsidRPr="00F36A59" w:rsidRDefault="00F36A59" w:rsidP="00F36A59">
            <w:pPr>
              <w:spacing w:line="240" w:lineRule="auto"/>
              <w:rPr>
                <w:rFonts w:asciiTheme="minorHAnsi" w:hAnsiTheme="minorHAnsi" w:cs="Arial"/>
                <w:color w:val="000000"/>
                <w:sz w:val="20"/>
              </w:rPr>
            </w:pPr>
            <w:r w:rsidRPr="00F36A59">
              <w:rPr>
                <w:rFonts w:asciiTheme="minorHAnsi" w:hAnsiTheme="minorHAnsi" w:cs="Arial"/>
                <w:color w:val="000000"/>
                <w:sz w:val="20"/>
              </w:rPr>
              <w:t>Prirodni plin</w:t>
            </w:r>
          </w:p>
        </w:tc>
        <w:tc>
          <w:tcPr>
            <w:tcW w:w="1417" w:type="dxa"/>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313,8</w:t>
            </w:r>
          </w:p>
        </w:tc>
        <w:tc>
          <w:tcPr>
            <w:tcW w:w="1418" w:type="dxa"/>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363,9</w:t>
            </w:r>
          </w:p>
        </w:tc>
        <w:tc>
          <w:tcPr>
            <w:tcW w:w="1417" w:type="dxa"/>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3.156.357,9</w:t>
            </w:r>
          </w:p>
        </w:tc>
        <w:tc>
          <w:tcPr>
            <w:tcW w:w="1559" w:type="dxa"/>
            <w:tcBorders>
              <w:right w:val="single" w:sz="4" w:space="0" w:color="4BACC6"/>
            </w:tcBorders>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3.157.035,6</w:t>
            </w:r>
          </w:p>
        </w:tc>
        <w:tc>
          <w:tcPr>
            <w:tcW w:w="1418" w:type="dxa"/>
            <w:tcBorders>
              <w:left w:val="single" w:sz="4" w:space="0" w:color="4BACC6"/>
            </w:tcBorders>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27,92</w:t>
            </w:r>
          </w:p>
        </w:tc>
      </w:tr>
      <w:tr w:rsidR="00F36A59" w:rsidRPr="00F36A59" w:rsidTr="00F36A59">
        <w:trPr>
          <w:trHeight w:val="255"/>
        </w:trPr>
        <w:tc>
          <w:tcPr>
            <w:tcW w:w="2139" w:type="dxa"/>
            <w:noWrap/>
            <w:vAlign w:val="center"/>
          </w:tcPr>
          <w:p w:rsidR="00F36A59" w:rsidRPr="00F36A59" w:rsidRDefault="00F36A59" w:rsidP="00F36A59">
            <w:pPr>
              <w:spacing w:line="240" w:lineRule="auto"/>
              <w:rPr>
                <w:rFonts w:asciiTheme="minorHAnsi" w:hAnsiTheme="minorHAnsi" w:cs="Arial"/>
                <w:color w:val="000000"/>
                <w:sz w:val="20"/>
              </w:rPr>
            </w:pPr>
            <w:r w:rsidRPr="00F36A59">
              <w:rPr>
                <w:rFonts w:asciiTheme="minorHAnsi" w:hAnsiTheme="minorHAnsi" w:cs="Arial"/>
                <w:color w:val="000000"/>
                <w:sz w:val="20"/>
              </w:rPr>
              <w:t>Ogrjevno drvo</w:t>
            </w:r>
          </w:p>
        </w:tc>
        <w:tc>
          <w:tcPr>
            <w:tcW w:w="1417" w:type="dxa"/>
            <w:noWrap/>
            <w:vAlign w:val="bottom"/>
          </w:tcPr>
          <w:p w:rsidR="00F36A59" w:rsidRPr="00F36A59" w:rsidRDefault="00F36A59" w:rsidP="00F36A59">
            <w:pPr>
              <w:spacing w:line="240" w:lineRule="auto"/>
              <w:rPr>
                <w:rFonts w:asciiTheme="minorHAnsi" w:hAnsiTheme="minorHAnsi" w:cs="Arial"/>
                <w:color w:val="000000"/>
                <w:sz w:val="20"/>
              </w:rPr>
            </w:pPr>
          </w:p>
        </w:tc>
        <w:tc>
          <w:tcPr>
            <w:tcW w:w="1418" w:type="dxa"/>
            <w:noWrap/>
            <w:vAlign w:val="bottom"/>
          </w:tcPr>
          <w:p w:rsidR="00F36A59" w:rsidRPr="00F36A59" w:rsidRDefault="00F36A59" w:rsidP="00F36A59">
            <w:pPr>
              <w:spacing w:line="240" w:lineRule="auto"/>
              <w:rPr>
                <w:rFonts w:asciiTheme="minorHAnsi" w:hAnsiTheme="minorHAnsi" w:cs="Arial"/>
                <w:color w:val="000000"/>
                <w:sz w:val="20"/>
              </w:rPr>
            </w:pPr>
          </w:p>
        </w:tc>
        <w:tc>
          <w:tcPr>
            <w:tcW w:w="1417" w:type="dxa"/>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275.269,9</w:t>
            </w:r>
          </w:p>
        </w:tc>
        <w:tc>
          <w:tcPr>
            <w:tcW w:w="1559" w:type="dxa"/>
            <w:tcBorders>
              <w:right w:val="single" w:sz="4" w:space="0" w:color="4BACC6"/>
            </w:tcBorders>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275.269,9</w:t>
            </w:r>
          </w:p>
        </w:tc>
        <w:tc>
          <w:tcPr>
            <w:tcW w:w="1418" w:type="dxa"/>
            <w:tcBorders>
              <w:left w:val="single" w:sz="4" w:space="0" w:color="4BACC6"/>
            </w:tcBorders>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2,43</w:t>
            </w:r>
          </w:p>
        </w:tc>
      </w:tr>
      <w:tr w:rsidR="00F36A59" w:rsidRPr="00F36A59" w:rsidTr="00F36A59">
        <w:trPr>
          <w:trHeight w:val="255"/>
        </w:trPr>
        <w:tc>
          <w:tcPr>
            <w:tcW w:w="2139" w:type="dxa"/>
            <w:noWrap/>
            <w:vAlign w:val="center"/>
          </w:tcPr>
          <w:p w:rsidR="00F36A59" w:rsidRPr="00F36A59" w:rsidRDefault="00F36A59" w:rsidP="00F36A59">
            <w:pPr>
              <w:spacing w:line="240" w:lineRule="auto"/>
              <w:rPr>
                <w:rFonts w:asciiTheme="minorHAnsi" w:hAnsiTheme="minorHAnsi" w:cs="Arial"/>
                <w:color w:val="000000"/>
                <w:sz w:val="20"/>
              </w:rPr>
            </w:pPr>
            <w:r w:rsidRPr="00F36A59">
              <w:rPr>
                <w:rFonts w:asciiTheme="minorHAnsi" w:hAnsiTheme="minorHAnsi" w:cs="Arial"/>
                <w:color w:val="000000"/>
                <w:sz w:val="20"/>
              </w:rPr>
              <w:t>Električna energija</w:t>
            </w:r>
          </w:p>
        </w:tc>
        <w:tc>
          <w:tcPr>
            <w:tcW w:w="1417" w:type="dxa"/>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61,5</w:t>
            </w:r>
          </w:p>
        </w:tc>
        <w:tc>
          <w:tcPr>
            <w:tcW w:w="1418" w:type="dxa"/>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90.100,0</w:t>
            </w:r>
          </w:p>
        </w:tc>
        <w:tc>
          <w:tcPr>
            <w:tcW w:w="1417" w:type="dxa"/>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1.732.630,8</w:t>
            </w:r>
          </w:p>
        </w:tc>
        <w:tc>
          <w:tcPr>
            <w:tcW w:w="1559" w:type="dxa"/>
            <w:tcBorders>
              <w:right w:val="single" w:sz="4" w:space="0" w:color="4BACC6"/>
            </w:tcBorders>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1.822.792,2</w:t>
            </w:r>
          </w:p>
        </w:tc>
        <w:tc>
          <w:tcPr>
            <w:tcW w:w="1418" w:type="dxa"/>
            <w:tcBorders>
              <w:left w:val="single" w:sz="4" w:space="0" w:color="4BACC6"/>
            </w:tcBorders>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16,12</w:t>
            </w:r>
          </w:p>
        </w:tc>
      </w:tr>
      <w:tr w:rsidR="00F36A59" w:rsidRPr="00F36A59" w:rsidTr="00F36A59">
        <w:trPr>
          <w:trHeight w:val="255"/>
        </w:trPr>
        <w:tc>
          <w:tcPr>
            <w:tcW w:w="2139" w:type="dxa"/>
            <w:noWrap/>
            <w:vAlign w:val="center"/>
          </w:tcPr>
          <w:p w:rsidR="00F36A59" w:rsidRPr="00F36A59" w:rsidRDefault="00F36A59" w:rsidP="00F36A59">
            <w:pPr>
              <w:spacing w:line="240" w:lineRule="auto"/>
              <w:rPr>
                <w:rFonts w:asciiTheme="minorHAnsi" w:hAnsiTheme="minorHAnsi" w:cs="Arial"/>
                <w:color w:val="000000"/>
                <w:sz w:val="20"/>
              </w:rPr>
            </w:pPr>
            <w:r w:rsidRPr="00F36A59">
              <w:rPr>
                <w:rFonts w:asciiTheme="minorHAnsi" w:hAnsiTheme="minorHAnsi" w:cs="Arial"/>
                <w:color w:val="000000"/>
                <w:sz w:val="20"/>
              </w:rPr>
              <w:t>Toplina</w:t>
            </w:r>
          </w:p>
        </w:tc>
        <w:tc>
          <w:tcPr>
            <w:tcW w:w="1417" w:type="dxa"/>
            <w:noWrap/>
            <w:vAlign w:val="bottom"/>
          </w:tcPr>
          <w:p w:rsidR="00F36A59" w:rsidRPr="00F36A59" w:rsidRDefault="00F36A59" w:rsidP="00F36A59">
            <w:pPr>
              <w:spacing w:line="240" w:lineRule="auto"/>
              <w:rPr>
                <w:rFonts w:asciiTheme="minorHAnsi" w:hAnsiTheme="minorHAnsi" w:cs="Arial"/>
                <w:color w:val="000000"/>
                <w:sz w:val="20"/>
              </w:rPr>
            </w:pPr>
          </w:p>
        </w:tc>
        <w:tc>
          <w:tcPr>
            <w:tcW w:w="1418" w:type="dxa"/>
            <w:noWrap/>
            <w:vAlign w:val="bottom"/>
          </w:tcPr>
          <w:p w:rsidR="00F36A59" w:rsidRPr="00F36A59" w:rsidRDefault="00F36A59" w:rsidP="00F36A59">
            <w:pPr>
              <w:spacing w:line="240" w:lineRule="auto"/>
              <w:rPr>
                <w:rFonts w:asciiTheme="minorHAnsi" w:hAnsiTheme="minorHAnsi" w:cs="Arial"/>
                <w:color w:val="000000"/>
                <w:sz w:val="20"/>
              </w:rPr>
            </w:pPr>
          </w:p>
        </w:tc>
        <w:tc>
          <w:tcPr>
            <w:tcW w:w="1417" w:type="dxa"/>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1.909.679,6</w:t>
            </w:r>
          </w:p>
        </w:tc>
        <w:tc>
          <w:tcPr>
            <w:tcW w:w="1559" w:type="dxa"/>
            <w:tcBorders>
              <w:right w:val="single" w:sz="4" w:space="0" w:color="4BACC6"/>
            </w:tcBorders>
            <w:noWrap/>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1.909.679,6</w:t>
            </w:r>
          </w:p>
        </w:tc>
        <w:tc>
          <w:tcPr>
            <w:tcW w:w="1418" w:type="dxa"/>
            <w:tcBorders>
              <w:left w:val="single" w:sz="4" w:space="0" w:color="4BACC6"/>
            </w:tcBorders>
            <w:vAlign w:val="bottom"/>
          </w:tcPr>
          <w:p w:rsidR="00F36A59" w:rsidRPr="00F36A59" w:rsidRDefault="00F36A59" w:rsidP="00F36A59">
            <w:pPr>
              <w:spacing w:line="240" w:lineRule="auto"/>
              <w:jc w:val="right"/>
              <w:rPr>
                <w:rFonts w:asciiTheme="minorHAnsi" w:hAnsiTheme="minorHAnsi" w:cs="Arial"/>
                <w:color w:val="000000"/>
                <w:sz w:val="20"/>
              </w:rPr>
            </w:pPr>
            <w:r w:rsidRPr="00F36A59">
              <w:rPr>
                <w:rFonts w:asciiTheme="minorHAnsi" w:hAnsiTheme="minorHAnsi" w:cs="Arial"/>
                <w:color w:val="000000"/>
                <w:sz w:val="20"/>
              </w:rPr>
              <w:t>16,89</w:t>
            </w:r>
          </w:p>
        </w:tc>
      </w:tr>
      <w:tr w:rsidR="00F36A59" w:rsidRPr="00F36A59" w:rsidTr="00F36A59">
        <w:trPr>
          <w:trHeight w:val="522"/>
        </w:trPr>
        <w:tc>
          <w:tcPr>
            <w:tcW w:w="2139" w:type="dxa"/>
            <w:shd w:val="clear" w:color="auto" w:fill="DAEEF3"/>
            <w:noWrap/>
            <w:vAlign w:val="center"/>
          </w:tcPr>
          <w:p w:rsidR="00F36A59" w:rsidRPr="00F36A59" w:rsidRDefault="00F36A59" w:rsidP="00F36A59">
            <w:pPr>
              <w:spacing w:line="240" w:lineRule="auto"/>
              <w:jc w:val="center"/>
              <w:rPr>
                <w:rFonts w:asciiTheme="minorHAnsi" w:hAnsiTheme="minorHAnsi" w:cs="Arial"/>
                <w:b/>
                <w:color w:val="000000"/>
                <w:sz w:val="20"/>
              </w:rPr>
            </w:pPr>
            <w:r w:rsidRPr="00F36A59">
              <w:rPr>
                <w:rFonts w:asciiTheme="minorHAnsi" w:hAnsiTheme="minorHAnsi" w:cs="Arial"/>
                <w:b/>
                <w:color w:val="000000"/>
                <w:sz w:val="20"/>
              </w:rPr>
              <w:t>UKUPNO</w:t>
            </w:r>
          </w:p>
        </w:tc>
        <w:tc>
          <w:tcPr>
            <w:tcW w:w="1417" w:type="dxa"/>
            <w:shd w:val="clear" w:color="auto" w:fill="DAEEF3"/>
            <w:noWrap/>
            <w:vAlign w:val="center"/>
          </w:tcPr>
          <w:p w:rsidR="00F36A59" w:rsidRPr="00F36A59" w:rsidRDefault="00F36A59" w:rsidP="00F36A59">
            <w:pPr>
              <w:spacing w:line="240" w:lineRule="auto"/>
              <w:jc w:val="center"/>
              <w:rPr>
                <w:rFonts w:asciiTheme="minorHAnsi" w:hAnsiTheme="minorHAnsi" w:cs="Arial"/>
                <w:b/>
                <w:color w:val="000000"/>
                <w:sz w:val="20"/>
              </w:rPr>
            </w:pPr>
            <w:r w:rsidRPr="00F36A59">
              <w:rPr>
                <w:rFonts w:asciiTheme="minorHAnsi" w:hAnsiTheme="minorHAnsi" w:cs="Arial"/>
                <w:b/>
                <w:color w:val="000000"/>
                <w:sz w:val="20"/>
              </w:rPr>
              <w:t>3.780.930,0</w:t>
            </w:r>
          </w:p>
        </w:tc>
        <w:tc>
          <w:tcPr>
            <w:tcW w:w="1418" w:type="dxa"/>
            <w:shd w:val="clear" w:color="auto" w:fill="DAEEF3"/>
            <w:noWrap/>
            <w:vAlign w:val="center"/>
          </w:tcPr>
          <w:p w:rsidR="00F36A59" w:rsidRPr="00F36A59" w:rsidRDefault="00F36A59" w:rsidP="00F36A59">
            <w:pPr>
              <w:spacing w:line="240" w:lineRule="auto"/>
              <w:jc w:val="center"/>
              <w:rPr>
                <w:rFonts w:asciiTheme="minorHAnsi" w:hAnsiTheme="minorHAnsi" w:cs="Arial"/>
                <w:b/>
                <w:color w:val="000000"/>
                <w:sz w:val="20"/>
              </w:rPr>
            </w:pPr>
            <w:r w:rsidRPr="00F36A59">
              <w:rPr>
                <w:rFonts w:asciiTheme="minorHAnsi" w:hAnsiTheme="minorHAnsi" w:cs="Arial"/>
                <w:b/>
                <w:color w:val="000000"/>
                <w:sz w:val="20"/>
              </w:rPr>
              <w:t>90.463,9</w:t>
            </w:r>
          </w:p>
        </w:tc>
        <w:tc>
          <w:tcPr>
            <w:tcW w:w="1417" w:type="dxa"/>
            <w:shd w:val="clear" w:color="auto" w:fill="DAEEF3"/>
            <w:noWrap/>
            <w:vAlign w:val="center"/>
          </w:tcPr>
          <w:p w:rsidR="00F36A59" w:rsidRPr="00F36A59" w:rsidRDefault="00F36A59" w:rsidP="00F36A59">
            <w:pPr>
              <w:spacing w:line="240" w:lineRule="auto"/>
              <w:jc w:val="center"/>
              <w:rPr>
                <w:rFonts w:asciiTheme="minorHAnsi" w:hAnsiTheme="minorHAnsi" w:cs="Arial"/>
                <w:b/>
                <w:color w:val="000000"/>
                <w:sz w:val="20"/>
              </w:rPr>
            </w:pPr>
            <w:r w:rsidRPr="00F36A59">
              <w:rPr>
                <w:rFonts w:asciiTheme="minorHAnsi" w:hAnsiTheme="minorHAnsi" w:cs="Arial"/>
                <w:b/>
                <w:color w:val="000000"/>
                <w:sz w:val="20"/>
              </w:rPr>
              <w:t>7.436.864,1</w:t>
            </w:r>
          </w:p>
        </w:tc>
        <w:tc>
          <w:tcPr>
            <w:tcW w:w="1559" w:type="dxa"/>
            <w:tcBorders>
              <w:right w:val="single" w:sz="4" w:space="0" w:color="4BACC6"/>
            </w:tcBorders>
            <w:shd w:val="clear" w:color="auto" w:fill="DAEEF3"/>
            <w:noWrap/>
            <w:vAlign w:val="center"/>
          </w:tcPr>
          <w:p w:rsidR="00F36A59" w:rsidRPr="00F36A59" w:rsidRDefault="00F36A59" w:rsidP="00F36A59">
            <w:pPr>
              <w:spacing w:line="240" w:lineRule="auto"/>
              <w:jc w:val="center"/>
              <w:rPr>
                <w:rFonts w:asciiTheme="minorHAnsi" w:hAnsiTheme="minorHAnsi" w:cs="Arial"/>
                <w:b/>
                <w:color w:val="000000"/>
                <w:sz w:val="20"/>
              </w:rPr>
            </w:pPr>
            <w:r w:rsidRPr="00F36A59">
              <w:rPr>
                <w:rFonts w:asciiTheme="minorHAnsi" w:hAnsiTheme="minorHAnsi" w:cs="Arial"/>
                <w:b/>
                <w:color w:val="000000"/>
                <w:sz w:val="20"/>
              </w:rPr>
              <w:t>11.308.258,0</w:t>
            </w:r>
          </w:p>
        </w:tc>
        <w:tc>
          <w:tcPr>
            <w:tcW w:w="1418" w:type="dxa"/>
            <w:tcBorders>
              <w:left w:val="single" w:sz="4" w:space="0" w:color="4BACC6"/>
            </w:tcBorders>
            <w:shd w:val="clear" w:color="auto" w:fill="DAEEF3"/>
            <w:vAlign w:val="center"/>
          </w:tcPr>
          <w:p w:rsidR="00F36A59" w:rsidRPr="00F36A59" w:rsidRDefault="00F36A59" w:rsidP="00F36A59">
            <w:pPr>
              <w:spacing w:line="240" w:lineRule="auto"/>
              <w:jc w:val="center"/>
              <w:rPr>
                <w:rFonts w:asciiTheme="minorHAnsi" w:hAnsiTheme="minorHAnsi" w:cs="Arial"/>
                <w:b/>
                <w:color w:val="000000"/>
                <w:sz w:val="20"/>
              </w:rPr>
            </w:pPr>
            <w:r w:rsidRPr="00F36A59">
              <w:rPr>
                <w:rFonts w:asciiTheme="minorHAnsi" w:hAnsiTheme="minorHAnsi" w:cs="Arial"/>
                <w:b/>
                <w:color w:val="000000"/>
                <w:sz w:val="20"/>
              </w:rPr>
              <w:t>100,00</w:t>
            </w:r>
          </w:p>
        </w:tc>
      </w:tr>
      <w:tr w:rsidR="00F36A59" w:rsidRPr="00F36A59" w:rsidTr="00F36A59">
        <w:trPr>
          <w:trHeight w:val="522"/>
        </w:trPr>
        <w:tc>
          <w:tcPr>
            <w:tcW w:w="2139" w:type="dxa"/>
            <w:shd w:val="clear" w:color="auto" w:fill="DAEEF3"/>
            <w:noWrap/>
            <w:vAlign w:val="center"/>
          </w:tcPr>
          <w:p w:rsidR="00F36A59" w:rsidRPr="00F36A59" w:rsidRDefault="00F36A59" w:rsidP="00F36A59">
            <w:pPr>
              <w:spacing w:line="240" w:lineRule="auto"/>
              <w:jc w:val="center"/>
              <w:rPr>
                <w:rFonts w:asciiTheme="minorHAnsi" w:hAnsiTheme="minorHAnsi" w:cs="Arial"/>
                <w:b/>
                <w:color w:val="000000"/>
                <w:sz w:val="20"/>
              </w:rPr>
            </w:pPr>
            <w:r w:rsidRPr="00F36A59">
              <w:rPr>
                <w:rFonts w:asciiTheme="minorHAnsi" w:hAnsiTheme="minorHAnsi" w:cs="Arial"/>
                <w:b/>
                <w:color w:val="000000"/>
                <w:sz w:val="20"/>
              </w:rPr>
              <w:t>Udio pojedinog sektora, %</w:t>
            </w:r>
          </w:p>
        </w:tc>
        <w:tc>
          <w:tcPr>
            <w:tcW w:w="1417" w:type="dxa"/>
            <w:shd w:val="clear" w:color="auto" w:fill="DAEEF3"/>
            <w:noWrap/>
            <w:vAlign w:val="center"/>
          </w:tcPr>
          <w:p w:rsidR="00F36A59" w:rsidRPr="00F36A59" w:rsidRDefault="00F36A59" w:rsidP="00F36A59">
            <w:pPr>
              <w:spacing w:line="240" w:lineRule="auto"/>
              <w:jc w:val="center"/>
              <w:rPr>
                <w:rFonts w:asciiTheme="minorHAnsi" w:hAnsiTheme="minorHAnsi" w:cs="Arial"/>
                <w:b/>
                <w:color w:val="000000"/>
                <w:sz w:val="20"/>
              </w:rPr>
            </w:pPr>
            <w:r w:rsidRPr="00F36A59">
              <w:rPr>
                <w:rFonts w:asciiTheme="minorHAnsi" w:hAnsiTheme="minorHAnsi" w:cs="Arial"/>
                <w:b/>
                <w:color w:val="000000"/>
                <w:sz w:val="20"/>
              </w:rPr>
              <w:t>33,44</w:t>
            </w:r>
          </w:p>
        </w:tc>
        <w:tc>
          <w:tcPr>
            <w:tcW w:w="1418" w:type="dxa"/>
            <w:shd w:val="clear" w:color="auto" w:fill="DAEEF3"/>
            <w:noWrap/>
            <w:vAlign w:val="center"/>
          </w:tcPr>
          <w:p w:rsidR="00F36A59" w:rsidRPr="00F36A59" w:rsidRDefault="00F36A59" w:rsidP="00F36A59">
            <w:pPr>
              <w:spacing w:line="240" w:lineRule="auto"/>
              <w:jc w:val="center"/>
              <w:rPr>
                <w:rFonts w:asciiTheme="minorHAnsi" w:hAnsiTheme="minorHAnsi" w:cs="Arial"/>
                <w:b/>
                <w:color w:val="000000"/>
                <w:sz w:val="20"/>
              </w:rPr>
            </w:pPr>
            <w:r w:rsidRPr="00F36A59">
              <w:rPr>
                <w:rFonts w:asciiTheme="minorHAnsi" w:hAnsiTheme="minorHAnsi" w:cs="Arial"/>
                <w:b/>
                <w:color w:val="000000"/>
                <w:sz w:val="20"/>
              </w:rPr>
              <w:t>0,80</w:t>
            </w:r>
          </w:p>
        </w:tc>
        <w:tc>
          <w:tcPr>
            <w:tcW w:w="1417" w:type="dxa"/>
            <w:shd w:val="clear" w:color="auto" w:fill="DAEEF3"/>
            <w:noWrap/>
            <w:vAlign w:val="center"/>
          </w:tcPr>
          <w:p w:rsidR="00F36A59" w:rsidRPr="00F36A59" w:rsidRDefault="00F36A59" w:rsidP="00F36A59">
            <w:pPr>
              <w:spacing w:line="240" w:lineRule="auto"/>
              <w:jc w:val="center"/>
              <w:rPr>
                <w:rFonts w:asciiTheme="minorHAnsi" w:hAnsiTheme="minorHAnsi" w:cs="Arial"/>
                <w:b/>
                <w:color w:val="000000"/>
                <w:sz w:val="20"/>
              </w:rPr>
            </w:pPr>
            <w:r w:rsidRPr="00F36A59">
              <w:rPr>
                <w:rFonts w:asciiTheme="minorHAnsi" w:hAnsiTheme="minorHAnsi" w:cs="Arial"/>
                <w:b/>
                <w:color w:val="000000"/>
                <w:sz w:val="20"/>
              </w:rPr>
              <w:t>65,76</w:t>
            </w:r>
          </w:p>
        </w:tc>
        <w:tc>
          <w:tcPr>
            <w:tcW w:w="1559" w:type="dxa"/>
            <w:tcBorders>
              <w:right w:val="single" w:sz="4" w:space="0" w:color="4BACC6"/>
            </w:tcBorders>
            <w:shd w:val="clear" w:color="auto" w:fill="DAEEF3"/>
            <w:noWrap/>
            <w:vAlign w:val="center"/>
          </w:tcPr>
          <w:p w:rsidR="00F36A59" w:rsidRPr="00F36A59" w:rsidRDefault="00F36A59" w:rsidP="00F36A59">
            <w:pPr>
              <w:spacing w:line="240" w:lineRule="auto"/>
              <w:jc w:val="center"/>
              <w:rPr>
                <w:rFonts w:asciiTheme="minorHAnsi" w:hAnsiTheme="minorHAnsi" w:cs="Arial"/>
                <w:b/>
                <w:color w:val="000000"/>
                <w:sz w:val="20"/>
              </w:rPr>
            </w:pPr>
            <w:r w:rsidRPr="00F36A59">
              <w:rPr>
                <w:rFonts w:asciiTheme="minorHAnsi" w:hAnsiTheme="minorHAnsi" w:cs="Arial"/>
                <w:b/>
                <w:color w:val="000000"/>
                <w:sz w:val="20"/>
              </w:rPr>
              <w:t>100,00</w:t>
            </w:r>
          </w:p>
        </w:tc>
        <w:tc>
          <w:tcPr>
            <w:tcW w:w="1418" w:type="dxa"/>
            <w:tcBorders>
              <w:left w:val="single" w:sz="4" w:space="0" w:color="4BACC6"/>
            </w:tcBorders>
            <w:shd w:val="clear" w:color="auto" w:fill="DAEEF3"/>
            <w:vAlign w:val="center"/>
          </w:tcPr>
          <w:p w:rsidR="00F36A59" w:rsidRPr="00F36A59" w:rsidRDefault="00F36A59" w:rsidP="00F36A59">
            <w:pPr>
              <w:spacing w:line="240" w:lineRule="auto"/>
              <w:jc w:val="center"/>
              <w:rPr>
                <w:rFonts w:asciiTheme="minorHAnsi" w:hAnsiTheme="minorHAnsi" w:cs="Arial"/>
                <w:b/>
                <w:color w:val="000000"/>
                <w:sz w:val="20"/>
              </w:rPr>
            </w:pPr>
            <w:r w:rsidRPr="00F36A59">
              <w:rPr>
                <w:rFonts w:asciiTheme="minorHAnsi" w:hAnsiTheme="minorHAnsi" w:cs="Arial"/>
                <w:b/>
                <w:color w:val="000000"/>
                <w:sz w:val="20"/>
              </w:rPr>
              <w:t>100,00</w:t>
            </w:r>
          </w:p>
        </w:tc>
      </w:tr>
    </w:tbl>
    <w:p w:rsidR="00F36A59" w:rsidRDefault="00F36A59" w:rsidP="00F36A59"/>
    <w:p w:rsidR="00B23695" w:rsidRPr="000063FC" w:rsidRDefault="00B23695" w:rsidP="0047546D">
      <w:pPr>
        <w:pStyle w:val="Caption"/>
        <w:jc w:val="center"/>
      </w:pPr>
    </w:p>
    <w:p w:rsidR="00F36A59" w:rsidRDefault="00F36A59">
      <w:pPr>
        <w:pStyle w:val="Heading7"/>
        <w:rPr>
          <w:lang w:eastAsia="hr-HR"/>
        </w:rPr>
      </w:pPr>
      <w:bookmarkStart w:id="180" w:name="_Toc248427452"/>
      <w:bookmarkStart w:id="181" w:name="_Toc251935573"/>
      <w:r w:rsidRPr="00F36A59">
        <w:rPr>
          <w:noProof/>
          <w:lang w:eastAsia="hr-HR"/>
        </w:rPr>
        <w:drawing>
          <wp:inline distT="0" distB="0" distL="0" distR="0">
            <wp:extent cx="4143375" cy="2047875"/>
            <wp:effectExtent l="0" t="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C341E" w:rsidRPr="000063FC" w:rsidRDefault="00B82483">
      <w:pPr>
        <w:pStyle w:val="Heading7"/>
        <w:rPr>
          <w:lang w:eastAsia="hr-HR"/>
        </w:rPr>
      </w:pPr>
      <w:bookmarkStart w:id="182" w:name="_Toc254010294"/>
      <w:r w:rsidRPr="000063FC">
        <w:rPr>
          <w:lang w:eastAsia="hr-HR"/>
        </w:rPr>
        <w:t>Slika</w:t>
      </w:r>
      <w:r w:rsidRPr="000063FC">
        <w:t xml:space="preserve"> </w:t>
      </w:r>
      <w:r w:rsidR="009C02B8" w:rsidRPr="000063FC">
        <w:t>2.12: Potrošnja ukupne energije I</w:t>
      </w:r>
      <w:r w:rsidRPr="000063FC">
        <w:t>nventara po sektorima</w:t>
      </w:r>
      <w:bookmarkEnd w:id="180"/>
      <w:bookmarkEnd w:id="181"/>
      <w:bookmarkEnd w:id="182"/>
    </w:p>
    <w:p w:rsidR="00B23695" w:rsidRPr="000063FC" w:rsidRDefault="00B82483">
      <w:pPr>
        <w:spacing w:line="276" w:lineRule="auto"/>
        <w:rPr>
          <w:szCs w:val="22"/>
          <w:lang w:eastAsia="hr-HR"/>
        </w:rPr>
      </w:pPr>
      <w:r w:rsidRPr="000063FC">
        <w:rPr>
          <w:szCs w:val="22"/>
          <w:lang w:eastAsia="hr-HR"/>
        </w:rPr>
        <w:lastRenderedPageBreak/>
        <w:t>Ukupna potroš</w:t>
      </w:r>
      <w:r w:rsidR="009C02B8" w:rsidRPr="000063FC">
        <w:rPr>
          <w:szCs w:val="22"/>
          <w:lang w:eastAsia="hr-HR"/>
        </w:rPr>
        <w:t>nja energije I</w:t>
      </w:r>
      <w:r w:rsidRPr="000063FC">
        <w:rPr>
          <w:szCs w:val="22"/>
          <w:lang w:eastAsia="hr-HR"/>
        </w:rPr>
        <w:t>nventara iznosi 11</w:t>
      </w:r>
      <w:r w:rsidR="009C02B8" w:rsidRPr="000063FC">
        <w:rPr>
          <w:szCs w:val="22"/>
          <w:lang w:eastAsia="hr-HR"/>
        </w:rPr>
        <w:t xml:space="preserve"> </w:t>
      </w:r>
      <w:r w:rsidR="00F83DBE">
        <w:rPr>
          <w:szCs w:val="22"/>
          <w:lang w:eastAsia="hr-HR"/>
        </w:rPr>
        <w:t>308</w:t>
      </w:r>
      <w:r w:rsidRPr="000063FC">
        <w:rPr>
          <w:szCs w:val="22"/>
          <w:lang w:eastAsia="hr-HR"/>
        </w:rPr>
        <w:t xml:space="preserve"> GWh. Naj</w:t>
      </w:r>
      <w:r w:rsidR="009C02B8" w:rsidRPr="000063FC">
        <w:rPr>
          <w:szCs w:val="22"/>
          <w:lang w:eastAsia="hr-HR"/>
        </w:rPr>
        <w:t>veći izvor potrošnje je sektor zgradarstva s</w:t>
      </w:r>
      <w:r w:rsidRPr="000063FC">
        <w:rPr>
          <w:szCs w:val="22"/>
          <w:lang w:eastAsia="hr-HR"/>
        </w:rPr>
        <w:t xml:space="preserve"> potrošnjom od 7</w:t>
      </w:r>
      <w:r w:rsidR="009C02B8" w:rsidRPr="000063FC">
        <w:rPr>
          <w:szCs w:val="22"/>
          <w:lang w:eastAsia="hr-HR"/>
        </w:rPr>
        <w:t xml:space="preserve"> </w:t>
      </w:r>
      <w:r w:rsidR="00F83DBE">
        <w:rPr>
          <w:szCs w:val="22"/>
          <w:lang w:eastAsia="hr-HR"/>
        </w:rPr>
        <w:t>437</w:t>
      </w:r>
      <w:r w:rsidRPr="000063FC">
        <w:rPr>
          <w:szCs w:val="22"/>
          <w:lang w:eastAsia="hr-HR"/>
        </w:rPr>
        <w:t xml:space="preserve"> GWh, </w:t>
      </w:r>
      <w:r w:rsidR="009C02B8" w:rsidRPr="000063FC">
        <w:rPr>
          <w:szCs w:val="22"/>
          <w:lang w:eastAsia="hr-HR"/>
        </w:rPr>
        <w:t>a slijedi ga sektor prometa s</w:t>
      </w:r>
      <w:r w:rsidRPr="000063FC">
        <w:rPr>
          <w:szCs w:val="22"/>
          <w:lang w:eastAsia="hr-HR"/>
        </w:rPr>
        <w:t xml:space="preserve"> potrošnjom od 3</w:t>
      </w:r>
      <w:r w:rsidR="009C02B8" w:rsidRPr="000063FC">
        <w:rPr>
          <w:szCs w:val="22"/>
          <w:lang w:eastAsia="hr-HR"/>
        </w:rPr>
        <w:t xml:space="preserve"> </w:t>
      </w:r>
      <w:r w:rsidRPr="000063FC">
        <w:rPr>
          <w:szCs w:val="22"/>
          <w:lang w:eastAsia="hr-HR"/>
        </w:rPr>
        <w:t xml:space="preserve">781 GWh. </w:t>
      </w:r>
    </w:p>
    <w:p w:rsidR="00B23695" w:rsidRPr="000063FC" w:rsidRDefault="00B23695" w:rsidP="0047546D">
      <w:pPr>
        <w:spacing w:line="276" w:lineRule="auto"/>
        <w:jc w:val="center"/>
        <w:rPr>
          <w:lang w:eastAsia="hr-HR"/>
        </w:rPr>
      </w:pPr>
    </w:p>
    <w:p w:rsidR="00F83DBE" w:rsidRDefault="00F83DBE" w:rsidP="00F83DBE">
      <w:pPr>
        <w:pStyle w:val="Heading7"/>
      </w:pPr>
      <w:bookmarkStart w:id="183" w:name="_Toc248427453"/>
      <w:bookmarkStart w:id="184" w:name="_Toc251935574"/>
      <w:r w:rsidRPr="00F83DBE">
        <w:rPr>
          <w:noProof/>
          <w:lang w:eastAsia="hr-HR"/>
        </w:rPr>
        <w:drawing>
          <wp:inline distT="0" distB="0" distL="0" distR="0">
            <wp:extent cx="5553075" cy="2619375"/>
            <wp:effectExtent l="0" t="0" r="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83DBE" w:rsidRPr="00F83DBE" w:rsidRDefault="00B82483" w:rsidP="00F83DBE">
      <w:pPr>
        <w:pStyle w:val="Heading7"/>
      </w:pPr>
      <w:bookmarkStart w:id="185" w:name="_Toc254010295"/>
      <w:r w:rsidRPr="000063FC">
        <w:t xml:space="preserve">Slika </w:t>
      </w:r>
      <w:r w:rsidR="009C02B8" w:rsidRPr="000063FC">
        <w:t>2.13: Potrošnja ukupne energije I</w:t>
      </w:r>
      <w:r w:rsidRPr="000063FC">
        <w:t>nventara po energentima</w:t>
      </w:r>
      <w:bookmarkEnd w:id="183"/>
      <w:bookmarkEnd w:id="184"/>
      <w:bookmarkEnd w:id="185"/>
    </w:p>
    <w:p w:rsidR="00B23695" w:rsidRPr="000063FC" w:rsidRDefault="00B23695">
      <w:pPr>
        <w:tabs>
          <w:tab w:val="left" w:pos="990"/>
        </w:tabs>
        <w:spacing w:line="276" w:lineRule="auto"/>
        <w:rPr>
          <w:lang w:eastAsia="hr-HR"/>
        </w:rPr>
      </w:pPr>
    </w:p>
    <w:p w:rsidR="00B23695" w:rsidRPr="000063FC" w:rsidRDefault="00B82483">
      <w:pPr>
        <w:tabs>
          <w:tab w:val="left" w:pos="990"/>
        </w:tabs>
        <w:spacing w:line="276" w:lineRule="auto"/>
        <w:rPr>
          <w:szCs w:val="22"/>
          <w:lang w:eastAsia="hr-HR"/>
        </w:rPr>
      </w:pPr>
      <w:r w:rsidRPr="000063FC">
        <w:rPr>
          <w:szCs w:val="22"/>
          <w:lang w:eastAsia="hr-HR"/>
        </w:rPr>
        <w:t xml:space="preserve">Iz slike </w:t>
      </w:r>
      <w:r w:rsidR="009C02B8" w:rsidRPr="000063FC">
        <w:rPr>
          <w:szCs w:val="22"/>
          <w:lang w:eastAsia="hr-HR"/>
        </w:rPr>
        <w:t>2.13</w:t>
      </w:r>
      <w:r w:rsidRPr="000063FC">
        <w:rPr>
          <w:szCs w:val="22"/>
          <w:lang w:eastAsia="hr-HR"/>
        </w:rPr>
        <w:t xml:space="preserve"> </w:t>
      </w:r>
      <w:r w:rsidR="00032E38">
        <w:rPr>
          <w:szCs w:val="22"/>
          <w:lang w:eastAsia="hr-HR"/>
        </w:rPr>
        <w:t>proizlazi da je prirodni plin</w:t>
      </w:r>
      <w:r w:rsidR="00AB2F79" w:rsidRPr="000063FC">
        <w:rPr>
          <w:szCs w:val="22"/>
          <w:lang w:eastAsia="hr-HR"/>
        </w:rPr>
        <w:t xml:space="preserve"> energent s najvećim udjelom u ukupnoj potrošnji energije. Potrošnja prirodnog plina u 2008. godini iznosila je 3157 GWh, što čini 28</w:t>
      </w:r>
      <w:r w:rsidR="00F83DBE">
        <w:rPr>
          <w:szCs w:val="22"/>
          <w:lang w:eastAsia="hr-HR"/>
        </w:rPr>
        <w:t>,4</w:t>
      </w:r>
      <w:r w:rsidR="00AB2F79" w:rsidRPr="000063FC">
        <w:rPr>
          <w:szCs w:val="22"/>
          <w:lang w:eastAsia="hr-HR"/>
        </w:rPr>
        <w:t xml:space="preserve">% od ukupne potrošnje energije. Dominantni energenti, osim prirodnog plina su još i dizel, toplina, električna energija te motorni benzin s potrošnjama od 2061 GWh, 1910 GWh, 1823 GWh, 1687 GWh. Potrošnja tih energenata zajedno čini preko 95% </w:t>
      </w:r>
      <w:r w:rsidR="009C02B8" w:rsidRPr="000063FC">
        <w:rPr>
          <w:szCs w:val="22"/>
          <w:lang w:eastAsia="hr-HR"/>
        </w:rPr>
        <w:t xml:space="preserve">ukupne </w:t>
      </w:r>
      <w:r w:rsidR="00AB2F79" w:rsidRPr="000063FC">
        <w:rPr>
          <w:szCs w:val="22"/>
          <w:lang w:eastAsia="hr-HR"/>
        </w:rPr>
        <w:t>potrošnje energije Grada</w:t>
      </w:r>
      <w:r w:rsidR="009C02B8" w:rsidRPr="000063FC">
        <w:rPr>
          <w:szCs w:val="22"/>
          <w:lang w:eastAsia="hr-HR"/>
        </w:rPr>
        <w:t xml:space="preserve"> u promatrana tri sektora</w:t>
      </w:r>
      <w:r w:rsidR="00AB2F79" w:rsidRPr="000063FC">
        <w:rPr>
          <w:szCs w:val="22"/>
          <w:lang w:eastAsia="hr-HR"/>
        </w:rPr>
        <w:t>.</w:t>
      </w:r>
    </w:p>
    <w:p w:rsidR="00BC341E" w:rsidRPr="000063FC" w:rsidRDefault="00D679EE">
      <w:pPr>
        <w:pStyle w:val="Heading7"/>
      </w:pPr>
      <w:r w:rsidRPr="000063FC">
        <w:rPr>
          <w:noProof/>
          <w:lang w:eastAsia="hr-HR"/>
        </w:rPr>
        <w:drawing>
          <wp:inline distT="0" distB="0" distL="0" distR="0">
            <wp:extent cx="5581650" cy="2745132"/>
            <wp:effectExtent l="0" t="0" r="0" b="0"/>
            <wp:docPr id="1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bookmarkStart w:id="186" w:name="_Toc248427454"/>
      <w:bookmarkStart w:id="187" w:name="_Toc251935575"/>
      <w:bookmarkStart w:id="188" w:name="_Toc254010296"/>
      <w:r w:rsidR="00B82483" w:rsidRPr="000063FC">
        <w:t xml:space="preserve">Slika </w:t>
      </w:r>
      <w:r w:rsidR="00F11667" w:rsidRPr="000063FC">
        <w:t>2.14</w:t>
      </w:r>
      <w:r w:rsidR="00B82483" w:rsidRPr="000063FC">
        <w:t>: Prikaz potrošnje ukupne energije po sektorima i energentima</w:t>
      </w:r>
      <w:bookmarkEnd w:id="186"/>
      <w:bookmarkEnd w:id="187"/>
      <w:bookmarkEnd w:id="188"/>
    </w:p>
    <w:p w:rsidR="00B23695" w:rsidRPr="000063FC" w:rsidRDefault="00B23695">
      <w:pPr>
        <w:spacing w:line="276" w:lineRule="auto"/>
        <w:rPr>
          <w:lang w:eastAsia="hr-HR"/>
        </w:rPr>
      </w:pPr>
    </w:p>
    <w:p w:rsidR="00B23695" w:rsidRPr="000063FC" w:rsidRDefault="00B82483">
      <w:pPr>
        <w:spacing w:line="276" w:lineRule="auto"/>
        <w:rPr>
          <w:szCs w:val="22"/>
          <w:lang w:eastAsia="hr-HR"/>
        </w:rPr>
      </w:pPr>
      <w:r w:rsidRPr="000063FC">
        <w:rPr>
          <w:szCs w:val="22"/>
          <w:lang w:eastAsia="hr-HR"/>
        </w:rPr>
        <w:t>Najveći udio (66%) u ukupnoj potrošnji energije ima sektor zgradarstv</w:t>
      </w:r>
      <w:r w:rsidR="00F83DBE">
        <w:rPr>
          <w:szCs w:val="22"/>
          <w:lang w:eastAsia="hr-HR"/>
        </w:rPr>
        <w:t>a</w:t>
      </w:r>
      <w:r w:rsidRPr="000063FC">
        <w:rPr>
          <w:szCs w:val="22"/>
          <w:lang w:eastAsia="hr-HR"/>
        </w:rPr>
        <w:t>. Prirodni plin (</w:t>
      </w:r>
      <w:r w:rsidR="00F83DBE">
        <w:rPr>
          <w:szCs w:val="22"/>
          <w:lang w:eastAsia="hr-HR"/>
        </w:rPr>
        <w:t>3157</w:t>
      </w:r>
      <w:r w:rsidRPr="000063FC">
        <w:rPr>
          <w:szCs w:val="22"/>
          <w:lang w:eastAsia="hr-HR"/>
        </w:rPr>
        <w:t xml:space="preserve"> GWh) i </w:t>
      </w:r>
      <w:r w:rsidR="00F83DBE">
        <w:rPr>
          <w:szCs w:val="22"/>
          <w:lang w:eastAsia="hr-HR"/>
        </w:rPr>
        <w:t>toplina</w:t>
      </w:r>
      <w:r w:rsidRPr="000063FC">
        <w:rPr>
          <w:szCs w:val="22"/>
          <w:lang w:eastAsia="hr-HR"/>
        </w:rPr>
        <w:t xml:space="preserve"> (</w:t>
      </w:r>
      <w:r w:rsidR="00F83DBE">
        <w:rPr>
          <w:szCs w:val="22"/>
          <w:lang w:eastAsia="hr-HR"/>
        </w:rPr>
        <w:t>1910</w:t>
      </w:r>
      <w:r w:rsidRPr="000063FC">
        <w:rPr>
          <w:szCs w:val="22"/>
          <w:lang w:eastAsia="hr-HR"/>
        </w:rPr>
        <w:t xml:space="preserve"> GWh) su najzastupljeniji energenti sektora zgradarstvo. Osim sektora zgradarstvo dominantan je i sektor promet koji ukupnoj potrošnji energije doprinosi sa 33</w:t>
      </w:r>
      <w:r w:rsidR="00F83DBE">
        <w:rPr>
          <w:szCs w:val="22"/>
          <w:lang w:eastAsia="hr-HR"/>
        </w:rPr>
        <w:t>,4</w:t>
      </w:r>
      <w:r w:rsidRPr="000063FC">
        <w:rPr>
          <w:szCs w:val="22"/>
          <w:lang w:eastAsia="hr-HR"/>
        </w:rPr>
        <w:t>%. Potrošnja dizela i benzina sektora promet iznose  2061 GWh, odnosno 1687 GWh.</w:t>
      </w:r>
    </w:p>
    <w:p w:rsidR="00B23695" w:rsidRPr="000063FC" w:rsidRDefault="00B23695">
      <w:pPr>
        <w:spacing w:line="276" w:lineRule="auto"/>
        <w:rPr>
          <w:lang w:eastAsia="hr-HR"/>
        </w:rPr>
      </w:pPr>
    </w:p>
    <w:p w:rsidR="00BC341E" w:rsidRPr="000063FC" w:rsidRDefault="00C45FF5">
      <w:pPr>
        <w:pStyle w:val="Heading3"/>
      </w:pPr>
      <w:bookmarkStart w:id="189" w:name="_Toc248428877"/>
      <w:bookmarkStart w:id="190" w:name="_Toc254010195"/>
      <w:r w:rsidRPr="000063FC">
        <w:lastRenderedPageBreak/>
        <w:t xml:space="preserve">PREGLED UKUPNE EMISIJE </w:t>
      </w:r>
      <w:r w:rsidR="00F11667" w:rsidRPr="000063FC">
        <w:t>CO</w:t>
      </w:r>
      <w:r w:rsidR="00F11667" w:rsidRPr="000063FC">
        <w:rPr>
          <w:vertAlign w:val="subscript"/>
        </w:rPr>
        <w:t>2</w:t>
      </w:r>
      <w:r w:rsidR="00F11667" w:rsidRPr="000063FC">
        <w:t xml:space="preserve"> </w:t>
      </w:r>
      <w:r w:rsidRPr="000063FC">
        <w:t>INVENTARA</w:t>
      </w:r>
      <w:bookmarkEnd w:id="189"/>
      <w:r w:rsidR="00F11667" w:rsidRPr="000063FC">
        <w:t xml:space="preserve"> GRADA ZAGREBA</w:t>
      </w:r>
      <w:bookmarkEnd w:id="190"/>
    </w:p>
    <w:p w:rsidR="00B23695" w:rsidRPr="000063FC" w:rsidRDefault="00B82483">
      <w:pPr>
        <w:spacing w:line="276" w:lineRule="auto"/>
        <w:rPr>
          <w:rFonts w:cs="Arial"/>
          <w:szCs w:val="22"/>
        </w:rPr>
      </w:pPr>
      <w:r w:rsidRPr="000063FC">
        <w:rPr>
          <w:szCs w:val="22"/>
        </w:rPr>
        <w:t xml:space="preserve">U tablici </w:t>
      </w:r>
      <w:r w:rsidR="00F11667" w:rsidRPr="000063FC">
        <w:rPr>
          <w:szCs w:val="22"/>
        </w:rPr>
        <w:t>2.28 prikazane su emisije I</w:t>
      </w:r>
      <w:r w:rsidRPr="000063FC">
        <w:rPr>
          <w:szCs w:val="22"/>
        </w:rPr>
        <w:t xml:space="preserve">nventara po sektorima i energentima. Na slici </w:t>
      </w:r>
      <w:r w:rsidR="00F11667" w:rsidRPr="000063FC">
        <w:rPr>
          <w:szCs w:val="22"/>
        </w:rPr>
        <w:t>2.15</w:t>
      </w:r>
      <w:r w:rsidRPr="000063FC">
        <w:rPr>
          <w:szCs w:val="22"/>
        </w:rPr>
        <w:t xml:space="preserve"> prikazana je ukupna emisija t CO</w:t>
      </w:r>
      <w:r w:rsidRPr="000063FC">
        <w:rPr>
          <w:szCs w:val="22"/>
          <w:vertAlign w:val="subscript"/>
        </w:rPr>
        <w:t>2</w:t>
      </w:r>
      <w:r w:rsidRPr="000063FC">
        <w:rPr>
          <w:szCs w:val="22"/>
        </w:rPr>
        <w:t xml:space="preserve"> po sektorima, dok je na slici </w:t>
      </w:r>
      <w:r w:rsidR="00F11667" w:rsidRPr="000063FC">
        <w:rPr>
          <w:szCs w:val="22"/>
        </w:rPr>
        <w:t>2.16</w:t>
      </w:r>
      <w:r w:rsidRPr="000063FC">
        <w:rPr>
          <w:szCs w:val="22"/>
        </w:rPr>
        <w:t xml:space="preserve"> prikazana emisija po  pojedinim energentima. Na slici </w:t>
      </w:r>
      <w:r w:rsidR="00F11667" w:rsidRPr="000063FC">
        <w:rPr>
          <w:szCs w:val="22"/>
        </w:rPr>
        <w:t>2.17</w:t>
      </w:r>
      <w:r w:rsidRPr="000063FC">
        <w:rPr>
          <w:szCs w:val="22"/>
        </w:rPr>
        <w:t xml:space="preserve"> dan je skupni prikaz emisije po sektorima i energentima. </w:t>
      </w:r>
    </w:p>
    <w:p w:rsidR="00F11667" w:rsidRPr="000063FC" w:rsidRDefault="00F11667" w:rsidP="00B33E2F">
      <w:pPr>
        <w:pStyle w:val="Heading6"/>
      </w:pPr>
      <w:bookmarkStart w:id="191" w:name="_Toc248427243"/>
    </w:p>
    <w:p w:rsidR="00BC341E" w:rsidRDefault="00B82483" w:rsidP="00B33E2F">
      <w:pPr>
        <w:pStyle w:val="Heading6"/>
      </w:pPr>
      <w:bookmarkStart w:id="192" w:name="_Toc254010255"/>
      <w:r w:rsidRPr="000063FC">
        <w:t xml:space="preserve">Tablica </w:t>
      </w:r>
      <w:r w:rsidR="00F11667" w:rsidRPr="000063FC">
        <w:t>2.28</w:t>
      </w:r>
      <w:r w:rsidRPr="000063FC">
        <w:t>: Emisija CO</w:t>
      </w:r>
      <w:r w:rsidR="00205DB6" w:rsidRPr="000063FC">
        <w:rPr>
          <w:vertAlign w:val="subscript"/>
        </w:rPr>
        <w:t>2</w:t>
      </w:r>
      <w:r w:rsidRPr="000063FC">
        <w:t xml:space="preserve"> po sektorima i energentima</w:t>
      </w:r>
      <w:bookmarkEnd w:id="191"/>
      <w:bookmarkEnd w:id="192"/>
    </w:p>
    <w:tbl>
      <w:tblPr>
        <w:tblW w:w="9368" w:type="dxa"/>
        <w:tblInd w:w="96" w:type="dxa"/>
        <w:tblBorders>
          <w:top w:val="single" w:sz="6" w:space="0" w:color="4BACC6"/>
          <w:left w:val="single" w:sz="6" w:space="0" w:color="4BACC6"/>
          <w:bottom w:val="single" w:sz="6" w:space="0" w:color="4BACC6"/>
          <w:right w:val="single" w:sz="6" w:space="0" w:color="4BACC6"/>
          <w:insideH w:val="single" w:sz="6" w:space="0" w:color="4BACC6"/>
          <w:insideV w:val="single" w:sz="6" w:space="0" w:color="4BACC6"/>
        </w:tblBorders>
        <w:tblLayout w:type="fixed"/>
        <w:tblLook w:val="00A0" w:firstRow="1" w:lastRow="0" w:firstColumn="1" w:lastColumn="0" w:noHBand="0" w:noVBand="0"/>
      </w:tblPr>
      <w:tblGrid>
        <w:gridCol w:w="2139"/>
        <w:gridCol w:w="1417"/>
        <w:gridCol w:w="1418"/>
        <w:gridCol w:w="1417"/>
        <w:gridCol w:w="1559"/>
        <w:gridCol w:w="1418"/>
      </w:tblGrid>
      <w:tr w:rsidR="002316F9" w:rsidRPr="00343D80" w:rsidTr="002316F9">
        <w:trPr>
          <w:trHeight w:val="389"/>
        </w:trPr>
        <w:tc>
          <w:tcPr>
            <w:tcW w:w="2139" w:type="dxa"/>
            <w:vMerge w:val="restart"/>
            <w:tcBorders>
              <w:bottom w:val="single" w:sz="6" w:space="0" w:color="FFFFFF"/>
              <w:right w:val="single" w:sz="6" w:space="0" w:color="FFFFFF"/>
            </w:tcBorders>
            <w:shd w:val="clear" w:color="auto" w:fill="4BACC6"/>
            <w:noWrap/>
            <w:vAlign w:val="center"/>
          </w:tcPr>
          <w:p w:rsidR="002316F9" w:rsidRPr="00343D80" w:rsidRDefault="002316F9" w:rsidP="002316F9">
            <w:pPr>
              <w:jc w:val="center"/>
              <w:rPr>
                <w:rFonts w:cs="Arial"/>
                <w:b/>
                <w:color w:val="FFFFFF"/>
                <w:sz w:val="20"/>
                <w:lang w:eastAsia="hr-HR"/>
              </w:rPr>
            </w:pPr>
            <w:r>
              <w:rPr>
                <w:rFonts w:cs="Arial"/>
                <w:b/>
                <w:color w:val="FFFFFF"/>
                <w:sz w:val="20"/>
                <w:lang w:eastAsia="hr-HR"/>
              </w:rPr>
              <w:t>Energent</w:t>
            </w:r>
          </w:p>
        </w:tc>
        <w:tc>
          <w:tcPr>
            <w:tcW w:w="5811" w:type="dxa"/>
            <w:gridSpan w:val="4"/>
            <w:tcBorders>
              <w:top w:val="single" w:sz="4" w:space="0" w:color="FFFFFF"/>
              <w:left w:val="single" w:sz="6" w:space="0" w:color="FFFFFF"/>
              <w:bottom w:val="single" w:sz="4" w:space="0" w:color="FFFFFF"/>
              <w:right w:val="single" w:sz="4" w:space="0" w:color="FFFFFF"/>
            </w:tcBorders>
            <w:shd w:val="clear" w:color="auto" w:fill="4BACC6"/>
            <w:noWrap/>
            <w:vAlign w:val="bottom"/>
          </w:tcPr>
          <w:p w:rsidR="002316F9" w:rsidRPr="00343D80" w:rsidRDefault="002316F9" w:rsidP="002316F9">
            <w:pPr>
              <w:jc w:val="center"/>
              <w:rPr>
                <w:rFonts w:cs="Arial"/>
                <w:b/>
                <w:color w:val="FFFFFF"/>
                <w:sz w:val="20"/>
                <w:lang w:eastAsia="hr-HR"/>
              </w:rPr>
            </w:pPr>
            <w:r>
              <w:rPr>
                <w:rFonts w:cs="Arial"/>
                <w:b/>
                <w:color w:val="FFFFFF"/>
                <w:sz w:val="20"/>
                <w:lang w:eastAsia="hr-HR"/>
              </w:rPr>
              <w:t>Emisija t CO</w:t>
            </w:r>
            <w:r w:rsidRPr="009B64DB">
              <w:rPr>
                <w:rFonts w:cs="Arial"/>
                <w:b/>
                <w:color w:val="FFFFFF"/>
                <w:sz w:val="20"/>
                <w:vertAlign w:val="subscript"/>
                <w:lang w:eastAsia="hr-HR"/>
              </w:rPr>
              <w:t>2</w:t>
            </w:r>
          </w:p>
        </w:tc>
        <w:tc>
          <w:tcPr>
            <w:tcW w:w="1418" w:type="dxa"/>
            <w:tcBorders>
              <w:top w:val="single" w:sz="4" w:space="0" w:color="FFFFFF"/>
              <w:left w:val="single" w:sz="4" w:space="0" w:color="FFFFFF"/>
              <w:bottom w:val="single" w:sz="4" w:space="0" w:color="FFFFFF"/>
            </w:tcBorders>
            <w:shd w:val="clear" w:color="auto" w:fill="4BACC6"/>
            <w:vAlign w:val="bottom"/>
          </w:tcPr>
          <w:p w:rsidR="002316F9" w:rsidRPr="00343D80" w:rsidRDefault="002316F9" w:rsidP="002316F9">
            <w:pPr>
              <w:jc w:val="center"/>
              <w:rPr>
                <w:rFonts w:cs="Arial"/>
                <w:b/>
                <w:color w:val="FFFFFF"/>
                <w:sz w:val="20"/>
                <w:lang w:eastAsia="hr-HR"/>
              </w:rPr>
            </w:pPr>
            <w:r>
              <w:rPr>
                <w:rFonts w:cs="Arial"/>
                <w:b/>
                <w:color w:val="FFFFFF"/>
                <w:sz w:val="20"/>
                <w:lang w:eastAsia="hr-HR"/>
              </w:rPr>
              <w:t>%</w:t>
            </w:r>
          </w:p>
        </w:tc>
      </w:tr>
      <w:tr w:rsidR="002316F9" w:rsidRPr="00343D80" w:rsidTr="002316F9">
        <w:trPr>
          <w:trHeight w:val="552"/>
        </w:trPr>
        <w:tc>
          <w:tcPr>
            <w:tcW w:w="2139" w:type="dxa"/>
            <w:vMerge/>
            <w:tcBorders>
              <w:top w:val="single" w:sz="6" w:space="0" w:color="FFFFFF"/>
              <w:right w:val="single" w:sz="6" w:space="0" w:color="FFFFFF"/>
            </w:tcBorders>
            <w:shd w:val="clear" w:color="auto" w:fill="4BACC6"/>
            <w:vAlign w:val="center"/>
          </w:tcPr>
          <w:p w:rsidR="002316F9" w:rsidRPr="00343D80" w:rsidRDefault="002316F9" w:rsidP="002316F9">
            <w:pPr>
              <w:rPr>
                <w:rFonts w:cs="Arial"/>
                <w:b/>
                <w:color w:val="FFFFFF"/>
                <w:sz w:val="20"/>
                <w:lang w:eastAsia="hr-HR"/>
              </w:rPr>
            </w:pPr>
          </w:p>
        </w:tc>
        <w:tc>
          <w:tcPr>
            <w:tcW w:w="1417" w:type="dxa"/>
            <w:tcBorders>
              <w:top w:val="single" w:sz="4" w:space="0" w:color="FFFFFF"/>
              <w:left w:val="single" w:sz="6" w:space="0" w:color="FFFFFF"/>
              <w:right w:val="single" w:sz="6" w:space="0" w:color="FFFFFF"/>
            </w:tcBorders>
            <w:shd w:val="clear" w:color="auto" w:fill="4BACC6"/>
            <w:vAlign w:val="center"/>
          </w:tcPr>
          <w:p w:rsidR="002316F9" w:rsidRPr="00343D80" w:rsidRDefault="002316F9" w:rsidP="002316F9">
            <w:pPr>
              <w:jc w:val="center"/>
              <w:rPr>
                <w:rFonts w:cs="Arial"/>
                <w:b/>
                <w:color w:val="FFFFFF"/>
                <w:sz w:val="20"/>
              </w:rPr>
            </w:pPr>
            <w:r w:rsidRPr="00343D80">
              <w:rPr>
                <w:rFonts w:cs="Arial"/>
                <w:b/>
                <w:color w:val="FFFFFF"/>
                <w:sz w:val="20"/>
              </w:rPr>
              <w:t>Promet</w:t>
            </w:r>
          </w:p>
        </w:tc>
        <w:tc>
          <w:tcPr>
            <w:tcW w:w="1418" w:type="dxa"/>
            <w:tcBorders>
              <w:top w:val="single" w:sz="4" w:space="0" w:color="FFFFFF"/>
              <w:left w:val="single" w:sz="6" w:space="0" w:color="FFFFFF"/>
              <w:right w:val="single" w:sz="6" w:space="0" w:color="FFFFFF"/>
            </w:tcBorders>
            <w:shd w:val="clear" w:color="auto" w:fill="4BACC6"/>
            <w:vAlign w:val="center"/>
          </w:tcPr>
          <w:p w:rsidR="002316F9" w:rsidRPr="00343D80" w:rsidRDefault="002316F9" w:rsidP="002316F9">
            <w:pPr>
              <w:jc w:val="center"/>
              <w:rPr>
                <w:rFonts w:cs="Arial"/>
                <w:b/>
                <w:color w:val="FFFFFF"/>
                <w:sz w:val="20"/>
              </w:rPr>
            </w:pPr>
            <w:r w:rsidRPr="00343D80">
              <w:rPr>
                <w:rFonts w:cs="Arial"/>
                <w:b/>
                <w:color w:val="FFFFFF"/>
                <w:sz w:val="20"/>
              </w:rPr>
              <w:t>Javna rasvjeta</w:t>
            </w:r>
          </w:p>
        </w:tc>
        <w:tc>
          <w:tcPr>
            <w:tcW w:w="1417" w:type="dxa"/>
            <w:tcBorders>
              <w:top w:val="single" w:sz="6" w:space="0" w:color="FFFFFF"/>
              <w:left w:val="single" w:sz="6" w:space="0" w:color="FFFFFF"/>
              <w:right w:val="single" w:sz="6" w:space="0" w:color="FFFFFF"/>
            </w:tcBorders>
            <w:shd w:val="clear" w:color="auto" w:fill="4BACC6"/>
            <w:noWrap/>
            <w:vAlign w:val="center"/>
          </w:tcPr>
          <w:p w:rsidR="002316F9" w:rsidRPr="00343D80" w:rsidRDefault="002316F9" w:rsidP="002316F9">
            <w:pPr>
              <w:jc w:val="center"/>
              <w:rPr>
                <w:rFonts w:cs="Arial"/>
                <w:b/>
                <w:color w:val="FFFFFF"/>
                <w:sz w:val="20"/>
              </w:rPr>
            </w:pPr>
            <w:r w:rsidRPr="00343D80">
              <w:rPr>
                <w:rFonts w:cs="Arial"/>
                <w:b/>
                <w:color w:val="FFFFFF"/>
                <w:sz w:val="20"/>
              </w:rPr>
              <w:t>Zgradarstvo</w:t>
            </w:r>
          </w:p>
        </w:tc>
        <w:tc>
          <w:tcPr>
            <w:tcW w:w="1559" w:type="dxa"/>
            <w:tcBorders>
              <w:top w:val="single" w:sz="6" w:space="0" w:color="FFFFFF"/>
              <w:left w:val="single" w:sz="6" w:space="0" w:color="FFFFFF"/>
              <w:right w:val="single" w:sz="4" w:space="0" w:color="FFFFFF"/>
            </w:tcBorders>
            <w:shd w:val="clear" w:color="auto" w:fill="4BACC6"/>
            <w:noWrap/>
            <w:vAlign w:val="center"/>
          </w:tcPr>
          <w:p w:rsidR="002316F9" w:rsidRPr="00343D80" w:rsidRDefault="002316F9" w:rsidP="002316F9">
            <w:pPr>
              <w:jc w:val="center"/>
              <w:rPr>
                <w:rFonts w:cs="Arial"/>
                <w:b/>
                <w:color w:val="FFFFFF"/>
                <w:sz w:val="20"/>
              </w:rPr>
            </w:pPr>
            <w:r w:rsidRPr="00343D80">
              <w:rPr>
                <w:rFonts w:cs="Arial"/>
                <w:b/>
                <w:color w:val="FFFFFF"/>
                <w:sz w:val="20"/>
              </w:rPr>
              <w:t>Ukupno po energentima</w:t>
            </w:r>
          </w:p>
        </w:tc>
        <w:tc>
          <w:tcPr>
            <w:tcW w:w="1418" w:type="dxa"/>
            <w:tcBorders>
              <w:top w:val="single" w:sz="6" w:space="0" w:color="FFFFFF"/>
              <w:left w:val="single" w:sz="4" w:space="0" w:color="FFFFFF"/>
            </w:tcBorders>
            <w:shd w:val="clear" w:color="auto" w:fill="4BACC6"/>
            <w:vAlign w:val="center"/>
          </w:tcPr>
          <w:p w:rsidR="002316F9" w:rsidRPr="00343D80" w:rsidRDefault="002316F9" w:rsidP="002316F9">
            <w:pPr>
              <w:jc w:val="center"/>
              <w:rPr>
                <w:rFonts w:cs="Arial"/>
                <w:b/>
                <w:color w:val="FFFFFF"/>
                <w:sz w:val="20"/>
              </w:rPr>
            </w:pPr>
            <w:r>
              <w:rPr>
                <w:rFonts w:cs="Arial"/>
                <w:b/>
                <w:color w:val="FFFFFF"/>
                <w:sz w:val="20"/>
              </w:rPr>
              <w:t>Udio po energentima</w:t>
            </w:r>
          </w:p>
        </w:tc>
      </w:tr>
      <w:tr w:rsidR="002316F9" w:rsidRPr="00343D80" w:rsidTr="002316F9">
        <w:trPr>
          <w:trHeight w:val="255"/>
        </w:trPr>
        <w:tc>
          <w:tcPr>
            <w:tcW w:w="2139" w:type="dxa"/>
            <w:noWrap/>
            <w:vAlign w:val="bottom"/>
          </w:tcPr>
          <w:p w:rsidR="002316F9" w:rsidRPr="00343D80" w:rsidRDefault="002316F9" w:rsidP="002316F9">
            <w:pPr>
              <w:rPr>
                <w:rFonts w:cs="Arial"/>
                <w:color w:val="000000"/>
                <w:sz w:val="20"/>
              </w:rPr>
            </w:pPr>
            <w:r w:rsidRPr="00343D80">
              <w:rPr>
                <w:rFonts w:cs="Arial"/>
                <w:color w:val="000000"/>
                <w:sz w:val="20"/>
              </w:rPr>
              <w:t>Dizel</w:t>
            </w:r>
          </w:p>
        </w:tc>
        <w:tc>
          <w:tcPr>
            <w:tcW w:w="1417" w:type="dxa"/>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545.266,1</w:t>
            </w:r>
          </w:p>
        </w:tc>
        <w:tc>
          <w:tcPr>
            <w:tcW w:w="1418" w:type="dxa"/>
            <w:noWrap/>
            <w:vAlign w:val="bottom"/>
          </w:tcPr>
          <w:p w:rsidR="002316F9" w:rsidRPr="002F3942" w:rsidRDefault="002316F9" w:rsidP="002316F9">
            <w:pPr>
              <w:rPr>
                <w:rFonts w:cs="Arial"/>
                <w:color w:val="000000"/>
                <w:sz w:val="18"/>
                <w:szCs w:val="18"/>
              </w:rPr>
            </w:pPr>
          </w:p>
        </w:tc>
        <w:tc>
          <w:tcPr>
            <w:tcW w:w="1417" w:type="dxa"/>
            <w:noWrap/>
            <w:vAlign w:val="bottom"/>
          </w:tcPr>
          <w:p w:rsidR="002316F9" w:rsidRPr="002F3942" w:rsidRDefault="002316F9" w:rsidP="002316F9">
            <w:pPr>
              <w:rPr>
                <w:rFonts w:cs="Arial"/>
                <w:color w:val="000000"/>
                <w:sz w:val="18"/>
                <w:szCs w:val="18"/>
              </w:rPr>
            </w:pPr>
          </w:p>
        </w:tc>
        <w:tc>
          <w:tcPr>
            <w:tcW w:w="1559" w:type="dxa"/>
            <w:tcBorders>
              <w:right w:val="single" w:sz="4" w:space="0" w:color="4BACC6"/>
            </w:tcBorders>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545.266,1</w:t>
            </w:r>
          </w:p>
        </w:tc>
        <w:tc>
          <w:tcPr>
            <w:tcW w:w="1418" w:type="dxa"/>
            <w:tcBorders>
              <w:left w:val="single" w:sz="4" w:space="0" w:color="4BACC6"/>
            </w:tcBorders>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19,50</w:t>
            </w:r>
          </w:p>
        </w:tc>
      </w:tr>
      <w:tr w:rsidR="002316F9" w:rsidRPr="00343D80" w:rsidTr="002316F9">
        <w:trPr>
          <w:trHeight w:val="255"/>
        </w:trPr>
        <w:tc>
          <w:tcPr>
            <w:tcW w:w="2139" w:type="dxa"/>
            <w:noWrap/>
            <w:vAlign w:val="bottom"/>
          </w:tcPr>
          <w:p w:rsidR="002316F9" w:rsidRPr="00343D80" w:rsidRDefault="002316F9" w:rsidP="002316F9">
            <w:pPr>
              <w:rPr>
                <w:rFonts w:cs="Arial"/>
                <w:color w:val="000000"/>
                <w:sz w:val="20"/>
              </w:rPr>
            </w:pPr>
            <w:r w:rsidRPr="00343D80">
              <w:rPr>
                <w:rFonts w:cs="Arial"/>
                <w:color w:val="000000"/>
                <w:sz w:val="20"/>
              </w:rPr>
              <w:t>Loživo ulje</w:t>
            </w:r>
          </w:p>
        </w:tc>
        <w:tc>
          <w:tcPr>
            <w:tcW w:w="1417" w:type="dxa"/>
            <w:noWrap/>
            <w:vAlign w:val="bottom"/>
          </w:tcPr>
          <w:p w:rsidR="002316F9" w:rsidRPr="002F3942" w:rsidRDefault="002316F9" w:rsidP="002316F9">
            <w:pPr>
              <w:rPr>
                <w:rFonts w:cs="Arial"/>
                <w:color w:val="000000"/>
                <w:sz w:val="18"/>
                <w:szCs w:val="18"/>
              </w:rPr>
            </w:pPr>
          </w:p>
        </w:tc>
        <w:tc>
          <w:tcPr>
            <w:tcW w:w="1418" w:type="dxa"/>
            <w:noWrap/>
            <w:vAlign w:val="bottom"/>
          </w:tcPr>
          <w:p w:rsidR="002316F9" w:rsidRPr="002F3942" w:rsidRDefault="002316F9" w:rsidP="002316F9">
            <w:pPr>
              <w:rPr>
                <w:rFonts w:cs="Arial"/>
                <w:color w:val="000000"/>
                <w:sz w:val="18"/>
                <w:szCs w:val="18"/>
              </w:rPr>
            </w:pPr>
          </w:p>
        </w:tc>
        <w:tc>
          <w:tcPr>
            <w:tcW w:w="1417" w:type="dxa"/>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100.000,2</w:t>
            </w:r>
          </w:p>
        </w:tc>
        <w:tc>
          <w:tcPr>
            <w:tcW w:w="1559" w:type="dxa"/>
            <w:tcBorders>
              <w:right w:val="single" w:sz="4" w:space="0" w:color="4BACC6"/>
            </w:tcBorders>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100.000,2</w:t>
            </w:r>
          </w:p>
        </w:tc>
        <w:tc>
          <w:tcPr>
            <w:tcW w:w="1418" w:type="dxa"/>
            <w:tcBorders>
              <w:left w:val="single" w:sz="4" w:space="0" w:color="4BACC6"/>
            </w:tcBorders>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3,58</w:t>
            </w:r>
          </w:p>
        </w:tc>
      </w:tr>
      <w:tr w:rsidR="002316F9" w:rsidRPr="00343D80" w:rsidTr="002316F9">
        <w:trPr>
          <w:trHeight w:val="255"/>
        </w:trPr>
        <w:tc>
          <w:tcPr>
            <w:tcW w:w="2139" w:type="dxa"/>
            <w:noWrap/>
            <w:vAlign w:val="bottom"/>
          </w:tcPr>
          <w:p w:rsidR="002316F9" w:rsidRPr="00343D80" w:rsidRDefault="002316F9" w:rsidP="002316F9">
            <w:pPr>
              <w:rPr>
                <w:rFonts w:cs="Arial"/>
                <w:color w:val="000000"/>
                <w:sz w:val="20"/>
              </w:rPr>
            </w:pPr>
            <w:r w:rsidRPr="00343D80">
              <w:rPr>
                <w:rFonts w:cs="Arial"/>
                <w:color w:val="000000"/>
                <w:sz w:val="20"/>
              </w:rPr>
              <w:t>Motorni benzin</w:t>
            </w:r>
          </w:p>
        </w:tc>
        <w:tc>
          <w:tcPr>
            <w:tcW w:w="1417" w:type="dxa"/>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433.828,8</w:t>
            </w:r>
          </w:p>
        </w:tc>
        <w:tc>
          <w:tcPr>
            <w:tcW w:w="1418" w:type="dxa"/>
            <w:noWrap/>
            <w:vAlign w:val="bottom"/>
          </w:tcPr>
          <w:p w:rsidR="002316F9" w:rsidRPr="002F3942" w:rsidRDefault="002316F9" w:rsidP="002316F9">
            <w:pPr>
              <w:rPr>
                <w:rFonts w:cs="Arial"/>
                <w:color w:val="000000"/>
                <w:sz w:val="18"/>
                <w:szCs w:val="18"/>
              </w:rPr>
            </w:pPr>
          </w:p>
        </w:tc>
        <w:tc>
          <w:tcPr>
            <w:tcW w:w="1417" w:type="dxa"/>
            <w:noWrap/>
            <w:vAlign w:val="bottom"/>
          </w:tcPr>
          <w:p w:rsidR="002316F9" w:rsidRPr="002F3942" w:rsidRDefault="002316F9" w:rsidP="002316F9">
            <w:pPr>
              <w:rPr>
                <w:rFonts w:cs="Arial"/>
                <w:color w:val="000000"/>
                <w:sz w:val="18"/>
                <w:szCs w:val="18"/>
              </w:rPr>
            </w:pPr>
          </w:p>
        </w:tc>
        <w:tc>
          <w:tcPr>
            <w:tcW w:w="1559" w:type="dxa"/>
            <w:tcBorders>
              <w:right w:val="single" w:sz="4" w:space="0" w:color="4BACC6"/>
            </w:tcBorders>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433.828,8</w:t>
            </w:r>
          </w:p>
        </w:tc>
        <w:tc>
          <w:tcPr>
            <w:tcW w:w="1418" w:type="dxa"/>
            <w:tcBorders>
              <w:left w:val="single" w:sz="4" w:space="0" w:color="4BACC6"/>
            </w:tcBorders>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15,52</w:t>
            </w:r>
          </w:p>
        </w:tc>
      </w:tr>
      <w:tr w:rsidR="002316F9" w:rsidRPr="00343D80" w:rsidTr="002316F9">
        <w:trPr>
          <w:trHeight w:val="255"/>
        </w:trPr>
        <w:tc>
          <w:tcPr>
            <w:tcW w:w="2139" w:type="dxa"/>
            <w:noWrap/>
            <w:vAlign w:val="bottom"/>
          </w:tcPr>
          <w:p w:rsidR="002316F9" w:rsidRPr="00343D80" w:rsidRDefault="002316F9" w:rsidP="002316F9">
            <w:pPr>
              <w:rPr>
                <w:rFonts w:cs="Arial"/>
                <w:color w:val="000000"/>
                <w:sz w:val="20"/>
              </w:rPr>
            </w:pPr>
            <w:r w:rsidRPr="00343D80">
              <w:rPr>
                <w:rFonts w:cs="Arial"/>
                <w:color w:val="000000"/>
                <w:sz w:val="20"/>
              </w:rPr>
              <w:t>Biodizel</w:t>
            </w:r>
          </w:p>
        </w:tc>
        <w:tc>
          <w:tcPr>
            <w:tcW w:w="1417" w:type="dxa"/>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0,0</w:t>
            </w:r>
          </w:p>
        </w:tc>
        <w:tc>
          <w:tcPr>
            <w:tcW w:w="1418" w:type="dxa"/>
            <w:noWrap/>
            <w:vAlign w:val="bottom"/>
          </w:tcPr>
          <w:p w:rsidR="002316F9" w:rsidRPr="002F3942" w:rsidRDefault="002316F9" w:rsidP="002316F9">
            <w:pPr>
              <w:rPr>
                <w:rFonts w:cs="Arial"/>
                <w:color w:val="000000"/>
                <w:sz w:val="18"/>
                <w:szCs w:val="18"/>
              </w:rPr>
            </w:pPr>
          </w:p>
        </w:tc>
        <w:tc>
          <w:tcPr>
            <w:tcW w:w="1417" w:type="dxa"/>
            <w:noWrap/>
            <w:vAlign w:val="bottom"/>
          </w:tcPr>
          <w:p w:rsidR="002316F9" w:rsidRPr="002F3942" w:rsidRDefault="002316F9" w:rsidP="002316F9">
            <w:pPr>
              <w:rPr>
                <w:rFonts w:cs="Arial"/>
                <w:color w:val="000000"/>
                <w:sz w:val="18"/>
                <w:szCs w:val="18"/>
              </w:rPr>
            </w:pPr>
          </w:p>
        </w:tc>
        <w:tc>
          <w:tcPr>
            <w:tcW w:w="1559" w:type="dxa"/>
            <w:tcBorders>
              <w:right w:val="single" w:sz="4" w:space="0" w:color="4BACC6"/>
            </w:tcBorders>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0,0</w:t>
            </w:r>
          </w:p>
        </w:tc>
        <w:tc>
          <w:tcPr>
            <w:tcW w:w="1418" w:type="dxa"/>
            <w:tcBorders>
              <w:left w:val="single" w:sz="4" w:space="0" w:color="4BACC6"/>
            </w:tcBorders>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0,00</w:t>
            </w:r>
          </w:p>
        </w:tc>
      </w:tr>
      <w:tr w:rsidR="002316F9" w:rsidRPr="00343D80" w:rsidTr="002316F9">
        <w:trPr>
          <w:trHeight w:val="255"/>
        </w:trPr>
        <w:tc>
          <w:tcPr>
            <w:tcW w:w="2139" w:type="dxa"/>
            <w:noWrap/>
            <w:vAlign w:val="bottom"/>
          </w:tcPr>
          <w:p w:rsidR="002316F9" w:rsidRPr="00343D80" w:rsidRDefault="002316F9" w:rsidP="002316F9">
            <w:pPr>
              <w:rPr>
                <w:rFonts w:cs="Arial"/>
                <w:color w:val="000000"/>
                <w:sz w:val="20"/>
              </w:rPr>
            </w:pPr>
            <w:r w:rsidRPr="00343D80">
              <w:rPr>
                <w:rFonts w:cs="Arial"/>
                <w:color w:val="000000"/>
                <w:sz w:val="20"/>
              </w:rPr>
              <w:t>UNP</w:t>
            </w:r>
          </w:p>
        </w:tc>
        <w:tc>
          <w:tcPr>
            <w:tcW w:w="1417" w:type="dxa"/>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8.391,0</w:t>
            </w:r>
          </w:p>
        </w:tc>
        <w:tc>
          <w:tcPr>
            <w:tcW w:w="1418" w:type="dxa"/>
            <w:noWrap/>
            <w:vAlign w:val="bottom"/>
          </w:tcPr>
          <w:p w:rsidR="002316F9" w:rsidRPr="002F3942" w:rsidRDefault="002316F9" w:rsidP="002316F9">
            <w:pPr>
              <w:rPr>
                <w:rFonts w:cs="Arial"/>
                <w:color w:val="000000"/>
                <w:sz w:val="18"/>
                <w:szCs w:val="18"/>
              </w:rPr>
            </w:pPr>
          </w:p>
        </w:tc>
        <w:tc>
          <w:tcPr>
            <w:tcW w:w="1417" w:type="dxa"/>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58,0</w:t>
            </w:r>
          </w:p>
        </w:tc>
        <w:tc>
          <w:tcPr>
            <w:tcW w:w="1559" w:type="dxa"/>
            <w:tcBorders>
              <w:right w:val="single" w:sz="4" w:space="0" w:color="4BACC6"/>
            </w:tcBorders>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8.449,0</w:t>
            </w:r>
          </w:p>
        </w:tc>
        <w:tc>
          <w:tcPr>
            <w:tcW w:w="1418" w:type="dxa"/>
            <w:tcBorders>
              <w:left w:val="single" w:sz="4" w:space="0" w:color="4BACC6"/>
            </w:tcBorders>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0,30</w:t>
            </w:r>
          </w:p>
        </w:tc>
      </w:tr>
      <w:tr w:rsidR="002316F9" w:rsidRPr="00343D80" w:rsidTr="002316F9">
        <w:trPr>
          <w:trHeight w:val="255"/>
        </w:trPr>
        <w:tc>
          <w:tcPr>
            <w:tcW w:w="2139" w:type="dxa"/>
            <w:noWrap/>
            <w:vAlign w:val="bottom"/>
          </w:tcPr>
          <w:p w:rsidR="002316F9" w:rsidRPr="00343D80" w:rsidRDefault="002316F9" w:rsidP="002316F9">
            <w:pPr>
              <w:rPr>
                <w:rFonts w:cs="Arial"/>
                <w:color w:val="000000"/>
                <w:sz w:val="20"/>
              </w:rPr>
            </w:pPr>
            <w:r w:rsidRPr="00343D80">
              <w:rPr>
                <w:rFonts w:cs="Arial"/>
                <w:color w:val="000000"/>
                <w:sz w:val="20"/>
              </w:rPr>
              <w:t>Prirodni plin</w:t>
            </w:r>
          </w:p>
        </w:tc>
        <w:tc>
          <w:tcPr>
            <w:tcW w:w="1417" w:type="dxa"/>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90,1</w:t>
            </w:r>
          </w:p>
        </w:tc>
        <w:tc>
          <w:tcPr>
            <w:tcW w:w="1418" w:type="dxa"/>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73,3</w:t>
            </w:r>
          </w:p>
        </w:tc>
        <w:tc>
          <w:tcPr>
            <w:tcW w:w="1417" w:type="dxa"/>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634.049,2</w:t>
            </w:r>
          </w:p>
        </w:tc>
        <w:tc>
          <w:tcPr>
            <w:tcW w:w="1559" w:type="dxa"/>
            <w:tcBorders>
              <w:right w:val="single" w:sz="4" w:space="0" w:color="4BACC6"/>
            </w:tcBorders>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634.212,5</w:t>
            </w:r>
          </w:p>
        </w:tc>
        <w:tc>
          <w:tcPr>
            <w:tcW w:w="1418" w:type="dxa"/>
            <w:tcBorders>
              <w:left w:val="single" w:sz="4" w:space="0" w:color="4BACC6"/>
            </w:tcBorders>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22,68</w:t>
            </w:r>
          </w:p>
        </w:tc>
      </w:tr>
      <w:tr w:rsidR="002316F9" w:rsidRPr="00343D80" w:rsidTr="002316F9">
        <w:trPr>
          <w:trHeight w:val="255"/>
        </w:trPr>
        <w:tc>
          <w:tcPr>
            <w:tcW w:w="2139" w:type="dxa"/>
            <w:noWrap/>
            <w:vAlign w:val="bottom"/>
          </w:tcPr>
          <w:p w:rsidR="002316F9" w:rsidRPr="00343D80" w:rsidRDefault="002316F9" w:rsidP="002316F9">
            <w:pPr>
              <w:rPr>
                <w:rFonts w:cs="Arial"/>
                <w:color w:val="000000"/>
                <w:sz w:val="20"/>
              </w:rPr>
            </w:pPr>
            <w:r w:rsidRPr="00343D80">
              <w:rPr>
                <w:rFonts w:cs="Arial"/>
                <w:color w:val="000000"/>
                <w:sz w:val="20"/>
              </w:rPr>
              <w:t>Ogrjevno drvo</w:t>
            </w:r>
          </w:p>
        </w:tc>
        <w:tc>
          <w:tcPr>
            <w:tcW w:w="1417" w:type="dxa"/>
            <w:noWrap/>
            <w:vAlign w:val="bottom"/>
          </w:tcPr>
          <w:p w:rsidR="002316F9" w:rsidRPr="002F3942" w:rsidRDefault="002316F9" w:rsidP="002316F9">
            <w:pPr>
              <w:rPr>
                <w:rFonts w:cs="Arial"/>
                <w:color w:val="000000"/>
                <w:sz w:val="18"/>
                <w:szCs w:val="18"/>
              </w:rPr>
            </w:pPr>
          </w:p>
        </w:tc>
        <w:tc>
          <w:tcPr>
            <w:tcW w:w="1418" w:type="dxa"/>
            <w:noWrap/>
            <w:vAlign w:val="bottom"/>
          </w:tcPr>
          <w:p w:rsidR="002316F9" w:rsidRPr="002F3942" w:rsidRDefault="002316F9" w:rsidP="002316F9">
            <w:pPr>
              <w:rPr>
                <w:rFonts w:cs="Arial"/>
                <w:color w:val="000000"/>
                <w:sz w:val="18"/>
                <w:szCs w:val="18"/>
              </w:rPr>
            </w:pPr>
          </w:p>
        </w:tc>
        <w:tc>
          <w:tcPr>
            <w:tcW w:w="1417" w:type="dxa"/>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0,0</w:t>
            </w:r>
          </w:p>
        </w:tc>
        <w:tc>
          <w:tcPr>
            <w:tcW w:w="1559" w:type="dxa"/>
            <w:tcBorders>
              <w:right w:val="single" w:sz="4" w:space="0" w:color="4BACC6"/>
            </w:tcBorders>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0,0</w:t>
            </w:r>
          </w:p>
        </w:tc>
        <w:tc>
          <w:tcPr>
            <w:tcW w:w="1418" w:type="dxa"/>
            <w:tcBorders>
              <w:left w:val="single" w:sz="4" w:space="0" w:color="4BACC6"/>
            </w:tcBorders>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0,00</w:t>
            </w:r>
          </w:p>
        </w:tc>
      </w:tr>
      <w:tr w:rsidR="002316F9" w:rsidRPr="00343D80" w:rsidTr="002316F9">
        <w:trPr>
          <w:trHeight w:val="255"/>
        </w:trPr>
        <w:tc>
          <w:tcPr>
            <w:tcW w:w="2139" w:type="dxa"/>
            <w:noWrap/>
            <w:vAlign w:val="bottom"/>
          </w:tcPr>
          <w:p w:rsidR="002316F9" w:rsidRPr="00343D80" w:rsidRDefault="002316F9" w:rsidP="002316F9">
            <w:pPr>
              <w:rPr>
                <w:rFonts w:cs="Arial"/>
                <w:color w:val="000000"/>
                <w:sz w:val="20"/>
              </w:rPr>
            </w:pPr>
            <w:r w:rsidRPr="00343D80">
              <w:rPr>
                <w:rFonts w:cs="Arial"/>
                <w:color w:val="000000"/>
                <w:sz w:val="20"/>
              </w:rPr>
              <w:t>Električna energija</w:t>
            </w:r>
          </w:p>
        </w:tc>
        <w:tc>
          <w:tcPr>
            <w:tcW w:w="1417" w:type="dxa"/>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19.867,1</w:t>
            </w:r>
          </w:p>
        </w:tc>
        <w:tc>
          <w:tcPr>
            <w:tcW w:w="1418" w:type="dxa"/>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29.102,3</w:t>
            </w:r>
          </w:p>
        </w:tc>
        <w:tc>
          <w:tcPr>
            <w:tcW w:w="1417" w:type="dxa"/>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559.639,7</w:t>
            </w:r>
          </w:p>
        </w:tc>
        <w:tc>
          <w:tcPr>
            <w:tcW w:w="1559" w:type="dxa"/>
            <w:tcBorders>
              <w:right w:val="single" w:sz="4" w:space="0" w:color="4BACC6"/>
            </w:tcBorders>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608.609,1</w:t>
            </w:r>
          </w:p>
        </w:tc>
        <w:tc>
          <w:tcPr>
            <w:tcW w:w="1418" w:type="dxa"/>
            <w:tcBorders>
              <w:left w:val="single" w:sz="4" w:space="0" w:color="4BACC6"/>
            </w:tcBorders>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21,77</w:t>
            </w:r>
          </w:p>
        </w:tc>
      </w:tr>
      <w:tr w:rsidR="002316F9" w:rsidRPr="00343D80" w:rsidTr="002316F9">
        <w:trPr>
          <w:trHeight w:val="255"/>
        </w:trPr>
        <w:tc>
          <w:tcPr>
            <w:tcW w:w="2139" w:type="dxa"/>
            <w:noWrap/>
            <w:vAlign w:val="bottom"/>
          </w:tcPr>
          <w:p w:rsidR="002316F9" w:rsidRPr="00343D80" w:rsidRDefault="002316F9" w:rsidP="002316F9">
            <w:pPr>
              <w:rPr>
                <w:rFonts w:cs="Arial"/>
                <w:color w:val="000000"/>
                <w:sz w:val="20"/>
              </w:rPr>
            </w:pPr>
            <w:r w:rsidRPr="00343D80">
              <w:rPr>
                <w:rFonts w:cs="Arial"/>
                <w:color w:val="000000"/>
                <w:sz w:val="20"/>
              </w:rPr>
              <w:t>Toplina</w:t>
            </w:r>
          </w:p>
        </w:tc>
        <w:tc>
          <w:tcPr>
            <w:tcW w:w="1417" w:type="dxa"/>
            <w:noWrap/>
            <w:vAlign w:val="bottom"/>
          </w:tcPr>
          <w:p w:rsidR="002316F9" w:rsidRPr="002F3942" w:rsidRDefault="002316F9" w:rsidP="002316F9">
            <w:pPr>
              <w:rPr>
                <w:rFonts w:cs="Arial"/>
                <w:color w:val="000000"/>
                <w:sz w:val="18"/>
                <w:szCs w:val="18"/>
              </w:rPr>
            </w:pPr>
          </w:p>
        </w:tc>
        <w:tc>
          <w:tcPr>
            <w:tcW w:w="1418" w:type="dxa"/>
            <w:noWrap/>
            <w:vAlign w:val="bottom"/>
          </w:tcPr>
          <w:p w:rsidR="002316F9" w:rsidRPr="002F3942" w:rsidRDefault="002316F9" w:rsidP="002316F9">
            <w:pPr>
              <w:rPr>
                <w:rFonts w:cs="Arial"/>
                <w:color w:val="000000"/>
                <w:sz w:val="18"/>
                <w:szCs w:val="18"/>
              </w:rPr>
            </w:pPr>
          </w:p>
        </w:tc>
        <w:tc>
          <w:tcPr>
            <w:tcW w:w="1417" w:type="dxa"/>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465.685,2</w:t>
            </w:r>
          </w:p>
        </w:tc>
        <w:tc>
          <w:tcPr>
            <w:tcW w:w="1559" w:type="dxa"/>
            <w:tcBorders>
              <w:right w:val="single" w:sz="4" w:space="0" w:color="4BACC6"/>
            </w:tcBorders>
            <w:noWrap/>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465.685,2</w:t>
            </w:r>
          </w:p>
        </w:tc>
        <w:tc>
          <w:tcPr>
            <w:tcW w:w="1418" w:type="dxa"/>
            <w:tcBorders>
              <w:left w:val="single" w:sz="4" w:space="0" w:color="4BACC6"/>
            </w:tcBorders>
            <w:vAlign w:val="bottom"/>
          </w:tcPr>
          <w:p w:rsidR="002316F9" w:rsidRPr="002F3942" w:rsidRDefault="002316F9" w:rsidP="002316F9">
            <w:pPr>
              <w:jc w:val="right"/>
              <w:rPr>
                <w:rFonts w:cs="Arial"/>
                <w:color w:val="000000"/>
                <w:sz w:val="18"/>
                <w:szCs w:val="18"/>
              </w:rPr>
            </w:pPr>
            <w:r w:rsidRPr="002F3942">
              <w:rPr>
                <w:rFonts w:cs="Arial"/>
                <w:color w:val="000000"/>
                <w:sz w:val="18"/>
                <w:szCs w:val="18"/>
              </w:rPr>
              <w:t>16,66</w:t>
            </w:r>
          </w:p>
        </w:tc>
      </w:tr>
      <w:tr w:rsidR="002316F9" w:rsidRPr="002F3942" w:rsidTr="002316F9">
        <w:trPr>
          <w:trHeight w:val="438"/>
        </w:trPr>
        <w:tc>
          <w:tcPr>
            <w:tcW w:w="2139" w:type="dxa"/>
            <w:shd w:val="clear" w:color="auto" w:fill="DAEEF3"/>
            <w:noWrap/>
            <w:vAlign w:val="center"/>
          </w:tcPr>
          <w:p w:rsidR="002316F9" w:rsidRPr="002F3942" w:rsidRDefault="002316F9" w:rsidP="002316F9">
            <w:pPr>
              <w:jc w:val="center"/>
              <w:rPr>
                <w:rFonts w:cs="Arial"/>
                <w:b/>
                <w:color w:val="000000"/>
                <w:sz w:val="20"/>
              </w:rPr>
            </w:pPr>
            <w:r w:rsidRPr="002F3942">
              <w:rPr>
                <w:rFonts w:cs="Arial"/>
                <w:b/>
                <w:color w:val="000000"/>
                <w:sz w:val="20"/>
              </w:rPr>
              <w:t>UKUPNO</w:t>
            </w:r>
          </w:p>
        </w:tc>
        <w:tc>
          <w:tcPr>
            <w:tcW w:w="1417" w:type="dxa"/>
            <w:shd w:val="clear" w:color="auto" w:fill="DAEEF3"/>
            <w:noWrap/>
            <w:vAlign w:val="center"/>
          </w:tcPr>
          <w:p w:rsidR="002316F9" w:rsidRPr="002F3942" w:rsidRDefault="002316F9" w:rsidP="002316F9">
            <w:pPr>
              <w:jc w:val="center"/>
              <w:rPr>
                <w:rFonts w:cs="Arial"/>
                <w:b/>
                <w:color w:val="000000"/>
                <w:sz w:val="18"/>
                <w:szCs w:val="18"/>
              </w:rPr>
            </w:pPr>
            <w:r w:rsidRPr="002F3942">
              <w:rPr>
                <w:rFonts w:cs="Arial"/>
                <w:b/>
                <w:color w:val="000000"/>
                <w:sz w:val="18"/>
                <w:szCs w:val="18"/>
              </w:rPr>
              <w:t>1.007.443,1</w:t>
            </w:r>
          </w:p>
        </w:tc>
        <w:tc>
          <w:tcPr>
            <w:tcW w:w="1418" w:type="dxa"/>
            <w:shd w:val="clear" w:color="auto" w:fill="DAEEF3"/>
            <w:noWrap/>
            <w:vAlign w:val="center"/>
          </w:tcPr>
          <w:p w:rsidR="002316F9" w:rsidRPr="002F3942" w:rsidRDefault="002316F9" w:rsidP="002316F9">
            <w:pPr>
              <w:jc w:val="center"/>
              <w:rPr>
                <w:rFonts w:cs="Arial"/>
                <w:b/>
                <w:color w:val="000000"/>
                <w:sz w:val="18"/>
                <w:szCs w:val="18"/>
              </w:rPr>
            </w:pPr>
            <w:r w:rsidRPr="002F3942">
              <w:rPr>
                <w:rFonts w:cs="Arial"/>
                <w:b/>
                <w:color w:val="000000"/>
                <w:sz w:val="18"/>
                <w:szCs w:val="18"/>
              </w:rPr>
              <w:t>29.175,6</w:t>
            </w:r>
          </w:p>
        </w:tc>
        <w:tc>
          <w:tcPr>
            <w:tcW w:w="1417" w:type="dxa"/>
            <w:shd w:val="clear" w:color="auto" w:fill="DAEEF3"/>
            <w:noWrap/>
            <w:vAlign w:val="center"/>
          </w:tcPr>
          <w:p w:rsidR="002316F9" w:rsidRPr="002F3942" w:rsidRDefault="002316F9" w:rsidP="002316F9">
            <w:pPr>
              <w:jc w:val="center"/>
              <w:rPr>
                <w:rFonts w:cs="Arial"/>
                <w:b/>
                <w:color w:val="000000"/>
                <w:sz w:val="18"/>
                <w:szCs w:val="18"/>
              </w:rPr>
            </w:pPr>
            <w:r w:rsidRPr="002F3942">
              <w:rPr>
                <w:rFonts w:cs="Arial"/>
                <w:b/>
                <w:color w:val="000000"/>
                <w:sz w:val="18"/>
                <w:szCs w:val="18"/>
              </w:rPr>
              <w:t>1.759.432,3</w:t>
            </w:r>
          </w:p>
        </w:tc>
        <w:tc>
          <w:tcPr>
            <w:tcW w:w="1559" w:type="dxa"/>
            <w:tcBorders>
              <w:right w:val="single" w:sz="4" w:space="0" w:color="4BACC6"/>
            </w:tcBorders>
            <w:shd w:val="clear" w:color="auto" w:fill="DAEEF3"/>
            <w:noWrap/>
            <w:vAlign w:val="center"/>
          </w:tcPr>
          <w:p w:rsidR="002316F9" w:rsidRPr="002F3942" w:rsidRDefault="002316F9" w:rsidP="002316F9">
            <w:pPr>
              <w:jc w:val="center"/>
              <w:rPr>
                <w:rFonts w:cs="Arial"/>
                <w:b/>
                <w:color w:val="000000"/>
                <w:sz w:val="18"/>
                <w:szCs w:val="18"/>
              </w:rPr>
            </w:pPr>
            <w:r w:rsidRPr="002F3942">
              <w:rPr>
                <w:rFonts w:cs="Arial"/>
                <w:b/>
                <w:color w:val="000000"/>
                <w:sz w:val="18"/>
                <w:szCs w:val="18"/>
              </w:rPr>
              <w:t>2.796.050,9</w:t>
            </w:r>
          </w:p>
        </w:tc>
        <w:tc>
          <w:tcPr>
            <w:tcW w:w="1418" w:type="dxa"/>
            <w:tcBorders>
              <w:left w:val="single" w:sz="4" w:space="0" w:color="4BACC6"/>
            </w:tcBorders>
            <w:shd w:val="clear" w:color="auto" w:fill="DAEEF3"/>
            <w:vAlign w:val="center"/>
          </w:tcPr>
          <w:p w:rsidR="002316F9" w:rsidRPr="002F3942" w:rsidRDefault="002316F9" w:rsidP="002316F9">
            <w:pPr>
              <w:jc w:val="center"/>
              <w:rPr>
                <w:rFonts w:cs="Arial"/>
                <w:b/>
                <w:color w:val="000000"/>
                <w:sz w:val="18"/>
                <w:szCs w:val="18"/>
              </w:rPr>
            </w:pPr>
            <w:r w:rsidRPr="002F3942">
              <w:rPr>
                <w:rFonts w:cs="Arial"/>
                <w:b/>
                <w:color w:val="000000"/>
                <w:sz w:val="18"/>
                <w:szCs w:val="18"/>
              </w:rPr>
              <w:t>100,00</w:t>
            </w:r>
          </w:p>
        </w:tc>
      </w:tr>
      <w:tr w:rsidR="002316F9" w:rsidRPr="002F3942" w:rsidTr="002316F9">
        <w:trPr>
          <w:trHeight w:val="416"/>
        </w:trPr>
        <w:tc>
          <w:tcPr>
            <w:tcW w:w="2139" w:type="dxa"/>
            <w:shd w:val="clear" w:color="auto" w:fill="DAEEF3"/>
            <w:noWrap/>
            <w:vAlign w:val="center"/>
          </w:tcPr>
          <w:p w:rsidR="002316F9" w:rsidRPr="002F3942" w:rsidRDefault="002316F9" w:rsidP="002316F9">
            <w:pPr>
              <w:jc w:val="center"/>
              <w:rPr>
                <w:rFonts w:cs="Arial"/>
                <w:b/>
                <w:color w:val="000000"/>
                <w:sz w:val="20"/>
              </w:rPr>
            </w:pPr>
            <w:r w:rsidRPr="002F3942">
              <w:rPr>
                <w:rFonts w:cs="Arial"/>
                <w:b/>
                <w:color w:val="000000"/>
                <w:sz w:val="20"/>
              </w:rPr>
              <w:t>Udio pojedinog sektora, %</w:t>
            </w:r>
          </w:p>
        </w:tc>
        <w:tc>
          <w:tcPr>
            <w:tcW w:w="1417" w:type="dxa"/>
            <w:shd w:val="clear" w:color="auto" w:fill="DAEEF3"/>
            <w:noWrap/>
            <w:vAlign w:val="center"/>
          </w:tcPr>
          <w:p w:rsidR="002316F9" w:rsidRPr="002F3942" w:rsidRDefault="002316F9" w:rsidP="002316F9">
            <w:pPr>
              <w:jc w:val="center"/>
              <w:rPr>
                <w:rFonts w:cs="Arial"/>
                <w:b/>
                <w:color w:val="000000"/>
                <w:sz w:val="18"/>
                <w:szCs w:val="18"/>
              </w:rPr>
            </w:pPr>
            <w:r w:rsidRPr="002F3942">
              <w:rPr>
                <w:rFonts w:cs="Arial"/>
                <w:b/>
                <w:color w:val="000000"/>
                <w:sz w:val="18"/>
                <w:szCs w:val="18"/>
              </w:rPr>
              <w:t>36,03</w:t>
            </w:r>
          </w:p>
        </w:tc>
        <w:tc>
          <w:tcPr>
            <w:tcW w:w="1418" w:type="dxa"/>
            <w:shd w:val="clear" w:color="auto" w:fill="DAEEF3"/>
            <w:noWrap/>
            <w:vAlign w:val="center"/>
          </w:tcPr>
          <w:p w:rsidR="002316F9" w:rsidRPr="002F3942" w:rsidRDefault="002316F9" w:rsidP="002316F9">
            <w:pPr>
              <w:jc w:val="center"/>
              <w:rPr>
                <w:rFonts w:cs="Arial"/>
                <w:b/>
                <w:color w:val="000000"/>
                <w:sz w:val="18"/>
                <w:szCs w:val="18"/>
              </w:rPr>
            </w:pPr>
            <w:r w:rsidRPr="002F3942">
              <w:rPr>
                <w:rFonts w:cs="Arial"/>
                <w:b/>
                <w:color w:val="000000"/>
                <w:sz w:val="18"/>
                <w:szCs w:val="18"/>
              </w:rPr>
              <w:t>1,04</w:t>
            </w:r>
          </w:p>
        </w:tc>
        <w:tc>
          <w:tcPr>
            <w:tcW w:w="1417" w:type="dxa"/>
            <w:shd w:val="clear" w:color="auto" w:fill="DAEEF3"/>
            <w:noWrap/>
            <w:vAlign w:val="center"/>
          </w:tcPr>
          <w:p w:rsidR="002316F9" w:rsidRPr="002F3942" w:rsidRDefault="002316F9" w:rsidP="002316F9">
            <w:pPr>
              <w:jc w:val="center"/>
              <w:rPr>
                <w:rFonts w:cs="Arial"/>
                <w:b/>
                <w:color w:val="000000"/>
                <w:sz w:val="18"/>
                <w:szCs w:val="18"/>
              </w:rPr>
            </w:pPr>
            <w:r w:rsidRPr="002F3942">
              <w:rPr>
                <w:rFonts w:cs="Arial"/>
                <w:b/>
                <w:color w:val="000000"/>
                <w:sz w:val="18"/>
                <w:szCs w:val="18"/>
              </w:rPr>
              <w:t>62,93</w:t>
            </w:r>
          </w:p>
        </w:tc>
        <w:tc>
          <w:tcPr>
            <w:tcW w:w="1559" w:type="dxa"/>
            <w:tcBorders>
              <w:right w:val="single" w:sz="4" w:space="0" w:color="4BACC6"/>
            </w:tcBorders>
            <w:shd w:val="clear" w:color="auto" w:fill="DAEEF3"/>
            <w:noWrap/>
            <w:vAlign w:val="center"/>
          </w:tcPr>
          <w:p w:rsidR="002316F9" w:rsidRPr="002F3942" w:rsidRDefault="002316F9" w:rsidP="002316F9">
            <w:pPr>
              <w:jc w:val="center"/>
              <w:rPr>
                <w:rFonts w:cs="Arial"/>
                <w:b/>
                <w:color w:val="000000"/>
                <w:sz w:val="18"/>
                <w:szCs w:val="18"/>
              </w:rPr>
            </w:pPr>
            <w:r w:rsidRPr="002F3942">
              <w:rPr>
                <w:rFonts w:cs="Arial"/>
                <w:b/>
                <w:color w:val="000000"/>
                <w:sz w:val="18"/>
                <w:szCs w:val="18"/>
              </w:rPr>
              <w:t>100,00</w:t>
            </w:r>
          </w:p>
        </w:tc>
        <w:tc>
          <w:tcPr>
            <w:tcW w:w="1418" w:type="dxa"/>
            <w:tcBorders>
              <w:left w:val="single" w:sz="4" w:space="0" w:color="4BACC6"/>
            </w:tcBorders>
            <w:shd w:val="clear" w:color="auto" w:fill="DAEEF3"/>
            <w:vAlign w:val="center"/>
          </w:tcPr>
          <w:p w:rsidR="002316F9" w:rsidRPr="002F3942" w:rsidRDefault="002316F9" w:rsidP="002316F9">
            <w:pPr>
              <w:jc w:val="center"/>
              <w:rPr>
                <w:rFonts w:cs="Arial"/>
                <w:b/>
                <w:color w:val="000000"/>
                <w:sz w:val="18"/>
                <w:szCs w:val="18"/>
              </w:rPr>
            </w:pPr>
            <w:r w:rsidRPr="002F3942">
              <w:rPr>
                <w:rFonts w:cs="Arial"/>
                <w:b/>
                <w:color w:val="000000"/>
                <w:sz w:val="18"/>
                <w:szCs w:val="18"/>
              </w:rPr>
              <w:t>100,00</w:t>
            </w:r>
          </w:p>
        </w:tc>
      </w:tr>
    </w:tbl>
    <w:p w:rsidR="002316F9" w:rsidRDefault="002316F9" w:rsidP="002316F9"/>
    <w:p w:rsidR="002316F9" w:rsidRPr="002316F9" w:rsidRDefault="002316F9" w:rsidP="002316F9">
      <w:pPr>
        <w:jc w:val="center"/>
      </w:pPr>
      <w:r w:rsidRPr="002316F9">
        <w:rPr>
          <w:noProof/>
          <w:lang w:eastAsia="hr-HR"/>
        </w:rPr>
        <w:drawing>
          <wp:inline distT="0" distB="0" distL="0" distR="0">
            <wp:extent cx="4733925" cy="3086100"/>
            <wp:effectExtent l="0" t="0" r="0"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C341E" w:rsidRPr="000063FC" w:rsidRDefault="00B82483">
      <w:pPr>
        <w:pStyle w:val="Heading7"/>
        <w:rPr>
          <w:lang w:eastAsia="hr-HR"/>
        </w:rPr>
      </w:pPr>
      <w:bookmarkStart w:id="193" w:name="_Toc248427455"/>
      <w:bookmarkStart w:id="194" w:name="_Toc251935576"/>
      <w:bookmarkStart w:id="195" w:name="_Toc254010297"/>
      <w:r w:rsidRPr="000063FC">
        <w:rPr>
          <w:lang w:eastAsia="hr-HR"/>
        </w:rPr>
        <w:t>Slika</w:t>
      </w:r>
      <w:r w:rsidRPr="000063FC">
        <w:t xml:space="preserve"> </w:t>
      </w:r>
      <w:r w:rsidR="00F11667" w:rsidRPr="000063FC">
        <w:t>2.15</w:t>
      </w:r>
      <w:r w:rsidRPr="000063FC">
        <w:t>: Emisija CO</w:t>
      </w:r>
      <w:r w:rsidRPr="000063FC">
        <w:rPr>
          <w:vertAlign w:val="subscript"/>
        </w:rPr>
        <w:t>2</w:t>
      </w:r>
      <w:r w:rsidR="00F11667" w:rsidRPr="000063FC">
        <w:t xml:space="preserve"> I</w:t>
      </w:r>
      <w:r w:rsidRPr="000063FC">
        <w:t>nventara po sektorima</w:t>
      </w:r>
      <w:bookmarkEnd w:id="193"/>
      <w:bookmarkEnd w:id="194"/>
      <w:bookmarkEnd w:id="195"/>
    </w:p>
    <w:p w:rsidR="00B23695" w:rsidRPr="000063FC" w:rsidRDefault="00B23695">
      <w:pPr>
        <w:spacing w:line="276" w:lineRule="auto"/>
        <w:rPr>
          <w:lang w:eastAsia="hr-HR"/>
        </w:rPr>
      </w:pPr>
    </w:p>
    <w:p w:rsidR="00B23695" w:rsidRPr="000063FC" w:rsidRDefault="007B0169">
      <w:pPr>
        <w:spacing w:line="276" w:lineRule="auto"/>
        <w:rPr>
          <w:szCs w:val="22"/>
          <w:lang w:eastAsia="hr-HR"/>
        </w:rPr>
      </w:pPr>
      <w:r w:rsidRPr="000063FC">
        <w:rPr>
          <w:szCs w:val="22"/>
          <w:lang w:eastAsia="hr-HR"/>
        </w:rPr>
        <w:t xml:space="preserve">Ukupna emisija inventara iznosi </w:t>
      </w:r>
      <w:r w:rsidR="0047434A" w:rsidRPr="000063FC">
        <w:rPr>
          <w:szCs w:val="22"/>
          <w:lang w:eastAsia="hr-HR"/>
        </w:rPr>
        <w:t>2769</w:t>
      </w:r>
      <w:r w:rsidRPr="000063FC">
        <w:rPr>
          <w:szCs w:val="22"/>
          <w:lang w:eastAsia="hr-HR"/>
        </w:rPr>
        <w:t xml:space="preserve"> kt CO</w:t>
      </w:r>
      <w:r w:rsidR="0095340E" w:rsidRPr="000063FC">
        <w:rPr>
          <w:szCs w:val="22"/>
          <w:vertAlign w:val="subscript"/>
          <w:lang w:eastAsia="hr-HR"/>
        </w:rPr>
        <w:t>2</w:t>
      </w:r>
      <w:r w:rsidRPr="000063FC">
        <w:rPr>
          <w:szCs w:val="22"/>
          <w:lang w:eastAsia="hr-HR"/>
        </w:rPr>
        <w:t>. Najveći izvor emisije, kao i p</w:t>
      </w:r>
      <w:r w:rsidR="00F11667" w:rsidRPr="000063FC">
        <w:rPr>
          <w:szCs w:val="22"/>
          <w:lang w:eastAsia="hr-HR"/>
        </w:rPr>
        <w:t>otrošnje energenata, je sektor zgradarstva s</w:t>
      </w:r>
      <w:r w:rsidRPr="000063FC">
        <w:rPr>
          <w:szCs w:val="22"/>
          <w:lang w:eastAsia="hr-HR"/>
        </w:rPr>
        <w:t xml:space="preserve"> emisijom od 1</w:t>
      </w:r>
      <w:r w:rsidR="0047434A" w:rsidRPr="000063FC">
        <w:rPr>
          <w:szCs w:val="22"/>
          <w:lang w:eastAsia="hr-HR"/>
        </w:rPr>
        <w:t>7</w:t>
      </w:r>
      <w:r w:rsidR="002316F9">
        <w:rPr>
          <w:szCs w:val="22"/>
          <w:lang w:eastAsia="hr-HR"/>
        </w:rPr>
        <w:t>59</w:t>
      </w:r>
      <w:r w:rsidRPr="000063FC">
        <w:rPr>
          <w:szCs w:val="22"/>
          <w:lang w:eastAsia="hr-HR"/>
        </w:rPr>
        <w:t xml:space="preserve"> kt CO</w:t>
      </w:r>
      <w:r w:rsidR="0095340E" w:rsidRPr="000063FC">
        <w:rPr>
          <w:szCs w:val="22"/>
          <w:vertAlign w:val="subscript"/>
          <w:lang w:eastAsia="hr-HR"/>
        </w:rPr>
        <w:t>2</w:t>
      </w:r>
      <w:r w:rsidRPr="000063FC">
        <w:rPr>
          <w:szCs w:val="22"/>
          <w:lang w:eastAsia="hr-HR"/>
        </w:rPr>
        <w:t xml:space="preserve">, </w:t>
      </w:r>
      <w:r w:rsidR="00F11667" w:rsidRPr="000063FC">
        <w:rPr>
          <w:szCs w:val="22"/>
          <w:lang w:eastAsia="hr-HR"/>
        </w:rPr>
        <w:t xml:space="preserve">a </w:t>
      </w:r>
      <w:r w:rsidRPr="000063FC">
        <w:rPr>
          <w:szCs w:val="22"/>
          <w:lang w:eastAsia="hr-HR"/>
        </w:rPr>
        <w:t>slijedi ga sektor promet</w:t>
      </w:r>
      <w:r w:rsidR="00F11667" w:rsidRPr="000063FC">
        <w:rPr>
          <w:szCs w:val="22"/>
          <w:lang w:eastAsia="hr-HR"/>
        </w:rPr>
        <w:t>a s</w:t>
      </w:r>
      <w:r w:rsidRPr="000063FC">
        <w:rPr>
          <w:szCs w:val="22"/>
          <w:lang w:eastAsia="hr-HR"/>
        </w:rPr>
        <w:t xml:space="preserve"> emisijom od 1007 kt CO</w:t>
      </w:r>
      <w:r w:rsidR="0095340E" w:rsidRPr="000063FC">
        <w:rPr>
          <w:szCs w:val="22"/>
          <w:vertAlign w:val="subscript"/>
          <w:lang w:eastAsia="hr-HR"/>
        </w:rPr>
        <w:t>2</w:t>
      </w:r>
      <w:r w:rsidRPr="000063FC">
        <w:rPr>
          <w:szCs w:val="22"/>
          <w:lang w:eastAsia="hr-HR"/>
        </w:rPr>
        <w:t>.</w:t>
      </w:r>
      <w:r w:rsidR="00B82483" w:rsidRPr="000063FC">
        <w:rPr>
          <w:szCs w:val="22"/>
          <w:lang w:eastAsia="hr-HR"/>
        </w:rPr>
        <w:t xml:space="preserve"> </w:t>
      </w:r>
    </w:p>
    <w:p w:rsidR="00B23695" w:rsidRDefault="00B23695" w:rsidP="0047546D">
      <w:pPr>
        <w:spacing w:line="276" w:lineRule="auto"/>
        <w:jc w:val="center"/>
      </w:pPr>
    </w:p>
    <w:p w:rsidR="00E12B34" w:rsidRPr="000063FC" w:rsidRDefault="00E12B34" w:rsidP="0047546D">
      <w:pPr>
        <w:spacing w:line="276" w:lineRule="auto"/>
        <w:jc w:val="center"/>
      </w:pPr>
      <w:r w:rsidRPr="00E12B34">
        <w:rPr>
          <w:noProof/>
          <w:lang w:eastAsia="hr-HR"/>
        </w:rPr>
        <w:lastRenderedPageBreak/>
        <w:drawing>
          <wp:inline distT="0" distB="0" distL="0" distR="0">
            <wp:extent cx="5657850" cy="3076575"/>
            <wp:effectExtent l="0" t="0" r="0" b="0"/>
            <wp:docPr id="2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C341E" w:rsidRPr="000063FC" w:rsidRDefault="00B82483">
      <w:pPr>
        <w:pStyle w:val="Heading7"/>
        <w:rPr>
          <w:lang w:eastAsia="hr-HR"/>
        </w:rPr>
      </w:pPr>
      <w:bookmarkStart w:id="196" w:name="_Toc248427456"/>
      <w:bookmarkStart w:id="197" w:name="_Toc251935577"/>
      <w:bookmarkStart w:id="198" w:name="_Toc254010298"/>
      <w:r w:rsidRPr="000063FC">
        <w:rPr>
          <w:lang w:eastAsia="hr-HR"/>
        </w:rPr>
        <w:t>Slika</w:t>
      </w:r>
      <w:r w:rsidRPr="000063FC">
        <w:t xml:space="preserve"> </w:t>
      </w:r>
      <w:r w:rsidR="00F11667" w:rsidRPr="000063FC">
        <w:t>2.16</w:t>
      </w:r>
      <w:r w:rsidRPr="000063FC">
        <w:t>: Emisija CO</w:t>
      </w:r>
      <w:r w:rsidRPr="000063FC">
        <w:rPr>
          <w:vertAlign w:val="subscript"/>
        </w:rPr>
        <w:t>2</w:t>
      </w:r>
      <w:r w:rsidR="00F11667" w:rsidRPr="000063FC">
        <w:t xml:space="preserve">  I</w:t>
      </w:r>
      <w:r w:rsidRPr="000063FC">
        <w:t>nventara po energentima</w:t>
      </w:r>
      <w:bookmarkEnd w:id="196"/>
      <w:bookmarkEnd w:id="197"/>
      <w:bookmarkEnd w:id="198"/>
    </w:p>
    <w:p w:rsidR="00B23695" w:rsidRPr="000063FC" w:rsidRDefault="00B23695">
      <w:pPr>
        <w:tabs>
          <w:tab w:val="left" w:pos="990"/>
        </w:tabs>
        <w:spacing w:line="276" w:lineRule="auto"/>
        <w:rPr>
          <w:lang w:eastAsia="hr-HR"/>
        </w:rPr>
      </w:pPr>
    </w:p>
    <w:p w:rsidR="00B23695" w:rsidRPr="000063FC" w:rsidRDefault="007B0169">
      <w:pPr>
        <w:tabs>
          <w:tab w:val="left" w:pos="990"/>
        </w:tabs>
        <w:spacing w:line="276" w:lineRule="auto"/>
        <w:rPr>
          <w:szCs w:val="22"/>
          <w:lang w:eastAsia="hr-HR"/>
        </w:rPr>
      </w:pPr>
      <w:r w:rsidRPr="000063FC">
        <w:rPr>
          <w:szCs w:val="22"/>
          <w:lang w:eastAsia="hr-HR"/>
        </w:rPr>
        <w:t xml:space="preserve">Iz slike </w:t>
      </w:r>
      <w:r w:rsidR="00F11667" w:rsidRPr="000063FC">
        <w:rPr>
          <w:szCs w:val="22"/>
          <w:lang w:eastAsia="hr-HR"/>
        </w:rPr>
        <w:t>2.16</w:t>
      </w:r>
      <w:r w:rsidRPr="000063FC">
        <w:rPr>
          <w:szCs w:val="22"/>
          <w:lang w:eastAsia="hr-HR"/>
        </w:rPr>
        <w:t xml:space="preserve"> proizlazi </w:t>
      </w:r>
      <w:r w:rsidR="0047434A" w:rsidRPr="000063FC">
        <w:rPr>
          <w:szCs w:val="22"/>
          <w:lang w:eastAsia="hr-HR"/>
        </w:rPr>
        <w:t xml:space="preserve">da je prirodni plin, energent s najvećim udjelom u ukupnoj </w:t>
      </w:r>
      <w:r w:rsidR="00E12B34">
        <w:rPr>
          <w:szCs w:val="22"/>
          <w:lang w:eastAsia="hr-HR"/>
        </w:rPr>
        <w:t>emisiji inventara</w:t>
      </w:r>
      <w:r w:rsidR="0047434A" w:rsidRPr="000063FC">
        <w:rPr>
          <w:szCs w:val="22"/>
          <w:lang w:eastAsia="hr-HR"/>
        </w:rPr>
        <w:t xml:space="preserve">. </w:t>
      </w:r>
      <w:r w:rsidR="00E12B34" w:rsidRPr="00E12B34">
        <w:rPr>
          <w:szCs w:val="22"/>
          <w:lang w:eastAsia="hr-HR"/>
        </w:rPr>
        <w:t xml:space="preserve">Emisija CO2 iz potrošnje prirodnog plina u 2008. godini iznosila je 634 kt CO2, što čini 23% ukupne emisije inventara. Dominantni izvori emisija, osim prirodnog plina su još i električna energija, dizel, toplina te motorni benzin s emisijama od 609 kt CO2, 545 kt CO2, 466 kt CO2, 433 kt CO2. Emisije tih energenata zajedno čini preko 95% </w:t>
      </w:r>
      <w:r w:rsidR="00E12B34">
        <w:rPr>
          <w:szCs w:val="22"/>
          <w:lang w:eastAsia="hr-HR"/>
        </w:rPr>
        <w:t>emisije inventara Grada Zagreba</w:t>
      </w:r>
      <w:r w:rsidR="00E12B34" w:rsidRPr="00E12B34">
        <w:rPr>
          <w:szCs w:val="22"/>
          <w:lang w:eastAsia="hr-HR"/>
        </w:rPr>
        <w:t>.</w:t>
      </w:r>
    </w:p>
    <w:p w:rsidR="00B23695" w:rsidRDefault="00B23695">
      <w:pPr>
        <w:tabs>
          <w:tab w:val="left" w:pos="990"/>
        </w:tabs>
        <w:spacing w:line="276" w:lineRule="auto"/>
        <w:rPr>
          <w:lang w:eastAsia="hr-HR"/>
        </w:rPr>
      </w:pPr>
    </w:p>
    <w:p w:rsidR="00E12B34" w:rsidRDefault="00E12B34">
      <w:pPr>
        <w:tabs>
          <w:tab w:val="left" w:pos="990"/>
        </w:tabs>
        <w:spacing w:line="276" w:lineRule="auto"/>
        <w:rPr>
          <w:lang w:eastAsia="hr-HR"/>
        </w:rPr>
      </w:pPr>
      <w:r w:rsidRPr="00E12B34">
        <w:rPr>
          <w:noProof/>
          <w:lang w:eastAsia="hr-HR"/>
        </w:rPr>
        <w:drawing>
          <wp:inline distT="0" distB="0" distL="0" distR="0">
            <wp:extent cx="5761355" cy="2873327"/>
            <wp:effectExtent l="0" t="0" r="0" b="0"/>
            <wp:docPr id="3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C341E" w:rsidRDefault="00B82483">
      <w:pPr>
        <w:pStyle w:val="Heading7"/>
      </w:pPr>
      <w:bookmarkStart w:id="199" w:name="_Toc248427457"/>
      <w:bookmarkStart w:id="200" w:name="_Toc251935578"/>
      <w:bookmarkStart w:id="201" w:name="_Toc254010299"/>
      <w:r w:rsidRPr="000063FC">
        <w:t xml:space="preserve">Slika </w:t>
      </w:r>
      <w:r w:rsidR="00F11667" w:rsidRPr="000063FC">
        <w:t>2.17</w:t>
      </w:r>
      <w:r w:rsidRPr="000063FC">
        <w:t>: Prikaz emisije CO</w:t>
      </w:r>
      <w:r w:rsidRPr="000063FC">
        <w:rPr>
          <w:vertAlign w:val="subscript"/>
        </w:rPr>
        <w:t>2</w:t>
      </w:r>
      <w:r w:rsidRPr="000063FC">
        <w:t xml:space="preserve"> po sektorima i energentima</w:t>
      </w:r>
      <w:bookmarkEnd w:id="199"/>
      <w:bookmarkEnd w:id="200"/>
      <w:bookmarkEnd w:id="201"/>
    </w:p>
    <w:p w:rsidR="007D4BA3" w:rsidRDefault="007D4BA3">
      <w:pPr>
        <w:tabs>
          <w:tab w:val="clear" w:pos="720"/>
          <w:tab w:val="clear" w:pos="6912"/>
        </w:tabs>
        <w:spacing w:line="240" w:lineRule="auto"/>
        <w:jc w:val="left"/>
      </w:pPr>
      <w:r>
        <w:br w:type="page"/>
      </w:r>
    </w:p>
    <w:p w:rsidR="00B23695" w:rsidRPr="000063FC" w:rsidRDefault="00B82483">
      <w:pPr>
        <w:spacing w:line="276" w:lineRule="auto"/>
        <w:rPr>
          <w:szCs w:val="22"/>
          <w:lang w:eastAsia="hr-HR"/>
        </w:rPr>
      </w:pPr>
      <w:r w:rsidRPr="000063FC">
        <w:rPr>
          <w:szCs w:val="22"/>
          <w:lang w:eastAsia="hr-HR"/>
        </w:rPr>
        <w:lastRenderedPageBreak/>
        <w:t>Najveći udio (6</w:t>
      </w:r>
      <w:r w:rsidR="0047434A" w:rsidRPr="000063FC">
        <w:rPr>
          <w:szCs w:val="22"/>
          <w:lang w:eastAsia="hr-HR"/>
        </w:rPr>
        <w:t>3</w:t>
      </w:r>
      <w:r w:rsidRPr="000063FC">
        <w:rPr>
          <w:szCs w:val="22"/>
          <w:lang w:eastAsia="hr-HR"/>
        </w:rPr>
        <w:t xml:space="preserve">%) u ukupnim emisija ima sektor zgradarstvo. Emisije </w:t>
      </w:r>
      <w:r w:rsidR="0047434A" w:rsidRPr="000063FC">
        <w:rPr>
          <w:szCs w:val="22"/>
          <w:lang w:eastAsia="hr-HR"/>
        </w:rPr>
        <w:t xml:space="preserve">prirodnog plina </w:t>
      </w:r>
      <w:r w:rsidRPr="000063FC">
        <w:rPr>
          <w:szCs w:val="22"/>
          <w:lang w:eastAsia="hr-HR"/>
        </w:rPr>
        <w:t>(</w:t>
      </w:r>
      <w:r w:rsidR="0047434A" w:rsidRPr="000063FC">
        <w:rPr>
          <w:szCs w:val="22"/>
          <w:lang w:eastAsia="hr-HR"/>
        </w:rPr>
        <w:t>634</w:t>
      </w:r>
      <w:r w:rsidRPr="000063FC">
        <w:rPr>
          <w:szCs w:val="22"/>
          <w:lang w:eastAsia="hr-HR"/>
        </w:rPr>
        <w:t xml:space="preserve"> kt CO</w:t>
      </w:r>
      <w:r w:rsidRPr="000063FC">
        <w:rPr>
          <w:szCs w:val="22"/>
          <w:vertAlign w:val="subscript"/>
          <w:lang w:eastAsia="hr-HR"/>
        </w:rPr>
        <w:t>2</w:t>
      </w:r>
      <w:r w:rsidRPr="000063FC">
        <w:rPr>
          <w:szCs w:val="22"/>
          <w:lang w:eastAsia="hr-HR"/>
        </w:rPr>
        <w:t xml:space="preserve">) i </w:t>
      </w:r>
      <w:r w:rsidR="0047434A" w:rsidRPr="000063FC">
        <w:rPr>
          <w:szCs w:val="22"/>
          <w:lang w:eastAsia="hr-HR"/>
        </w:rPr>
        <w:t>električne energije</w:t>
      </w:r>
      <w:r w:rsidRPr="000063FC">
        <w:rPr>
          <w:szCs w:val="22"/>
          <w:lang w:eastAsia="hr-HR"/>
        </w:rPr>
        <w:t xml:space="preserve"> (5</w:t>
      </w:r>
      <w:r w:rsidR="0047434A" w:rsidRPr="000063FC">
        <w:rPr>
          <w:szCs w:val="22"/>
          <w:lang w:eastAsia="hr-HR"/>
        </w:rPr>
        <w:t>60</w:t>
      </w:r>
      <w:r w:rsidRPr="000063FC">
        <w:rPr>
          <w:szCs w:val="22"/>
          <w:lang w:eastAsia="hr-HR"/>
        </w:rPr>
        <w:t xml:space="preserve"> kt CO</w:t>
      </w:r>
      <w:r w:rsidRPr="000063FC">
        <w:rPr>
          <w:szCs w:val="22"/>
          <w:vertAlign w:val="subscript"/>
          <w:lang w:eastAsia="hr-HR"/>
        </w:rPr>
        <w:t>2</w:t>
      </w:r>
      <w:r w:rsidRPr="000063FC">
        <w:rPr>
          <w:szCs w:val="22"/>
          <w:lang w:eastAsia="hr-HR"/>
        </w:rPr>
        <w:t>) su najzastupljenije u tom sektoru. Osim sektora zgradarstvo dominantan izvor emisije je i sektor promet k</w:t>
      </w:r>
      <w:r w:rsidR="00F11667" w:rsidRPr="000063FC">
        <w:rPr>
          <w:szCs w:val="22"/>
          <w:lang w:eastAsia="hr-HR"/>
        </w:rPr>
        <w:t>oji ukupnoj emisiji doprinosi s</w:t>
      </w:r>
      <w:r w:rsidRPr="000063FC">
        <w:rPr>
          <w:szCs w:val="22"/>
          <w:lang w:eastAsia="hr-HR"/>
        </w:rPr>
        <w:t xml:space="preserve"> 3</w:t>
      </w:r>
      <w:r w:rsidR="0047434A" w:rsidRPr="000063FC">
        <w:rPr>
          <w:szCs w:val="22"/>
          <w:lang w:eastAsia="hr-HR"/>
        </w:rPr>
        <w:t>6</w:t>
      </w:r>
      <w:r w:rsidRPr="000063FC">
        <w:rPr>
          <w:szCs w:val="22"/>
          <w:lang w:eastAsia="hr-HR"/>
        </w:rPr>
        <w:t>%. Emisije CO</w:t>
      </w:r>
      <w:r w:rsidRPr="000063FC">
        <w:rPr>
          <w:szCs w:val="22"/>
          <w:vertAlign w:val="subscript"/>
          <w:lang w:eastAsia="hr-HR"/>
        </w:rPr>
        <w:t>2</w:t>
      </w:r>
      <w:r w:rsidRPr="000063FC">
        <w:rPr>
          <w:szCs w:val="22"/>
          <w:lang w:eastAsia="hr-HR"/>
        </w:rPr>
        <w:t xml:space="preserve"> nastale potrošnjom dizela i benzina sektora promet iznose  545 kt CO</w:t>
      </w:r>
      <w:r w:rsidRPr="000063FC">
        <w:rPr>
          <w:szCs w:val="22"/>
          <w:vertAlign w:val="subscript"/>
          <w:lang w:eastAsia="hr-HR"/>
        </w:rPr>
        <w:t>2</w:t>
      </w:r>
      <w:r w:rsidRPr="000063FC">
        <w:rPr>
          <w:szCs w:val="22"/>
          <w:lang w:eastAsia="hr-HR"/>
        </w:rPr>
        <w:t>, odnosno 433 kt CO</w:t>
      </w:r>
      <w:r w:rsidRPr="000063FC">
        <w:rPr>
          <w:szCs w:val="22"/>
          <w:vertAlign w:val="subscript"/>
          <w:lang w:eastAsia="hr-HR"/>
        </w:rPr>
        <w:t>2</w:t>
      </w:r>
      <w:r w:rsidRPr="000063FC">
        <w:rPr>
          <w:szCs w:val="22"/>
          <w:lang w:eastAsia="hr-HR"/>
        </w:rPr>
        <w:t>.</w:t>
      </w:r>
    </w:p>
    <w:p w:rsidR="00B23695" w:rsidRPr="000063FC" w:rsidRDefault="00B82483">
      <w:pPr>
        <w:spacing w:line="276" w:lineRule="auto"/>
        <w:rPr>
          <w:szCs w:val="22"/>
        </w:rPr>
      </w:pPr>
      <w:r w:rsidRPr="000063FC">
        <w:rPr>
          <w:szCs w:val="22"/>
        </w:rPr>
        <w:t>Emisija CO</w:t>
      </w:r>
      <w:r w:rsidRPr="000063FC">
        <w:rPr>
          <w:szCs w:val="22"/>
          <w:vertAlign w:val="subscript"/>
        </w:rPr>
        <w:t>2</w:t>
      </w:r>
      <w:r w:rsidRPr="000063FC">
        <w:rPr>
          <w:szCs w:val="22"/>
        </w:rPr>
        <w:t xml:space="preserve"> proračunata je iz svih dostavljenih podataka o potrošnji energi</w:t>
      </w:r>
      <w:r w:rsidR="00F33953" w:rsidRPr="000063FC">
        <w:rPr>
          <w:szCs w:val="22"/>
        </w:rPr>
        <w:t>je, dok su emisije preostala tri</w:t>
      </w:r>
      <w:r w:rsidRPr="000063FC">
        <w:rPr>
          <w:szCs w:val="22"/>
        </w:rPr>
        <w:t xml:space="preserve"> direktna staklenička plina (metan, CH</w:t>
      </w:r>
      <w:r w:rsidRPr="000063FC">
        <w:rPr>
          <w:szCs w:val="22"/>
          <w:vertAlign w:val="subscript"/>
        </w:rPr>
        <w:t xml:space="preserve">4 </w:t>
      </w:r>
      <w:r w:rsidRPr="000063FC">
        <w:rPr>
          <w:szCs w:val="22"/>
        </w:rPr>
        <w:t>te didušikov oksid, N</w:t>
      </w:r>
      <w:r w:rsidRPr="000063FC">
        <w:rPr>
          <w:szCs w:val="22"/>
          <w:vertAlign w:val="subscript"/>
        </w:rPr>
        <w:t>2</w:t>
      </w:r>
      <w:r w:rsidRPr="000063FC">
        <w:rPr>
          <w:szCs w:val="22"/>
        </w:rPr>
        <w:t>O) proračunate za sektore u kojima iste nastaju izgaranjem goriva. Proračunata emisija CO</w:t>
      </w:r>
      <w:r w:rsidRPr="000063FC">
        <w:rPr>
          <w:szCs w:val="22"/>
          <w:vertAlign w:val="subscript"/>
        </w:rPr>
        <w:t>2</w:t>
      </w:r>
      <w:r w:rsidRPr="000063FC">
        <w:rPr>
          <w:szCs w:val="22"/>
        </w:rPr>
        <w:t xml:space="preserve">-ekv prikazana je sektorski u tablici </w:t>
      </w:r>
      <w:r w:rsidR="00F11667" w:rsidRPr="000063FC">
        <w:rPr>
          <w:szCs w:val="22"/>
        </w:rPr>
        <w:t>2.29</w:t>
      </w:r>
      <w:r w:rsidRPr="000063FC">
        <w:rPr>
          <w:szCs w:val="22"/>
        </w:rPr>
        <w:t>.</w:t>
      </w:r>
    </w:p>
    <w:p w:rsidR="00B23695" w:rsidRPr="000063FC" w:rsidRDefault="00B23695">
      <w:pPr>
        <w:spacing w:line="276" w:lineRule="auto"/>
        <w:rPr>
          <w:lang w:eastAsia="hr-HR"/>
        </w:rPr>
      </w:pPr>
    </w:p>
    <w:p w:rsidR="00BC341E" w:rsidRPr="000063FC" w:rsidRDefault="00B82483" w:rsidP="00B33E2F">
      <w:pPr>
        <w:pStyle w:val="Heading6"/>
      </w:pPr>
      <w:bookmarkStart w:id="202" w:name="_Toc248427244"/>
      <w:bookmarkStart w:id="203" w:name="_Toc254010256"/>
      <w:r w:rsidRPr="000063FC">
        <w:t xml:space="preserve">Tablica </w:t>
      </w:r>
      <w:r w:rsidR="00F11667" w:rsidRPr="000063FC">
        <w:t>2.29</w:t>
      </w:r>
      <w:r w:rsidRPr="000063FC">
        <w:t>: Prikaz emisija CO</w:t>
      </w:r>
      <w:r w:rsidR="00F11667" w:rsidRPr="000063FC">
        <w:rPr>
          <w:vertAlign w:val="subscript"/>
        </w:rPr>
        <w:t>2</w:t>
      </w:r>
      <w:r w:rsidRPr="000063FC">
        <w:t>-ekv po sektorima</w:t>
      </w:r>
      <w:bookmarkEnd w:id="202"/>
      <w:bookmarkEnd w:id="203"/>
    </w:p>
    <w:tbl>
      <w:tblPr>
        <w:tblW w:w="8943" w:type="dxa"/>
        <w:tblInd w:w="96" w:type="dxa"/>
        <w:tblBorders>
          <w:top w:val="single" w:sz="6" w:space="0" w:color="4BACC6"/>
          <w:left w:val="single" w:sz="6" w:space="0" w:color="4BACC6"/>
          <w:bottom w:val="single" w:sz="6" w:space="0" w:color="4BACC6"/>
          <w:right w:val="single" w:sz="6" w:space="0" w:color="4BACC6"/>
          <w:insideH w:val="single" w:sz="6" w:space="0" w:color="4BACC6"/>
          <w:insideV w:val="single" w:sz="6" w:space="0" w:color="4BACC6"/>
        </w:tblBorders>
        <w:tblLayout w:type="fixed"/>
        <w:tblLook w:val="00A0" w:firstRow="1" w:lastRow="0" w:firstColumn="1" w:lastColumn="0" w:noHBand="0" w:noVBand="0"/>
      </w:tblPr>
      <w:tblGrid>
        <w:gridCol w:w="2139"/>
        <w:gridCol w:w="1410"/>
        <w:gridCol w:w="7"/>
        <w:gridCol w:w="1418"/>
        <w:gridCol w:w="1559"/>
        <w:gridCol w:w="2410"/>
      </w:tblGrid>
      <w:tr w:rsidR="00B82483" w:rsidRPr="000063FC" w:rsidTr="00DF5D1C">
        <w:trPr>
          <w:trHeight w:val="340"/>
        </w:trPr>
        <w:tc>
          <w:tcPr>
            <w:tcW w:w="2139" w:type="dxa"/>
            <w:tcBorders>
              <w:bottom w:val="single" w:sz="4" w:space="0" w:color="FFFFFF"/>
              <w:right w:val="single" w:sz="6" w:space="0" w:color="FFFFFF"/>
            </w:tcBorders>
            <w:shd w:val="clear" w:color="auto" w:fill="4BACC6"/>
            <w:noWrap/>
            <w:vAlign w:val="center"/>
          </w:tcPr>
          <w:p w:rsidR="00B23695" w:rsidRPr="000063FC" w:rsidRDefault="00B23695">
            <w:pPr>
              <w:spacing w:line="276" w:lineRule="auto"/>
              <w:jc w:val="center"/>
              <w:rPr>
                <w:rFonts w:cs="Arial"/>
                <w:b/>
                <w:color w:val="FFFFFF"/>
                <w:sz w:val="20"/>
                <w:lang w:eastAsia="hr-HR"/>
              </w:rPr>
            </w:pPr>
          </w:p>
        </w:tc>
        <w:tc>
          <w:tcPr>
            <w:tcW w:w="1410" w:type="dxa"/>
            <w:tcBorders>
              <w:top w:val="single" w:sz="4" w:space="0" w:color="FFFFFF"/>
              <w:left w:val="single" w:sz="6" w:space="0" w:color="FFFFFF"/>
              <w:bottom w:val="single" w:sz="4" w:space="0" w:color="FFFFFF"/>
              <w:right w:val="single" w:sz="4" w:space="0" w:color="FFFFFF"/>
            </w:tcBorders>
            <w:shd w:val="clear" w:color="auto" w:fill="4BACC6"/>
            <w:noWrap/>
            <w:vAlign w:val="center"/>
          </w:tcPr>
          <w:p w:rsidR="00B23695" w:rsidRPr="000063FC" w:rsidRDefault="00B82483">
            <w:pPr>
              <w:spacing w:line="276" w:lineRule="auto"/>
              <w:jc w:val="center"/>
              <w:rPr>
                <w:rFonts w:cs="Arial"/>
                <w:b/>
                <w:color w:val="FFFFFF"/>
                <w:sz w:val="20"/>
              </w:rPr>
            </w:pPr>
            <w:r w:rsidRPr="000063FC">
              <w:rPr>
                <w:rFonts w:cs="Arial"/>
                <w:b/>
                <w:color w:val="FFFFFF"/>
                <w:sz w:val="20"/>
              </w:rPr>
              <w:t>Promet</w:t>
            </w:r>
          </w:p>
        </w:tc>
        <w:tc>
          <w:tcPr>
            <w:tcW w:w="1425" w:type="dxa"/>
            <w:gridSpan w:val="2"/>
            <w:tcBorders>
              <w:top w:val="single" w:sz="4" w:space="0" w:color="FFFFFF"/>
              <w:left w:val="single" w:sz="4" w:space="0" w:color="FFFFFF"/>
              <w:bottom w:val="single" w:sz="4" w:space="0" w:color="FFFFFF"/>
              <w:right w:val="single" w:sz="4" w:space="0" w:color="FFFFFF"/>
            </w:tcBorders>
            <w:shd w:val="clear" w:color="auto" w:fill="4BACC6"/>
            <w:vAlign w:val="center"/>
          </w:tcPr>
          <w:p w:rsidR="00B23695" w:rsidRPr="000063FC" w:rsidRDefault="00B82483">
            <w:pPr>
              <w:spacing w:line="276" w:lineRule="auto"/>
              <w:jc w:val="center"/>
              <w:rPr>
                <w:rFonts w:cs="Arial"/>
                <w:b/>
                <w:color w:val="FFFFFF"/>
                <w:sz w:val="20"/>
              </w:rPr>
            </w:pPr>
            <w:r w:rsidRPr="000063FC">
              <w:rPr>
                <w:rFonts w:cs="Arial"/>
                <w:b/>
                <w:color w:val="FFFFFF"/>
                <w:sz w:val="20"/>
              </w:rPr>
              <w:t>Javna rasvjeta</w:t>
            </w:r>
          </w:p>
        </w:tc>
        <w:tc>
          <w:tcPr>
            <w:tcW w:w="1559" w:type="dxa"/>
            <w:tcBorders>
              <w:top w:val="single" w:sz="4" w:space="0" w:color="FFFFFF"/>
              <w:left w:val="single" w:sz="4" w:space="0" w:color="FFFFFF"/>
              <w:bottom w:val="single" w:sz="4" w:space="0" w:color="FFFFFF"/>
              <w:right w:val="single" w:sz="4" w:space="0" w:color="FFFFFF"/>
            </w:tcBorders>
            <w:shd w:val="clear" w:color="auto" w:fill="4BACC6"/>
            <w:vAlign w:val="center"/>
          </w:tcPr>
          <w:p w:rsidR="00B23695" w:rsidRPr="000063FC" w:rsidRDefault="00B82483">
            <w:pPr>
              <w:spacing w:line="276" w:lineRule="auto"/>
              <w:jc w:val="center"/>
              <w:rPr>
                <w:rFonts w:cs="Arial"/>
                <w:b/>
                <w:color w:val="FFFFFF"/>
                <w:sz w:val="20"/>
              </w:rPr>
            </w:pPr>
            <w:r w:rsidRPr="000063FC">
              <w:rPr>
                <w:rFonts w:cs="Arial"/>
                <w:b/>
                <w:color w:val="FFFFFF"/>
                <w:sz w:val="20"/>
              </w:rPr>
              <w:t>Zgradarstvo</w:t>
            </w:r>
          </w:p>
        </w:tc>
        <w:tc>
          <w:tcPr>
            <w:tcW w:w="2410" w:type="dxa"/>
            <w:tcBorders>
              <w:top w:val="single" w:sz="4" w:space="0" w:color="FFFFFF"/>
              <w:left w:val="single" w:sz="4" w:space="0" w:color="FFFFFF"/>
              <w:bottom w:val="single" w:sz="4" w:space="0" w:color="FFFFFF"/>
            </w:tcBorders>
            <w:shd w:val="clear" w:color="auto" w:fill="4BACC6"/>
            <w:vAlign w:val="center"/>
          </w:tcPr>
          <w:p w:rsidR="00B23695" w:rsidRPr="000063FC" w:rsidRDefault="00B82483">
            <w:pPr>
              <w:spacing w:line="276" w:lineRule="auto"/>
              <w:jc w:val="center"/>
              <w:rPr>
                <w:rFonts w:cs="Arial"/>
                <w:b/>
                <w:color w:val="FFFFFF"/>
                <w:sz w:val="20"/>
                <w:lang w:eastAsia="hr-HR"/>
              </w:rPr>
            </w:pPr>
            <w:r w:rsidRPr="000063FC">
              <w:rPr>
                <w:rFonts w:cs="Arial"/>
                <w:b/>
                <w:color w:val="FFFFFF"/>
                <w:sz w:val="20"/>
              </w:rPr>
              <w:t>Ukupno po energentima</w:t>
            </w:r>
          </w:p>
        </w:tc>
      </w:tr>
      <w:tr w:rsidR="00B82483" w:rsidRPr="000063FC" w:rsidTr="00DF5D1C">
        <w:trPr>
          <w:trHeight w:val="340"/>
        </w:trPr>
        <w:tc>
          <w:tcPr>
            <w:tcW w:w="2139" w:type="dxa"/>
            <w:noWrap/>
            <w:vAlign w:val="center"/>
          </w:tcPr>
          <w:p w:rsidR="00B23695" w:rsidRPr="000063FC" w:rsidRDefault="00B82483">
            <w:pPr>
              <w:spacing w:line="276" w:lineRule="auto"/>
              <w:jc w:val="center"/>
              <w:rPr>
                <w:rFonts w:cs="Arial"/>
                <w:color w:val="000000"/>
                <w:sz w:val="20"/>
              </w:rPr>
            </w:pPr>
            <w:r w:rsidRPr="000063FC">
              <w:rPr>
                <w:rFonts w:cs="Arial"/>
                <w:color w:val="000000"/>
                <w:sz w:val="20"/>
              </w:rPr>
              <w:t>Emisija kt CO</w:t>
            </w:r>
            <w:r w:rsidRPr="000063FC">
              <w:rPr>
                <w:rFonts w:cs="Arial"/>
                <w:color w:val="000000"/>
                <w:sz w:val="20"/>
                <w:vertAlign w:val="subscript"/>
              </w:rPr>
              <w:t>2</w:t>
            </w:r>
            <w:r w:rsidRPr="000063FC">
              <w:rPr>
                <w:rFonts w:cs="Arial"/>
                <w:color w:val="000000"/>
                <w:sz w:val="20"/>
              </w:rPr>
              <w:t>-ekv</w:t>
            </w:r>
          </w:p>
        </w:tc>
        <w:tc>
          <w:tcPr>
            <w:tcW w:w="1417" w:type="dxa"/>
            <w:gridSpan w:val="2"/>
            <w:noWrap/>
            <w:vAlign w:val="center"/>
          </w:tcPr>
          <w:p w:rsidR="00B23695" w:rsidRPr="000063FC" w:rsidRDefault="00B82483" w:rsidP="00273838">
            <w:pPr>
              <w:spacing w:line="276" w:lineRule="auto"/>
              <w:jc w:val="right"/>
              <w:rPr>
                <w:rFonts w:cs="Arial"/>
                <w:color w:val="000000"/>
                <w:sz w:val="20"/>
              </w:rPr>
            </w:pPr>
            <w:r w:rsidRPr="000063FC">
              <w:rPr>
                <w:rFonts w:cs="Arial"/>
                <w:color w:val="000000"/>
                <w:sz w:val="20"/>
              </w:rPr>
              <w:t>1044,2</w:t>
            </w:r>
          </w:p>
        </w:tc>
        <w:tc>
          <w:tcPr>
            <w:tcW w:w="1418" w:type="dxa"/>
            <w:noWrap/>
            <w:vAlign w:val="center"/>
          </w:tcPr>
          <w:p w:rsidR="00B23695" w:rsidRPr="000063FC" w:rsidRDefault="00B82483" w:rsidP="00273838">
            <w:pPr>
              <w:spacing w:line="276" w:lineRule="auto"/>
              <w:jc w:val="right"/>
              <w:rPr>
                <w:rFonts w:cs="Arial"/>
                <w:color w:val="000000"/>
                <w:sz w:val="20"/>
              </w:rPr>
            </w:pPr>
            <w:r w:rsidRPr="000063FC">
              <w:rPr>
                <w:rFonts w:cs="Arial"/>
                <w:color w:val="000000"/>
                <w:sz w:val="20"/>
              </w:rPr>
              <w:t>29,1</w:t>
            </w:r>
          </w:p>
        </w:tc>
        <w:tc>
          <w:tcPr>
            <w:tcW w:w="1559" w:type="dxa"/>
            <w:noWrap/>
            <w:vAlign w:val="center"/>
          </w:tcPr>
          <w:p w:rsidR="00B23695" w:rsidRPr="000063FC" w:rsidRDefault="00DF5D1C" w:rsidP="00273838">
            <w:pPr>
              <w:spacing w:line="276" w:lineRule="auto"/>
              <w:jc w:val="right"/>
              <w:rPr>
                <w:rFonts w:cs="Arial"/>
                <w:color w:val="000000"/>
                <w:sz w:val="20"/>
              </w:rPr>
            </w:pPr>
            <w:r w:rsidRPr="000063FC">
              <w:rPr>
                <w:rFonts w:cs="Arial"/>
                <w:color w:val="000000"/>
                <w:sz w:val="20"/>
              </w:rPr>
              <w:t>1732,0</w:t>
            </w:r>
          </w:p>
        </w:tc>
        <w:tc>
          <w:tcPr>
            <w:tcW w:w="2410" w:type="dxa"/>
            <w:noWrap/>
            <w:vAlign w:val="center"/>
          </w:tcPr>
          <w:p w:rsidR="00B23695" w:rsidRPr="000063FC" w:rsidRDefault="00DF5D1C" w:rsidP="00273838">
            <w:pPr>
              <w:spacing w:line="276" w:lineRule="auto"/>
              <w:jc w:val="right"/>
              <w:rPr>
                <w:rFonts w:cs="Arial"/>
                <w:color w:val="000000"/>
                <w:sz w:val="20"/>
              </w:rPr>
            </w:pPr>
            <w:r w:rsidRPr="000063FC">
              <w:rPr>
                <w:rFonts w:cs="Arial"/>
                <w:color w:val="000000"/>
                <w:sz w:val="20"/>
              </w:rPr>
              <w:t>2805,3</w:t>
            </w:r>
          </w:p>
        </w:tc>
      </w:tr>
      <w:tr w:rsidR="00B82483" w:rsidRPr="000063FC" w:rsidTr="00DF5D1C">
        <w:trPr>
          <w:trHeight w:val="340"/>
        </w:trPr>
        <w:tc>
          <w:tcPr>
            <w:tcW w:w="2139" w:type="dxa"/>
            <w:noWrap/>
            <w:vAlign w:val="center"/>
          </w:tcPr>
          <w:p w:rsidR="00B23695" w:rsidRPr="000063FC" w:rsidRDefault="00B82483">
            <w:pPr>
              <w:spacing w:line="276" w:lineRule="auto"/>
              <w:jc w:val="center"/>
              <w:rPr>
                <w:rFonts w:cs="Arial"/>
                <w:color w:val="000000"/>
                <w:sz w:val="20"/>
              </w:rPr>
            </w:pPr>
            <w:r w:rsidRPr="000063FC">
              <w:rPr>
                <w:rFonts w:cs="Arial"/>
                <w:color w:val="000000"/>
                <w:sz w:val="20"/>
              </w:rPr>
              <w:t>Udio</w:t>
            </w:r>
          </w:p>
        </w:tc>
        <w:tc>
          <w:tcPr>
            <w:tcW w:w="1417" w:type="dxa"/>
            <w:gridSpan w:val="2"/>
            <w:noWrap/>
            <w:vAlign w:val="center"/>
          </w:tcPr>
          <w:p w:rsidR="00B23695" w:rsidRPr="000063FC" w:rsidRDefault="00DF5D1C" w:rsidP="00273838">
            <w:pPr>
              <w:spacing w:line="276" w:lineRule="auto"/>
              <w:jc w:val="right"/>
              <w:rPr>
                <w:rFonts w:cs="Arial"/>
                <w:color w:val="000000"/>
                <w:sz w:val="20"/>
              </w:rPr>
            </w:pPr>
            <w:r w:rsidRPr="000063FC">
              <w:rPr>
                <w:rFonts w:cs="Arial"/>
                <w:color w:val="000000"/>
                <w:sz w:val="20"/>
              </w:rPr>
              <w:t>37,2</w:t>
            </w:r>
          </w:p>
        </w:tc>
        <w:tc>
          <w:tcPr>
            <w:tcW w:w="1418" w:type="dxa"/>
            <w:noWrap/>
            <w:vAlign w:val="center"/>
          </w:tcPr>
          <w:p w:rsidR="00B23695" w:rsidRPr="000063FC" w:rsidRDefault="00B82483" w:rsidP="00273838">
            <w:pPr>
              <w:spacing w:line="276" w:lineRule="auto"/>
              <w:jc w:val="right"/>
              <w:rPr>
                <w:rFonts w:cs="Arial"/>
                <w:color w:val="000000"/>
                <w:sz w:val="20"/>
              </w:rPr>
            </w:pPr>
            <w:r w:rsidRPr="000063FC">
              <w:rPr>
                <w:rFonts w:cs="Arial"/>
                <w:color w:val="000000"/>
                <w:sz w:val="20"/>
              </w:rPr>
              <w:t>1,0</w:t>
            </w:r>
          </w:p>
        </w:tc>
        <w:tc>
          <w:tcPr>
            <w:tcW w:w="1559" w:type="dxa"/>
            <w:noWrap/>
            <w:vAlign w:val="center"/>
          </w:tcPr>
          <w:p w:rsidR="00B23695" w:rsidRPr="000063FC" w:rsidRDefault="00DF5D1C" w:rsidP="00273838">
            <w:pPr>
              <w:spacing w:line="276" w:lineRule="auto"/>
              <w:jc w:val="right"/>
              <w:rPr>
                <w:rFonts w:cs="Arial"/>
                <w:color w:val="000000"/>
                <w:sz w:val="20"/>
              </w:rPr>
            </w:pPr>
            <w:r w:rsidRPr="000063FC">
              <w:rPr>
                <w:rFonts w:cs="Arial"/>
                <w:color w:val="000000"/>
                <w:sz w:val="20"/>
              </w:rPr>
              <w:t>61,8</w:t>
            </w:r>
          </w:p>
        </w:tc>
        <w:tc>
          <w:tcPr>
            <w:tcW w:w="2410" w:type="dxa"/>
            <w:noWrap/>
            <w:vAlign w:val="center"/>
          </w:tcPr>
          <w:p w:rsidR="00B23695" w:rsidRPr="000063FC" w:rsidRDefault="00B82483" w:rsidP="00273838">
            <w:pPr>
              <w:spacing w:line="276" w:lineRule="auto"/>
              <w:jc w:val="right"/>
              <w:rPr>
                <w:rFonts w:cs="Arial"/>
                <w:color w:val="000000"/>
                <w:sz w:val="20"/>
              </w:rPr>
            </w:pPr>
            <w:r w:rsidRPr="000063FC">
              <w:rPr>
                <w:rFonts w:cs="Arial"/>
                <w:color w:val="000000"/>
                <w:sz w:val="20"/>
              </w:rPr>
              <w:t>100</w:t>
            </w:r>
          </w:p>
        </w:tc>
      </w:tr>
    </w:tbl>
    <w:p w:rsidR="00B23695" w:rsidRPr="000063FC" w:rsidRDefault="00B23695">
      <w:pPr>
        <w:spacing w:line="276" w:lineRule="auto"/>
        <w:rPr>
          <w:lang w:eastAsia="hr-HR"/>
        </w:rPr>
      </w:pPr>
    </w:p>
    <w:p w:rsidR="00946BA6" w:rsidRPr="000063FC" w:rsidRDefault="00946BA6" w:rsidP="00946BA6">
      <w:pPr>
        <w:spacing w:line="240" w:lineRule="auto"/>
      </w:pPr>
      <w:r w:rsidRPr="000063FC">
        <w:t>Referentni  inventar emisija Grada Zagreba za 2008. godinu obuhvaća izravne (izgaranje goriva) i neizravne (potrošnja električne i toplinske energije) emisije CO</w:t>
      </w:r>
      <w:r w:rsidRPr="000063FC">
        <w:rPr>
          <w:vertAlign w:val="subscript"/>
        </w:rPr>
        <w:t>2</w:t>
      </w:r>
      <w:r w:rsidRPr="000063FC">
        <w:t xml:space="preserve"> iz tri sektora neposredne potrošnje energije: 1) zgradarstva 2) prometa i 3) javne rasvjete. Ukupna emisija CO</w:t>
      </w:r>
      <w:r w:rsidRPr="000063FC">
        <w:rPr>
          <w:vertAlign w:val="subscript"/>
        </w:rPr>
        <w:t xml:space="preserve">2 </w:t>
      </w:r>
      <w:r w:rsidRPr="000063FC">
        <w:t xml:space="preserve"> iz promatranih sektora u Gradu Zagrebu iznosila je u 2008. godini </w:t>
      </w:r>
      <w:r w:rsidRPr="000063FC">
        <w:rPr>
          <w:lang w:eastAsia="hr-HR"/>
        </w:rPr>
        <w:t>2796</w:t>
      </w:r>
      <w:r w:rsidRPr="000063FC">
        <w:t xml:space="preserve"> kt CO</w:t>
      </w:r>
      <w:r w:rsidRPr="000063FC">
        <w:rPr>
          <w:vertAlign w:val="subscript"/>
        </w:rPr>
        <w:t>2</w:t>
      </w:r>
      <w:r w:rsidRPr="000063FC">
        <w:t>.</w:t>
      </w:r>
    </w:p>
    <w:p w:rsidR="00F33953" w:rsidRPr="000063FC" w:rsidRDefault="00F33953" w:rsidP="00F33953">
      <w:pPr>
        <w:spacing w:line="240" w:lineRule="auto"/>
      </w:pPr>
    </w:p>
    <w:p w:rsidR="00F33953" w:rsidRPr="000063FC" w:rsidRDefault="00F33953" w:rsidP="00F33953">
      <w:pPr>
        <w:spacing w:line="240" w:lineRule="auto"/>
      </w:pPr>
      <w:r w:rsidRPr="000063FC">
        <w:t>Na osnovu podataka o emisijama CO</w:t>
      </w:r>
      <w:r w:rsidRPr="000063FC">
        <w:rPr>
          <w:vertAlign w:val="subscript"/>
        </w:rPr>
        <w:t>2</w:t>
      </w:r>
      <w:r w:rsidRPr="000063FC">
        <w:t xml:space="preserve"> </w:t>
      </w:r>
      <w:r w:rsidR="00946BA6" w:rsidRPr="000063FC">
        <w:t>iz sektora zgradarstva, prometa i javne rasvjete Grada Zagreba, u daljnjim su poglavljima ovih Podloga detaljno razrađene mjere energetske učinkovitosti čija realizacija treba rezultirati smanjenjem emisija CO</w:t>
      </w:r>
      <w:r w:rsidR="00946BA6" w:rsidRPr="000063FC">
        <w:rPr>
          <w:vertAlign w:val="subscript"/>
        </w:rPr>
        <w:t xml:space="preserve">2 </w:t>
      </w:r>
      <w:r w:rsidR="00946BA6" w:rsidRPr="000063FC">
        <w:t xml:space="preserve">za više od 20% do 2020. godine. </w:t>
      </w:r>
    </w:p>
    <w:p w:rsidR="00946BA6" w:rsidRPr="000063FC" w:rsidRDefault="00946BA6" w:rsidP="00F33953">
      <w:pPr>
        <w:spacing w:line="240" w:lineRule="auto"/>
      </w:pPr>
    </w:p>
    <w:p w:rsidR="00F33953" w:rsidRPr="000063FC" w:rsidRDefault="00F33953" w:rsidP="00F33953">
      <w:pPr>
        <w:spacing w:line="240" w:lineRule="auto"/>
      </w:pPr>
    </w:p>
    <w:p w:rsidR="0047434A" w:rsidRPr="000063FC" w:rsidRDefault="00712520">
      <w:pPr>
        <w:tabs>
          <w:tab w:val="clear" w:pos="720"/>
          <w:tab w:val="clear" w:pos="6912"/>
        </w:tabs>
        <w:spacing w:line="240" w:lineRule="auto"/>
        <w:jc w:val="left"/>
        <w:rPr>
          <w:szCs w:val="22"/>
        </w:rPr>
      </w:pPr>
      <w:r w:rsidRPr="000063FC">
        <w:rPr>
          <w:szCs w:val="22"/>
        </w:rPr>
        <w:br w:type="page"/>
      </w:r>
    </w:p>
    <w:p w:rsidR="0047434A" w:rsidRPr="000063FC" w:rsidRDefault="0047434A" w:rsidP="00BC62E2">
      <w:pPr>
        <w:pStyle w:val="Heading1"/>
      </w:pPr>
      <w:bookmarkStart w:id="204" w:name="_Toc254010196"/>
      <w:r w:rsidRPr="000063FC">
        <w:lastRenderedPageBreak/>
        <w:t>ODREĐIVANJE CILJA SMANJENJA EMISIJ</w:t>
      </w:r>
      <w:r w:rsidR="00BC62E2" w:rsidRPr="000063FC">
        <w:t>e</w:t>
      </w:r>
      <w:r w:rsidRPr="000063FC">
        <w:t xml:space="preserve"> CO</w:t>
      </w:r>
      <w:r w:rsidRPr="000063FC">
        <w:rPr>
          <w:vertAlign w:val="subscript"/>
        </w:rPr>
        <w:t>2</w:t>
      </w:r>
      <w:r w:rsidRPr="000063FC">
        <w:t xml:space="preserve"> </w:t>
      </w:r>
      <w:r w:rsidR="00BC62E2" w:rsidRPr="000063FC">
        <w:t xml:space="preserve">U SEKTORIMA JAVNE RASVJETE, ZGRADARSTVA I PROMETA </w:t>
      </w:r>
      <w:r w:rsidRPr="000063FC">
        <w:t>DO 2020. GODINE</w:t>
      </w:r>
      <w:bookmarkEnd w:id="204"/>
    </w:p>
    <w:p w:rsidR="00946BA6" w:rsidRPr="000063FC" w:rsidRDefault="00946BA6" w:rsidP="00946BA6">
      <w:pPr>
        <w:spacing w:line="276" w:lineRule="auto"/>
      </w:pPr>
      <w:r w:rsidRPr="000063FC">
        <w:t>Za odr</w:t>
      </w:r>
      <w:r w:rsidR="009E37E3" w:rsidRPr="000063FC">
        <w:t>eđivanje cilja smanjenja emisija</w:t>
      </w:r>
      <w:r w:rsidRPr="000063FC">
        <w:t xml:space="preserve"> CO</w:t>
      </w:r>
      <w:r w:rsidRPr="000063FC">
        <w:rPr>
          <w:vertAlign w:val="subscript"/>
        </w:rPr>
        <w:t xml:space="preserve">2 </w:t>
      </w:r>
      <w:r w:rsidRPr="000063FC">
        <w:t>u sektorima</w:t>
      </w:r>
      <w:r w:rsidRPr="000063FC">
        <w:rPr>
          <w:vertAlign w:val="subscript"/>
        </w:rPr>
        <w:t xml:space="preserve"> </w:t>
      </w:r>
      <w:r w:rsidRPr="000063FC">
        <w:t xml:space="preserve"> zgradarstva, prometa i javne rasvjete u Gradu Zagrebu, izrađene su projekcije kretanja energetskih potrošnji i emisija do 2020. godine za dva scenarija: </w:t>
      </w:r>
      <w:r w:rsidRPr="000063FC">
        <w:rPr>
          <w:i/>
        </w:rPr>
        <w:t>scenarij bez mjera</w:t>
      </w:r>
      <w:r w:rsidRPr="000063FC">
        <w:t xml:space="preserve"> i s</w:t>
      </w:r>
      <w:r w:rsidRPr="000063FC">
        <w:rPr>
          <w:i/>
        </w:rPr>
        <w:t>cenarij s mjerama</w:t>
      </w:r>
      <w:r w:rsidRPr="000063FC">
        <w:t xml:space="preserve">. </w:t>
      </w:r>
    </w:p>
    <w:p w:rsidR="00946BA6" w:rsidRPr="000063FC" w:rsidRDefault="00946BA6" w:rsidP="00BD7626">
      <w:pPr>
        <w:spacing w:line="276" w:lineRule="auto"/>
      </w:pPr>
    </w:p>
    <w:p w:rsidR="00BD7626" w:rsidRPr="000063FC" w:rsidRDefault="00BD7626" w:rsidP="00BD7626">
      <w:pPr>
        <w:spacing w:line="276" w:lineRule="auto"/>
      </w:pPr>
      <w:r w:rsidRPr="000063FC">
        <w:t xml:space="preserve">Scenarij bez mjera je temeljni scenarij koji pretpostavlja porast energetske potrošnje prepuštene tržišnim kretanjima i navikama potrošača, bez sustavne provedbe mjera energetske učinkovitosti, ali uz pretpostavku uobičajene primjene novih, tehnološki naprednijih proizvoda kako se tijekom vremena pojavljuju na tržištu. </w:t>
      </w:r>
    </w:p>
    <w:p w:rsidR="00BD7626" w:rsidRPr="000063FC" w:rsidRDefault="00BD7626" w:rsidP="00BD7626">
      <w:pPr>
        <w:spacing w:line="276" w:lineRule="auto"/>
      </w:pPr>
    </w:p>
    <w:p w:rsidR="00BD7626" w:rsidRPr="000063FC" w:rsidRDefault="00BD7626" w:rsidP="00BD7626">
      <w:pPr>
        <w:spacing w:line="276" w:lineRule="auto"/>
      </w:pPr>
      <w:r w:rsidRPr="000063FC">
        <w:t>Scenarij s mjerama pretpostavlja smanjenje energetskih potrošnji i pripadajućih emisija CO</w:t>
      </w:r>
      <w:r w:rsidRPr="000063FC">
        <w:rPr>
          <w:vertAlign w:val="subscript"/>
        </w:rPr>
        <w:t>2</w:t>
      </w:r>
      <w:r w:rsidRPr="000063FC">
        <w:t xml:space="preserve"> do 2020. godine provedbom identificiranih mjera energetske učinkovitosti u sektorima zgradarstva, prometa i javne rasvjete.</w:t>
      </w:r>
    </w:p>
    <w:p w:rsidR="00BD7626" w:rsidRPr="000063FC" w:rsidRDefault="00BD7626" w:rsidP="00BD7626"/>
    <w:p w:rsidR="00BC62E2" w:rsidRPr="000063FC" w:rsidRDefault="00F56931" w:rsidP="00BC62E2">
      <w:pPr>
        <w:pStyle w:val="Heading2"/>
      </w:pPr>
      <w:bookmarkStart w:id="205" w:name="_Toc254010197"/>
      <w:r w:rsidRPr="000063FC">
        <w:rPr>
          <w:caps w:val="0"/>
        </w:rPr>
        <w:t>PROJEKCIJE EMISIJA CO</w:t>
      </w:r>
      <w:r w:rsidRPr="000063FC">
        <w:rPr>
          <w:caps w:val="0"/>
          <w:vertAlign w:val="subscript"/>
        </w:rPr>
        <w:t>2</w:t>
      </w:r>
      <w:r w:rsidR="004B0836" w:rsidRPr="000063FC">
        <w:rPr>
          <w:caps w:val="0"/>
        </w:rPr>
        <w:t xml:space="preserve"> SEKTORA</w:t>
      </w:r>
      <w:r w:rsidRPr="000063FC">
        <w:rPr>
          <w:caps w:val="0"/>
        </w:rPr>
        <w:t xml:space="preserve"> JAVNA RASVJETA DO 2020. GODINE</w:t>
      </w:r>
      <w:bookmarkEnd w:id="205"/>
    </w:p>
    <w:p w:rsidR="00BC62E2" w:rsidRPr="000063FC" w:rsidRDefault="00BC62E2" w:rsidP="00A46A65">
      <w:pPr>
        <w:spacing w:line="276" w:lineRule="auto"/>
      </w:pPr>
      <w:r w:rsidRPr="000063FC">
        <w:t xml:space="preserve">Scenarij bez mjera kreiran je na temelju poznate potrošnje energenata u 2008. godini te očekivanog porasta potrošnje u 2020. godini. Projekcije potrošnje energenata te pripadajuća emisija </w:t>
      </w:r>
      <w:r w:rsidR="009E37E3" w:rsidRPr="000063FC">
        <w:t>CO</w:t>
      </w:r>
      <w:r w:rsidR="009E37E3" w:rsidRPr="000063FC">
        <w:rPr>
          <w:vertAlign w:val="subscript"/>
        </w:rPr>
        <w:t>2</w:t>
      </w:r>
      <w:r w:rsidR="009E37E3" w:rsidRPr="000063FC">
        <w:t xml:space="preserve"> za sektor javne rasvjete za scenarij bez mjera </w:t>
      </w:r>
      <w:r w:rsidRPr="000063FC">
        <w:t>prikazani su u tablici 3.1.</w:t>
      </w:r>
    </w:p>
    <w:p w:rsidR="00BC62E2" w:rsidRPr="000063FC" w:rsidRDefault="00BC62E2">
      <w:pPr>
        <w:tabs>
          <w:tab w:val="clear" w:pos="720"/>
          <w:tab w:val="clear" w:pos="6912"/>
        </w:tabs>
        <w:spacing w:line="240" w:lineRule="auto"/>
        <w:jc w:val="left"/>
        <w:rPr>
          <w:szCs w:val="22"/>
        </w:rPr>
      </w:pPr>
    </w:p>
    <w:p w:rsidR="00BC341E" w:rsidRPr="000063FC" w:rsidRDefault="00BC62E2" w:rsidP="00B33E2F">
      <w:pPr>
        <w:pStyle w:val="Heading6"/>
      </w:pPr>
      <w:bookmarkStart w:id="206" w:name="_Toc254010257"/>
      <w:r w:rsidRPr="000063FC">
        <w:t xml:space="preserve">Tablica 3.1: Potrošnja energije i emisija </w:t>
      </w:r>
      <w:r w:rsidR="00032E38">
        <w:t>CO</w:t>
      </w:r>
      <w:r w:rsidR="00032E38">
        <w:rPr>
          <w:vertAlign w:val="subscript"/>
        </w:rPr>
        <w:t>2</w:t>
      </w:r>
      <w:r w:rsidR="00032E38">
        <w:t xml:space="preserve"> </w:t>
      </w:r>
      <w:r w:rsidRPr="000063FC">
        <w:t>scenarija bez mjera sektora javna rasvjeta</w:t>
      </w:r>
      <w:bookmarkEnd w:id="206"/>
      <w:r w:rsidRPr="000063FC">
        <w:t xml:space="preserve"> </w:t>
      </w:r>
    </w:p>
    <w:tbl>
      <w:tblPr>
        <w:tblW w:w="9087" w:type="dxa"/>
        <w:tblInd w:w="108" w:type="dxa"/>
        <w:tblLook w:val="00A0" w:firstRow="1" w:lastRow="0" w:firstColumn="1" w:lastColumn="0" w:noHBand="0" w:noVBand="0"/>
      </w:tblPr>
      <w:tblGrid>
        <w:gridCol w:w="2000"/>
        <w:gridCol w:w="1559"/>
        <w:gridCol w:w="2020"/>
        <w:gridCol w:w="2120"/>
        <w:gridCol w:w="1388"/>
      </w:tblGrid>
      <w:tr w:rsidR="00BC62E2" w:rsidRPr="000063FC" w:rsidTr="00BC62E2">
        <w:trPr>
          <w:trHeight w:val="915"/>
        </w:trPr>
        <w:tc>
          <w:tcPr>
            <w:tcW w:w="2000" w:type="dxa"/>
            <w:tcBorders>
              <w:top w:val="single" w:sz="4" w:space="0" w:color="4BACC6"/>
              <w:left w:val="single" w:sz="4" w:space="0" w:color="4BACC6"/>
              <w:bottom w:val="nil"/>
              <w:right w:val="single" w:sz="4" w:space="0" w:color="FFFFFF"/>
            </w:tcBorders>
            <w:shd w:val="clear" w:color="000000" w:fill="4BACC6"/>
            <w:noWrap/>
            <w:vAlign w:val="center"/>
          </w:tcPr>
          <w:p w:rsidR="00BC62E2" w:rsidRPr="000063FC" w:rsidRDefault="00BC62E2" w:rsidP="00BC62E2">
            <w:pPr>
              <w:jc w:val="center"/>
              <w:rPr>
                <w:b/>
                <w:bCs/>
                <w:color w:val="FFFFFF"/>
                <w:sz w:val="20"/>
                <w:lang w:eastAsia="hr-HR"/>
              </w:rPr>
            </w:pPr>
            <w:r w:rsidRPr="000063FC">
              <w:rPr>
                <w:b/>
                <w:bCs/>
                <w:color w:val="FFFFFF"/>
                <w:sz w:val="20"/>
                <w:lang w:eastAsia="hr-HR"/>
              </w:rPr>
              <w:t>Javna rasvjeta</w:t>
            </w:r>
          </w:p>
        </w:tc>
        <w:tc>
          <w:tcPr>
            <w:tcW w:w="1559" w:type="dxa"/>
            <w:tcBorders>
              <w:top w:val="single" w:sz="4" w:space="0" w:color="4BACC6"/>
              <w:left w:val="nil"/>
              <w:bottom w:val="nil"/>
              <w:right w:val="single" w:sz="4" w:space="0" w:color="FFFFFF"/>
            </w:tcBorders>
            <w:shd w:val="clear" w:color="000000" w:fill="4BACC6"/>
            <w:vAlign w:val="center"/>
          </w:tcPr>
          <w:p w:rsidR="00BC62E2" w:rsidRPr="000063FC" w:rsidRDefault="00BC62E2" w:rsidP="00BC62E2">
            <w:pPr>
              <w:jc w:val="center"/>
              <w:rPr>
                <w:b/>
                <w:bCs/>
                <w:color w:val="FFFFFF"/>
                <w:sz w:val="20"/>
                <w:lang w:eastAsia="hr-HR"/>
              </w:rPr>
            </w:pPr>
            <w:r w:rsidRPr="000063FC">
              <w:rPr>
                <w:b/>
                <w:bCs/>
                <w:color w:val="FFFFFF"/>
                <w:sz w:val="20"/>
                <w:lang w:eastAsia="hr-HR"/>
              </w:rPr>
              <w:t>Potrošnja energije 2008., MWh</w:t>
            </w:r>
          </w:p>
        </w:tc>
        <w:tc>
          <w:tcPr>
            <w:tcW w:w="2020" w:type="dxa"/>
            <w:tcBorders>
              <w:top w:val="single" w:sz="4" w:space="0" w:color="4BACC6"/>
              <w:left w:val="nil"/>
              <w:bottom w:val="nil"/>
              <w:right w:val="single" w:sz="4" w:space="0" w:color="FFFFFF"/>
            </w:tcBorders>
            <w:shd w:val="clear" w:color="000000" w:fill="4BACC6"/>
            <w:vAlign w:val="center"/>
          </w:tcPr>
          <w:p w:rsidR="00BC62E2" w:rsidRPr="000063FC" w:rsidRDefault="00BC62E2" w:rsidP="00BC62E2">
            <w:pPr>
              <w:jc w:val="center"/>
              <w:rPr>
                <w:b/>
                <w:bCs/>
                <w:color w:val="FFFFFF"/>
                <w:sz w:val="20"/>
                <w:lang w:eastAsia="hr-HR"/>
              </w:rPr>
            </w:pPr>
            <w:r w:rsidRPr="000063FC">
              <w:rPr>
                <w:b/>
                <w:bCs/>
                <w:color w:val="FFFFFF"/>
                <w:sz w:val="20"/>
                <w:lang w:eastAsia="hr-HR"/>
              </w:rPr>
              <w:t>Porast potrošnje električne energije u MWh u 2020.</w:t>
            </w:r>
          </w:p>
        </w:tc>
        <w:tc>
          <w:tcPr>
            <w:tcW w:w="2120" w:type="dxa"/>
            <w:tcBorders>
              <w:top w:val="single" w:sz="4" w:space="0" w:color="4BACC6"/>
              <w:left w:val="nil"/>
              <w:bottom w:val="single" w:sz="4" w:space="0" w:color="4BACC6"/>
              <w:right w:val="single" w:sz="4" w:space="0" w:color="FFFFFF"/>
            </w:tcBorders>
            <w:shd w:val="clear" w:color="000000" w:fill="4BACC6"/>
            <w:vAlign w:val="center"/>
          </w:tcPr>
          <w:p w:rsidR="00BC62E2" w:rsidRPr="000063FC" w:rsidRDefault="00BC62E2" w:rsidP="00BC62E2">
            <w:pPr>
              <w:jc w:val="center"/>
              <w:rPr>
                <w:b/>
                <w:bCs/>
                <w:color w:val="FFFFFF"/>
                <w:sz w:val="20"/>
                <w:lang w:eastAsia="hr-HR"/>
              </w:rPr>
            </w:pPr>
            <w:r w:rsidRPr="000063FC">
              <w:rPr>
                <w:b/>
                <w:bCs/>
                <w:color w:val="FFFFFF"/>
                <w:sz w:val="20"/>
                <w:lang w:eastAsia="hr-HR"/>
              </w:rPr>
              <w:t>Potrošnja energije u 2020., MWh</w:t>
            </w:r>
          </w:p>
        </w:tc>
        <w:tc>
          <w:tcPr>
            <w:tcW w:w="1388" w:type="dxa"/>
            <w:tcBorders>
              <w:top w:val="nil"/>
              <w:left w:val="single" w:sz="4" w:space="0" w:color="FFFFFF"/>
              <w:bottom w:val="single" w:sz="4" w:space="0" w:color="4BACC6"/>
              <w:right w:val="nil"/>
            </w:tcBorders>
            <w:shd w:val="clear" w:color="000000" w:fill="4BACC6"/>
            <w:vAlign w:val="center"/>
          </w:tcPr>
          <w:p w:rsidR="00BC62E2" w:rsidRPr="000063FC" w:rsidRDefault="00BC62E2" w:rsidP="00BC62E2">
            <w:pPr>
              <w:jc w:val="center"/>
              <w:rPr>
                <w:b/>
                <w:bCs/>
                <w:color w:val="FFFFFF"/>
                <w:sz w:val="20"/>
                <w:lang w:eastAsia="hr-HR"/>
              </w:rPr>
            </w:pPr>
            <w:r w:rsidRPr="000063FC">
              <w:rPr>
                <w:b/>
                <w:bCs/>
                <w:color w:val="FFFFFF"/>
                <w:sz w:val="20"/>
                <w:lang w:eastAsia="hr-HR"/>
              </w:rPr>
              <w:t>Emisija,</w:t>
            </w:r>
          </w:p>
          <w:p w:rsidR="00BC62E2" w:rsidRPr="000063FC" w:rsidRDefault="00BC62E2" w:rsidP="00BC62E2">
            <w:pPr>
              <w:jc w:val="center"/>
              <w:rPr>
                <w:b/>
                <w:bCs/>
                <w:color w:val="FFFFFF"/>
                <w:sz w:val="20"/>
                <w:lang w:eastAsia="hr-HR"/>
              </w:rPr>
            </w:pPr>
            <w:r w:rsidRPr="000063FC">
              <w:rPr>
                <w:b/>
                <w:bCs/>
                <w:color w:val="FFFFFF"/>
                <w:sz w:val="20"/>
                <w:lang w:eastAsia="hr-HR"/>
              </w:rPr>
              <w:t>t CO</w:t>
            </w:r>
            <w:r w:rsidRPr="000063FC">
              <w:rPr>
                <w:b/>
                <w:bCs/>
                <w:color w:val="FFFFFF"/>
                <w:sz w:val="20"/>
                <w:vertAlign w:val="subscript"/>
                <w:lang w:eastAsia="hr-HR"/>
              </w:rPr>
              <w:t>2</w:t>
            </w:r>
          </w:p>
        </w:tc>
      </w:tr>
      <w:tr w:rsidR="00BC62E2" w:rsidRPr="000063FC" w:rsidTr="00BC62E2">
        <w:trPr>
          <w:trHeight w:val="300"/>
        </w:trPr>
        <w:tc>
          <w:tcPr>
            <w:tcW w:w="2000" w:type="dxa"/>
            <w:tcBorders>
              <w:top w:val="single" w:sz="4" w:space="0" w:color="4BACC6"/>
              <w:left w:val="single" w:sz="4" w:space="0" w:color="4BACC6"/>
              <w:bottom w:val="single" w:sz="4" w:space="0" w:color="4BACC6"/>
              <w:right w:val="single" w:sz="4" w:space="0" w:color="4BACC6"/>
            </w:tcBorders>
            <w:noWrap/>
            <w:vAlign w:val="bottom"/>
          </w:tcPr>
          <w:p w:rsidR="00BC62E2" w:rsidRPr="000063FC" w:rsidRDefault="00BC62E2" w:rsidP="00BC62E2">
            <w:pPr>
              <w:rPr>
                <w:color w:val="000000"/>
                <w:sz w:val="20"/>
                <w:lang w:eastAsia="hr-HR"/>
              </w:rPr>
            </w:pPr>
            <w:r w:rsidRPr="000063FC">
              <w:rPr>
                <w:color w:val="000000"/>
                <w:sz w:val="20"/>
                <w:lang w:eastAsia="hr-HR"/>
              </w:rPr>
              <w:t>Električna energija</w:t>
            </w:r>
          </w:p>
        </w:tc>
        <w:tc>
          <w:tcPr>
            <w:tcW w:w="1559" w:type="dxa"/>
            <w:tcBorders>
              <w:top w:val="single" w:sz="4" w:space="0" w:color="4BACC6"/>
              <w:left w:val="nil"/>
              <w:bottom w:val="single" w:sz="4" w:space="0" w:color="4BACC6"/>
              <w:right w:val="single" w:sz="4" w:space="0" w:color="4BACC6"/>
            </w:tcBorders>
            <w:noWrap/>
            <w:vAlign w:val="bottom"/>
          </w:tcPr>
          <w:p w:rsidR="00BC62E2" w:rsidRPr="000063FC" w:rsidRDefault="009E37E3" w:rsidP="00BC62E2">
            <w:pPr>
              <w:jc w:val="right"/>
              <w:rPr>
                <w:color w:val="000000"/>
                <w:sz w:val="20"/>
                <w:lang w:eastAsia="hr-HR"/>
              </w:rPr>
            </w:pPr>
            <w:r w:rsidRPr="000063FC">
              <w:rPr>
                <w:color w:val="000000"/>
                <w:sz w:val="20"/>
                <w:lang w:eastAsia="hr-HR"/>
              </w:rPr>
              <w:t xml:space="preserve">90 </w:t>
            </w:r>
            <w:r w:rsidR="00BC62E2" w:rsidRPr="000063FC">
              <w:rPr>
                <w:color w:val="000000"/>
                <w:sz w:val="20"/>
                <w:lang w:eastAsia="hr-HR"/>
              </w:rPr>
              <w:t>100,00</w:t>
            </w:r>
          </w:p>
        </w:tc>
        <w:tc>
          <w:tcPr>
            <w:tcW w:w="2020" w:type="dxa"/>
            <w:tcBorders>
              <w:top w:val="single" w:sz="4" w:space="0" w:color="4BACC6"/>
              <w:left w:val="nil"/>
              <w:bottom w:val="single" w:sz="4" w:space="0" w:color="4BACC6"/>
              <w:right w:val="single" w:sz="4" w:space="0" w:color="4BACC6"/>
            </w:tcBorders>
            <w:noWrap/>
            <w:vAlign w:val="bottom"/>
          </w:tcPr>
          <w:p w:rsidR="00BC62E2" w:rsidRPr="000063FC" w:rsidRDefault="009E37E3" w:rsidP="00BC62E2">
            <w:pPr>
              <w:jc w:val="right"/>
              <w:rPr>
                <w:color w:val="000000"/>
                <w:sz w:val="20"/>
                <w:lang w:eastAsia="hr-HR"/>
              </w:rPr>
            </w:pPr>
            <w:r w:rsidRPr="000063FC">
              <w:rPr>
                <w:color w:val="000000"/>
                <w:sz w:val="20"/>
                <w:lang w:eastAsia="hr-HR"/>
              </w:rPr>
              <w:t xml:space="preserve">9 </w:t>
            </w:r>
            <w:r w:rsidR="00BC62E2" w:rsidRPr="000063FC">
              <w:rPr>
                <w:color w:val="000000"/>
                <w:sz w:val="20"/>
                <w:lang w:eastAsia="hr-HR"/>
              </w:rPr>
              <w:t>010,00</w:t>
            </w:r>
          </w:p>
        </w:tc>
        <w:tc>
          <w:tcPr>
            <w:tcW w:w="2120" w:type="dxa"/>
            <w:tcBorders>
              <w:top w:val="single" w:sz="4" w:space="0" w:color="4BACC6"/>
              <w:left w:val="nil"/>
              <w:bottom w:val="single" w:sz="4" w:space="0" w:color="4BACC6"/>
              <w:right w:val="single" w:sz="4" w:space="0" w:color="4BACC6"/>
            </w:tcBorders>
            <w:noWrap/>
            <w:vAlign w:val="bottom"/>
          </w:tcPr>
          <w:p w:rsidR="00BC62E2" w:rsidRPr="000063FC" w:rsidRDefault="009E37E3" w:rsidP="00BC62E2">
            <w:pPr>
              <w:jc w:val="right"/>
              <w:rPr>
                <w:color w:val="000000"/>
                <w:sz w:val="20"/>
                <w:lang w:eastAsia="hr-HR"/>
              </w:rPr>
            </w:pPr>
            <w:r w:rsidRPr="000063FC">
              <w:rPr>
                <w:color w:val="000000"/>
                <w:sz w:val="20"/>
                <w:lang w:eastAsia="hr-HR"/>
              </w:rPr>
              <w:t xml:space="preserve">99 </w:t>
            </w:r>
            <w:r w:rsidR="00BC62E2" w:rsidRPr="000063FC">
              <w:rPr>
                <w:color w:val="000000"/>
                <w:sz w:val="20"/>
                <w:lang w:eastAsia="hr-HR"/>
              </w:rPr>
              <w:t>110,00</w:t>
            </w:r>
          </w:p>
        </w:tc>
        <w:tc>
          <w:tcPr>
            <w:tcW w:w="1388" w:type="dxa"/>
            <w:tcBorders>
              <w:top w:val="single" w:sz="4" w:space="0" w:color="4BACC6"/>
              <w:left w:val="nil"/>
              <w:bottom w:val="single" w:sz="4" w:space="0" w:color="4BACC6"/>
              <w:right w:val="single" w:sz="4" w:space="0" w:color="4BACC6"/>
            </w:tcBorders>
            <w:noWrap/>
            <w:vAlign w:val="bottom"/>
          </w:tcPr>
          <w:p w:rsidR="00BC62E2" w:rsidRPr="000063FC" w:rsidRDefault="00BC62E2" w:rsidP="00BC62E2">
            <w:pPr>
              <w:jc w:val="right"/>
              <w:rPr>
                <w:color w:val="000000"/>
                <w:sz w:val="20"/>
                <w:lang w:eastAsia="hr-HR"/>
              </w:rPr>
            </w:pPr>
            <w:r w:rsidRPr="000063FC">
              <w:rPr>
                <w:color w:val="000000"/>
                <w:sz w:val="20"/>
                <w:lang w:eastAsia="hr-HR"/>
              </w:rPr>
              <w:t>32</w:t>
            </w:r>
            <w:r w:rsidR="009E37E3" w:rsidRPr="000063FC">
              <w:rPr>
                <w:color w:val="000000"/>
                <w:sz w:val="20"/>
                <w:lang w:eastAsia="hr-HR"/>
              </w:rPr>
              <w:t xml:space="preserve"> </w:t>
            </w:r>
            <w:r w:rsidRPr="000063FC">
              <w:rPr>
                <w:color w:val="000000"/>
                <w:sz w:val="20"/>
                <w:lang w:eastAsia="hr-HR"/>
              </w:rPr>
              <w:t>012,53</w:t>
            </w:r>
          </w:p>
        </w:tc>
      </w:tr>
      <w:tr w:rsidR="00BC62E2" w:rsidRPr="000063FC" w:rsidTr="00BC62E2">
        <w:trPr>
          <w:trHeight w:val="300"/>
        </w:trPr>
        <w:tc>
          <w:tcPr>
            <w:tcW w:w="2000" w:type="dxa"/>
            <w:tcBorders>
              <w:top w:val="nil"/>
              <w:left w:val="single" w:sz="4" w:space="0" w:color="4BACC6"/>
              <w:bottom w:val="single" w:sz="4" w:space="0" w:color="4BACC6"/>
              <w:right w:val="single" w:sz="4" w:space="0" w:color="4BACC6"/>
            </w:tcBorders>
            <w:noWrap/>
            <w:vAlign w:val="bottom"/>
          </w:tcPr>
          <w:p w:rsidR="00BC62E2" w:rsidRPr="000063FC" w:rsidRDefault="00BC62E2" w:rsidP="00BC62E2">
            <w:pPr>
              <w:rPr>
                <w:color w:val="000000"/>
                <w:sz w:val="20"/>
                <w:lang w:eastAsia="hr-HR"/>
              </w:rPr>
            </w:pPr>
            <w:r w:rsidRPr="000063FC">
              <w:rPr>
                <w:color w:val="000000"/>
                <w:sz w:val="20"/>
                <w:lang w:eastAsia="hr-HR"/>
              </w:rPr>
              <w:t>Prirodni plin</w:t>
            </w:r>
          </w:p>
        </w:tc>
        <w:tc>
          <w:tcPr>
            <w:tcW w:w="1559" w:type="dxa"/>
            <w:tcBorders>
              <w:top w:val="nil"/>
              <w:left w:val="nil"/>
              <w:bottom w:val="single" w:sz="4" w:space="0" w:color="4BACC6"/>
              <w:right w:val="single" w:sz="4" w:space="0" w:color="4BACC6"/>
            </w:tcBorders>
            <w:noWrap/>
            <w:vAlign w:val="bottom"/>
          </w:tcPr>
          <w:p w:rsidR="00BC62E2" w:rsidRPr="000063FC" w:rsidRDefault="00BC62E2" w:rsidP="00BC62E2">
            <w:pPr>
              <w:jc w:val="right"/>
              <w:rPr>
                <w:color w:val="000000"/>
                <w:sz w:val="20"/>
                <w:lang w:eastAsia="hr-HR"/>
              </w:rPr>
            </w:pPr>
            <w:r w:rsidRPr="000063FC">
              <w:rPr>
                <w:color w:val="000000"/>
                <w:sz w:val="20"/>
                <w:lang w:eastAsia="hr-HR"/>
              </w:rPr>
              <w:t>363,89</w:t>
            </w:r>
          </w:p>
        </w:tc>
        <w:tc>
          <w:tcPr>
            <w:tcW w:w="2020" w:type="dxa"/>
            <w:tcBorders>
              <w:top w:val="nil"/>
              <w:left w:val="nil"/>
              <w:bottom w:val="single" w:sz="4" w:space="0" w:color="4BACC6"/>
              <w:right w:val="single" w:sz="4" w:space="0" w:color="4BACC6"/>
            </w:tcBorders>
            <w:noWrap/>
            <w:vAlign w:val="bottom"/>
          </w:tcPr>
          <w:p w:rsidR="00BC62E2" w:rsidRPr="000063FC" w:rsidRDefault="00BC62E2" w:rsidP="00BC62E2">
            <w:pPr>
              <w:jc w:val="right"/>
              <w:rPr>
                <w:color w:val="000000"/>
                <w:sz w:val="20"/>
                <w:lang w:eastAsia="hr-HR"/>
              </w:rPr>
            </w:pPr>
            <w:r w:rsidRPr="000063FC">
              <w:rPr>
                <w:color w:val="000000"/>
                <w:sz w:val="20"/>
                <w:lang w:eastAsia="hr-HR"/>
              </w:rPr>
              <w:t>0,00</w:t>
            </w:r>
          </w:p>
        </w:tc>
        <w:tc>
          <w:tcPr>
            <w:tcW w:w="2120" w:type="dxa"/>
            <w:tcBorders>
              <w:top w:val="nil"/>
              <w:left w:val="nil"/>
              <w:bottom w:val="single" w:sz="4" w:space="0" w:color="4BACC6"/>
              <w:right w:val="single" w:sz="4" w:space="0" w:color="4BACC6"/>
            </w:tcBorders>
            <w:noWrap/>
            <w:vAlign w:val="bottom"/>
          </w:tcPr>
          <w:p w:rsidR="00BC62E2" w:rsidRPr="000063FC" w:rsidRDefault="00BC62E2" w:rsidP="00BC62E2">
            <w:pPr>
              <w:jc w:val="right"/>
              <w:rPr>
                <w:color w:val="000000"/>
                <w:sz w:val="20"/>
                <w:lang w:eastAsia="hr-HR"/>
              </w:rPr>
            </w:pPr>
            <w:r w:rsidRPr="000063FC">
              <w:rPr>
                <w:color w:val="000000"/>
                <w:sz w:val="20"/>
                <w:lang w:eastAsia="hr-HR"/>
              </w:rPr>
              <w:t>363,89</w:t>
            </w:r>
          </w:p>
        </w:tc>
        <w:tc>
          <w:tcPr>
            <w:tcW w:w="1388" w:type="dxa"/>
            <w:tcBorders>
              <w:top w:val="nil"/>
              <w:left w:val="nil"/>
              <w:bottom w:val="single" w:sz="4" w:space="0" w:color="4BACC6"/>
              <w:right w:val="single" w:sz="4" w:space="0" w:color="4BACC6"/>
            </w:tcBorders>
            <w:noWrap/>
            <w:vAlign w:val="bottom"/>
          </w:tcPr>
          <w:p w:rsidR="00BC62E2" w:rsidRPr="000063FC" w:rsidRDefault="00BC62E2" w:rsidP="00BC62E2">
            <w:pPr>
              <w:jc w:val="right"/>
              <w:rPr>
                <w:color w:val="000000"/>
                <w:sz w:val="20"/>
                <w:lang w:eastAsia="hr-HR"/>
              </w:rPr>
            </w:pPr>
            <w:r w:rsidRPr="000063FC">
              <w:rPr>
                <w:color w:val="000000"/>
                <w:sz w:val="20"/>
                <w:lang w:eastAsia="hr-HR"/>
              </w:rPr>
              <w:t>73,26</w:t>
            </w:r>
          </w:p>
        </w:tc>
      </w:tr>
      <w:tr w:rsidR="00BC62E2" w:rsidRPr="000063FC" w:rsidTr="00BC62E2">
        <w:trPr>
          <w:trHeight w:val="375"/>
        </w:trPr>
        <w:tc>
          <w:tcPr>
            <w:tcW w:w="2000" w:type="dxa"/>
            <w:tcBorders>
              <w:top w:val="nil"/>
              <w:left w:val="single" w:sz="4" w:space="0" w:color="4BACC6"/>
              <w:bottom w:val="single" w:sz="4" w:space="0" w:color="4BACC6"/>
              <w:right w:val="single" w:sz="4" w:space="0" w:color="4BACC6"/>
            </w:tcBorders>
            <w:shd w:val="clear" w:color="000000" w:fill="DBEEF3"/>
            <w:noWrap/>
            <w:vAlign w:val="center"/>
          </w:tcPr>
          <w:p w:rsidR="00BC62E2" w:rsidRPr="000063FC" w:rsidRDefault="00BC62E2" w:rsidP="00BC62E2">
            <w:pPr>
              <w:jc w:val="center"/>
              <w:rPr>
                <w:color w:val="000000"/>
                <w:sz w:val="20"/>
                <w:lang w:eastAsia="hr-HR"/>
              </w:rPr>
            </w:pPr>
            <w:r w:rsidRPr="000063FC">
              <w:rPr>
                <w:color w:val="000000"/>
                <w:sz w:val="20"/>
                <w:lang w:eastAsia="hr-HR"/>
              </w:rPr>
              <w:t>UKUPNO</w:t>
            </w:r>
          </w:p>
        </w:tc>
        <w:tc>
          <w:tcPr>
            <w:tcW w:w="1559" w:type="dxa"/>
            <w:tcBorders>
              <w:top w:val="nil"/>
              <w:left w:val="nil"/>
              <w:bottom w:val="single" w:sz="4" w:space="0" w:color="4BACC6"/>
              <w:right w:val="single" w:sz="4" w:space="0" w:color="4BACC6"/>
            </w:tcBorders>
            <w:shd w:val="clear" w:color="000000" w:fill="DBEEF3"/>
            <w:noWrap/>
            <w:vAlign w:val="center"/>
          </w:tcPr>
          <w:p w:rsidR="00BC62E2" w:rsidRPr="000063FC" w:rsidRDefault="009E37E3" w:rsidP="00C732C3">
            <w:pPr>
              <w:jc w:val="right"/>
              <w:rPr>
                <w:color w:val="000000"/>
                <w:sz w:val="20"/>
                <w:lang w:eastAsia="hr-HR"/>
              </w:rPr>
            </w:pPr>
            <w:r w:rsidRPr="000063FC">
              <w:rPr>
                <w:color w:val="000000"/>
                <w:sz w:val="20"/>
                <w:lang w:eastAsia="hr-HR"/>
              </w:rPr>
              <w:t xml:space="preserve">90 </w:t>
            </w:r>
            <w:r w:rsidR="00BC62E2" w:rsidRPr="000063FC">
              <w:rPr>
                <w:color w:val="000000"/>
                <w:sz w:val="20"/>
                <w:lang w:eastAsia="hr-HR"/>
              </w:rPr>
              <w:t>463,89</w:t>
            </w:r>
          </w:p>
        </w:tc>
        <w:tc>
          <w:tcPr>
            <w:tcW w:w="2020" w:type="dxa"/>
            <w:tcBorders>
              <w:top w:val="nil"/>
              <w:left w:val="nil"/>
              <w:bottom w:val="single" w:sz="4" w:space="0" w:color="4BACC6"/>
              <w:right w:val="single" w:sz="4" w:space="0" w:color="4BACC6"/>
            </w:tcBorders>
            <w:shd w:val="clear" w:color="000000" w:fill="DBEEF3"/>
            <w:noWrap/>
            <w:vAlign w:val="center"/>
          </w:tcPr>
          <w:p w:rsidR="00BC62E2" w:rsidRPr="000063FC" w:rsidRDefault="009E37E3" w:rsidP="00C732C3">
            <w:pPr>
              <w:jc w:val="right"/>
              <w:rPr>
                <w:color w:val="000000"/>
                <w:sz w:val="20"/>
                <w:lang w:eastAsia="hr-HR"/>
              </w:rPr>
            </w:pPr>
            <w:r w:rsidRPr="000063FC">
              <w:rPr>
                <w:color w:val="000000"/>
                <w:sz w:val="20"/>
                <w:lang w:eastAsia="hr-HR"/>
              </w:rPr>
              <w:t xml:space="preserve">9 </w:t>
            </w:r>
            <w:r w:rsidR="00BC62E2" w:rsidRPr="000063FC">
              <w:rPr>
                <w:color w:val="000000"/>
                <w:sz w:val="20"/>
                <w:lang w:eastAsia="hr-HR"/>
              </w:rPr>
              <w:t>010,00</w:t>
            </w:r>
          </w:p>
        </w:tc>
        <w:tc>
          <w:tcPr>
            <w:tcW w:w="2120" w:type="dxa"/>
            <w:tcBorders>
              <w:top w:val="nil"/>
              <w:left w:val="nil"/>
              <w:bottom w:val="single" w:sz="4" w:space="0" w:color="4BACC6"/>
              <w:right w:val="single" w:sz="4" w:space="0" w:color="4BACC6"/>
            </w:tcBorders>
            <w:shd w:val="clear" w:color="000000" w:fill="DBEEF3"/>
            <w:noWrap/>
            <w:vAlign w:val="center"/>
          </w:tcPr>
          <w:p w:rsidR="00BC62E2" w:rsidRPr="000063FC" w:rsidRDefault="009E37E3" w:rsidP="00C732C3">
            <w:pPr>
              <w:jc w:val="right"/>
              <w:rPr>
                <w:color w:val="000000"/>
                <w:sz w:val="20"/>
                <w:lang w:eastAsia="hr-HR"/>
              </w:rPr>
            </w:pPr>
            <w:r w:rsidRPr="000063FC">
              <w:rPr>
                <w:color w:val="000000"/>
                <w:sz w:val="20"/>
                <w:lang w:eastAsia="hr-HR"/>
              </w:rPr>
              <w:t xml:space="preserve">99 </w:t>
            </w:r>
            <w:r w:rsidR="00BC62E2" w:rsidRPr="000063FC">
              <w:rPr>
                <w:color w:val="000000"/>
                <w:sz w:val="20"/>
                <w:lang w:eastAsia="hr-HR"/>
              </w:rPr>
              <w:t>473,89</w:t>
            </w:r>
          </w:p>
        </w:tc>
        <w:tc>
          <w:tcPr>
            <w:tcW w:w="1388" w:type="dxa"/>
            <w:tcBorders>
              <w:top w:val="nil"/>
              <w:left w:val="nil"/>
              <w:bottom w:val="single" w:sz="4" w:space="0" w:color="4BACC6"/>
              <w:right w:val="single" w:sz="4" w:space="0" w:color="4BACC6"/>
            </w:tcBorders>
            <w:shd w:val="clear" w:color="000000" w:fill="DBEEF3"/>
            <w:noWrap/>
            <w:vAlign w:val="center"/>
          </w:tcPr>
          <w:p w:rsidR="00BC62E2" w:rsidRPr="000063FC" w:rsidRDefault="009E37E3" w:rsidP="00C732C3">
            <w:pPr>
              <w:jc w:val="right"/>
              <w:rPr>
                <w:color w:val="000000"/>
                <w:sz w:val="20"/>
                <w:lang w:eastAsia="hr-HR"/>
              </w:rPr>
            </w:pPr>
            <w:r w:rsidRPr="000063FC">
              <w:rPr>
                <w:color w:val="000000"/>
                <w:sz w:val="20"/>
                <w:lang w:eastAsia="hr-HR"/>
              </w:rPr>
              <w:t xml:space="preserve">32 </w:t>
            </w:r>
            <w:r w:rsidR="00BC62E2" w:rsidRPr="000063FC">
              <w:rPr>
                <w:color w:val="000000"/>
                <w:sz w:val="20"/>
                <w:lang w:eastAsia="hr-HR"/>
              </w:rPr>
              <w:t>085,79</w:t>
            </w:r>
          </w:p>
        </w:tc>
      </w:tr>
    </w:tbl>
    <w:p w:rsidR="00BC62E2" w:rsidRPr="000063FC" w:rsidRDefault="00BC62E2">
      <w:pPr>
        <w:tabs>
          <w:tab w:val="clear" w:pos="720"/>
          <w:tab w:val="clear" w:pos="6912"/>
        </w:tabs>
        <w:spacing w:line="240" w:lineRule="auto"/>
        <w:jc w:val="left"/>
        <w:rPr>
          <w:szCs w:val="22"/>
        </w:rPr>
      </w:pPr>
    </w:p>
    <w:p w:rsidR="00BC62E2" w:rsidRPr="000063FC" w:rsidRDefault="009E37E3" w:rsidP="00A46A65">
      <w:pPr>
        <w:spacing w:line="276" w:lineRule="auto"/>
      </w:pPr>
      <w:r w:rsidRPr="000063FC">
        <w:t xml:space="preserve">U tablici </w:t>
      </w:r>
      <w:r w:rsidR="00032E38">
        <w:t xml:space="preserve">3.2 </w:t>
      </w:r>
      <w:r w:rsidRPr="000063FC">
        <w:t>navedene</w:t>
      </w:r>
      <w:r w:rsidR="00032E38">
        <w:t xml:space="preserve"> su</w:t>
      </w:r>
      <w:r w:rsidRPr="000063FC">
        <w:t xml:space="preserve"> predložene mjere za sektor javne rasvjete s procjenom  ušteda energije i pripadajućim smanjenjem emisija CO</w:t>
      </w:r>
      <w:r w:rsidRPr="000063FC">
        <w:rPr>
          <w:vertAlign w:val="subscript"/>
        </w:rPr>
        <w:t>2</w:t>
      </w:r>
      <w:r w:rsidRPr="000063FC">
        <w:t xml:space="preserve"> do 2020. godine.</w:t>
      </w:r>
    </w:p>
    <w:p w:rsidR="00BC62E2" w:rsidRPr="000063FC" w:rsidRDefault="00BC62E2" w:rsidP="00BC62E2">
      <w:pPr>
        <w:spacing w:line="280" w:lineRule="exact"/>
      </w:pPr>
    </w:p>
    <w:p w:rsidR="00BC62E2" w:rsidRPr="000063FC" w:rsidRDefault="00BC62E2" w:rsidP="00B33E2F">
      <w:pPr>
        <w:pStyle w:val="Heading6"/>
      </w:pPr>
      <w:bookmarkStart w:id="207" w:name="_Toc251161370"/>
      <w:bookmarkStart w:id="208" w:name="_Toc254010258"/>
      <w:r w:rsidRPr="000063FC">
        <w:t>Tablica 3.2: Popis mjera te pripadajuće ušted</w:t>
      </w:r>
      <w:r w:rsidR="009E37E3" w:rsidRPr="000063FC">
        <w:t>e i potencijal smanjenja emisija</w:t>
      </w:r>
      <w:r w:rsidRPr="000063FC">
        <w:t xml:space="preserve"> CO</w:t>
      </w:r>
      <w:r w:rsidRPr="000063FC">
        <w:rPr>
          <w:vertAlign w:val="subscript"/>
        </w:rPr>
        <w:t>2</w:t>
      </w:r>
      <w:r w:rsidR="009E37E3" w:rsidRPr="000063FC">
        <w:t xml:space="preserve"> sektora j</w:t>
      </w:r>
      <w:r w:rsidRPr="000063FC">
        <w:t>avna rasvjeta</w:t>
      </w:r>
      <w:bookmarkEnd w:id="207"/>
      <w:bookmarkEnd w:id="208"/>
    </w:p>
    <w:tbl>
      <w:tblPr>
        <w:tblW w:w="9087" w:type="dxa"/>
        <w:tblInd w:w="108" w:type="dxa"/>
        <w:tblLook w:val="00A0" w:firstRow="1" w:lastRow="0" w:firstColumn="1" w:lastColumn="0" w:noHBand="0" w:noVBand="0"/>
      </w:tblPr>
      <w:tblGrid>
        <w:gridCol w:w="5118"/>
        <w:gridCol w:w="1560"/>
        <w:gridCol w:w="2409"/>
      </w:tblGrid>
      <w:tr w:rsidR="00BC62E2" w:rsidRPr="000063FC" w:rsidTr="00BC62E2">
        <w:trPr>
          <w:trHeight w:val="448"/>
        </w:trPr>
        <w:tc>
          <w:tcPr>
            <w:tcW w:w="5118" w:type="dxa"/>
            <w:tcBorders>
              <w:top w:val="single" w:sz="4" w:space="0" w:color="4BACC6"/>
              <w:left w:val="single" w:sz="4" w:space="0" w:color="4BACC6"/>
              <w:bottom w:val="single" w:sz="4" w:space="0" w:color="4BACC6"/>
              <w:right w:val="single" w:sz="4" w:space="0" w:color="FFFFFF"/>
            </w:tcBorders>
            <w:shd w:val="clear" w:color="000000" w:fill="4BACC6"/>
            <w:noWrap/>
            <w:vAlign w:val="center"/>
          </w:tcPr>
          <w:p w:rsidR="00BC62E2" w:rsidRPr="000063FC" w:rsidRDefault="00BC62E2" w:rsidP="00BC62E2">
            <w:pPr>
              <w:rPr>
                <w:b/>
                <w:bCs/>
                <w:color w:val="FFFFFF"/>
                <w:sz w:val="20"/>
                <w:lang w:eastAsia="hr-HR"/>
              </w:rPr>
            </w:pPr>
            <w:r w:rsidRPr="000063FC">
              <w:rPr>
                <w:b/>
                <w:bCs/>
                <w:color w:val="FFFFFF"/>
                <w:sz w:val="20"/>
                <w:lang w:eastAsia="hr-HR"/>
              </w:rPr>
              <w:t>Naziv mjere</w:t>
            </w:r>
          </w:p>
        </w:tc>
        <w:tc>
          <w:tcPr>
            <w:tcW w:w="1560" w:type="dxa"/>
            <w:tcBorders>
              <w:top w:val="single" w:sz="4" w:space="0" w:color="4BACC6"/>
              <w:left w:val="nil"/>
              <w:bottom w:val="single" w:sz="4" w:space="0" w:color="4BACC6"/>
              <w:right w:val="single" w:sz="4" w:space="0" w:color="FFFFFF"/>
            </w:tcBorders>
            <w:shd w:val="clear" w:color="000000" w:fill="4BACC6"/>
            <w:vAlign w:val="center"/>
          </w:tcPr>
          <w:p w:rsidR="00BC62E2" w:rsidRPr="000063FC" w:rsidRDefault="00BC62E2" w:rsidP="00BC62E2">
            <w:pPr>
              <w:jc w:val="center"/>
              <w:rPr>
                <w:b/>
                <w:bCs/>
                <w:color w:val="FFFFFF"/>
                <w:sz w:val="20"/>
                <w:lang w:eastAsia="hr-HR"/>
              </w:rPr>
            </w:pPr>
            <w:r w:rsidRPr="000063FC">
              <w:rPr>
                <w:b/>
                <w:bCs/>
                <w:color w:val="FFFFFF"/>
                <w:sz w:val="20"/>
                <w:lang w:eastAsia="hr-HR"/>
              </w:rPr>
              <w:t>Procjena uštede MWh</w:t>
            </w:r>
          </w:p>
        </w:tc>
        <w:tc>
          <w:tcPr>
            <w:tcW w:w="2409" w:type="dxa"/>
            <w:tcBorders>
              <w:top w:val="single" w:sz="4" w:space="0" w:color="4BACC6"/>
              <w:left w:val="nil"/>
              <w:bottom w:val="single" w:sz="4" w:space="0" w:color="4BACC6"/>
              <w:right w:val="single" w:sz="4" w:space="0" w:color="4BACC6"/>
            </w:tcBorders>
            <w:shd w:val="clear" w:color="000000" w:fill="4BACC6"/>
            <w:vAlign w:val="center"/>
          </w:tcPr>
          <w:p w:rsidR="00BC62E2" w:rsidRPr="000063FC" w:rsidRDefault="00BC62E2" w:rsidP="00BC62E2">
            <w:pPr>
              <w:jc w:val="center"/>
              <w:rPr>
                <w:b/>
                <w:bCs/>
                <w:color w:val="FFFFFF"/>
                <w:sz w:val="20"/>
                <w:lang w:eastAsia="hr-HR"/>
              </w:rPr>
            </w:pPr>
            <w:r w:rsidRPr="000063FC">
              <w:rPr>
                <w:b/>
                <w:bCs/>
                <w:color w:val="FFFFFF"/>
                <w:sz w:val="20"/>
                <w:lang w:eastAsia="hr-HR"/>
              </w:rPr>
              <w:t>Potencijal smanjenja emisije t CO</w:t>
            </w:r>
            <w:r w:rsidRPr="000063FC">
              <w:rPr>
                <w:b/>
                <w:bCs/>
                <w:color w:val="FFFFFF"/>
                <w:sz w:val="20"/>
                <w:vertAlign w:val="subscript"/>
                <w:lang w:eastAsia="hr-HR"/>
              </w:rPr>
              <w:t>2</w:t>
            </w:r>
          </w:p>
        </w:tc>
      </w:tr>
      <w:tr w:rsidR="00BC62E2" w:rsidRPr="000063FC" w:rsidTr="00BC62E2">
        <w:trPr>
          <w:trHeight w:val="384"/>
        </w:trPr>
        <w:tc>
          <w:tcPr>
            <w:tcW w:w="5118" w:type="dxa"/>
            <w:tcBorders>
              <w:top w:val="nil"/>
              <w:left w:val="single" w:sz="4" w:space="0" w:color="4BACC6"/>
              <w:bottom w:val="single" w:sz="4" w:space="0" w:color="4BACC6"/>
              <w:right w:val="single" w:sz="4" w:space="0" w:color="4BACC6"/>
            </w:tcBorders>
            <w:vAlign w:val="center"/>
          </w:tcPr>
          <w:p w:rsidR="00BC62E2" w:rsidRPr="000063FC" w:rsidRDefault="00BC62E2" w:rsidP="00BC62E2">
            <w:pPr>
              <w:rPr>
                <w:color w:val="000000"/>
                <w:sz w:val="20"/>
                <w:lang w:eastAsia="hr-HR"/>
              </w:rPr>
            </w:pPr>
            <w:r w:rsidRPr="000063FC">
              <w:rPr>
                <w:color w:val="000000"/>
                <w:sz w:val="20"/>
                <w:lang w:eastAsia="hr-HR"/>
              </w:rPr>
              <w:t>Zamjena zastarjelih rasvjetnih tijela s energetski učinkovitijim i ekološki prihvatljivijim rasvjetnim tijelima</w:t>
            </w:r>
          </w:p>
        </w:tc>
        <w:tc>
          <w:tcPr>
            <w:tcW w:w="1560" w:type="dxa"/>
            <w:tcBorders>
              <w:top w:val="nil"/>
              <w:left w:val="nil"/>
              <w:bottom w:val="single" w:sz="4" w:space="0" w:color="4BACC6"/>
              <w:right w:val="single" w:sz="4" w:space="0" w:color="4BACC6"/>
            </w:tcBorders>
            <w:noWrap/>
            <w:vAlign w:val="center"/>
          </w:tcPr>
          <w:p w:rsidR="00BC62E2" w:rsidRPr="000063FC" w:rsidRDefault="009E37E3" w:rsidP="00273838">
            <w:pPr>
              <w:jc w:val="right"/>
              <w:rPr>
                <w:color w:val="000000"/>
                <w:sz w:val="20"/>
                <w:lang w:eastAsia="hr-HR"/>
              </w:rPr>
            </w:pPr>
            <w:r w:rsidRPr="000063FC">
              <w:rPr>
                <w:color w:val="000000"/>
                <w:sz w:val="20"/>
                <w:lang w:eastAsia="hr-HR"/>
              </w:rPr>
              <w:t xml:space="preserve">6 </w:t>
            </w:r>
            <w:r w:rsidR="00BC62E2" w:rsidRPr="000063FC">
              <w:rPr>
                <w:color w:val="000000"/>
                <w:sz w:val="20"/>
                <w:lang w:eastAsia="hr-HR"/>
              </w:rPr>
              <w:t>307,0</w:t>
            </w:r>
          </w:p>
        </w:tc>
        <w:tc>
          <w:tcPr>
            <w:tcW w:w="2409" w:type="dxa"/>
            <w:tcBorders>
              <w:top w:val="nil"/>
              <w:left w:val="nil"/>
              <w:bottom w:val="single" w:sz="4" w:space="0" w:color="4BACC6"/>
              <w:right w:val="single" w:sz="4" w:space="0" w:color="4BACC6"/>
            </w:tcBorders>
            <w:noWrap/>
            <w:vAlign w:val="center"/>
          </w:tcPr>
          <w:p w:rsidR="00BC62E2" w:rsidRPr="000063FC" w:rsidRDefault="009E37E3" w:rsidP="00273838">
            <w:pPr>
              <w:jc w:val="right"/>
              <w:rPr>
                <w:color w:val="000000"/>
                <w:sz w:val="20"/>
                <w:lang w:eastAsia="hr-HR"/>
              </w:rPr>
            </w:pPr>
            <w:r w:rsidRPr="000063FC">
              <w:rPr>
                <w:color w:val="000000"/>
                <w:sz w:val="20"/>
                <w:lang w:eastAsia="hr-HR"/>
              </w:rPr>
              <w:t xml:space="preserve">2 </w:t>
            </w:r>
            <w:r w:rsidR="00BC62E2" w:rsidRPr="000063FC">
              <w:rPr>
                <w:color w:val="000000"/>
                <w:sz w:val="20"/>
                <w:lang w:eastAsia="hr-HR"/>
              </w:rPr>
              <w:t>037,2</w:t>
            </w:r>
          </w:p>
        </w:tc>
      </w:tr>
      <w:tr w:rsidR="00BC62E2" w:rsidRPr="000063FC" w:rsidTr="00BC62E2">
        <w:trPr>
          <w:trHeight w:val="206"/>
        </w:trPr>
        <w:tc>
          <w:tcPr>
            <w:tcW w:w="5118" w:type="dxa"/>
            <w:tcBorders>
              <w:top w:val="nil"/>
              <w:left w:val="single" w:sz="4" w:space="0" w:color="4BACC6"/>
              <w:bottom w:val="single" w:sz="4" w:space="0" w:color="4BACC6"/>
              <w:right w:val="single" w:sz="4" w:space="0" w:color="4BACC6"/>
            </w:tcBorders>
            <w:vAlign w:val="center"/>
          </w:tcPr>
          <w:p w:rsidR="00BC62E2" w:rsidRPr="000063FC" w:rsidRDefault="00BC62E2" w:rsidP="00BC62E2">
            <w:pPr>
              <w:rPr>
                <w:color w:val="000000"/>
                <w:sz w:val="20"/>
                <w:lang w:eastAsia="hr-HR"/>
              </w:rPr>
            </w:pPr>
            <w:r w:rsidRPr="000063FC">
              <w:rPr>
                <w:color w:val="000000"/>
                <w:sz w:val="20"/>
                <w:lang w:eastAsia="hr-HR"/>
              </w:rPr>
              <w:t>Upravljanje intenzitetom javne rasvjetom</w:t>
            </w:r>
          </w:p>
        </w:tc>
        <w:tc>
          <w:tcPr>
            <w:tcW w:w="1560" w:type="dxa"/>
            <w:tcBorders>
              <w:top w:val="nil"/>
              <w:left w:val="nil"/>
              <w:bottom w:val="single" w:sz="4" w:space="0" w:color="4BACC6"/>
              <w:right w:val="single" w:sz="4" w:space="0" w:color="4BACC6"/>
            </w:tcBorders>
            <w:noWrap/>
            <w:vAlign w:val="center"/>
          </w:tcPr>
          <w:p w:rsidR="00BC62E2" w:rsidRPr="000063FC" w:rsidRDefault="009E37E3" w:rsidP="00273838">
            <w:pPr>
              <w:jc w:val="right"/>
              <w:rPr>
                <w:color w:val="000000"/>
                <w:sz w:val="20"/>
                <w:lang w:eastAsia="hr-HR"/>
              </w:rPr>
            </w:pPr>
            <w:r w:rsidRPr="000063FC">
              <w:rPr>
                <w:color w:val="000000"/>
                <w:sz w:val="20"/>
                <w:lang w:eastAsia="hr-HR"/>
              </w:rPr>
              <w:t xml:space="preserve">18 </w:t>
            </w:r>
            <w:r w:rsidR="00BC62E2" w:rsidRPr="000063FC">
              <w:rPr>
                <w:color w:val="000000"/>
                <w:sz w:val="20"/>
                <w:lang w:eastAsia="hr-HR"/>
              </w:rPr>
              <w:t>020,0</w:t>
            </w:r>
          </w:p>
        </w:tc>
        <w:tc>
          <w:tcPr>
            <w:tcW w:w="2409" w:type="dxa"/>
            <w:tcBorders>
              <w:top w:val="nil"/>
              <w:left w:val="nil"/>
              <w:bottom w:val="single" w:sz="4" w:space="0" w:color="4BACC6"/>
              <w:right w:val="single" w:sz="4" w:space="0" w:color="4BACC6"/>
            </w:tcBorders>
            <w:noWrap/>
            <w:vAlign w:val="center"/>
          </w:tcPr>
          <w:p w:rsidR="00BC62E2" w:rsidRPr="000063FC" w:rsidRDefault="009E37E3" w:rsidP="00273838">
            <w:pPr>
              <w:jc w:val="right"/>
              <w:rPr>
                <w:color w:val="000000"/>
                <w:sz w:val="20"/>
                <w:lang w:eastAsia="hr-HR"/>
              </w:rPr>
            </w:pPr>
            <w:r w:rsidRPr="000063FC">
              <w:rPr>
                <w:color w:val="000000"/>
                <w:sz w:val="20"/>
                <w:lang w:eastAsia="hr-HR"/>
              </w:rPr>
              <w:t xml:space="preserve">5 </w:t>
            </w:r>
            <w:r w:rsidR="00BC62E2" w:rsidRPr="000063FC">
              <w:rPr>
                <w:color w:val="000000"/>
                <w:sz w:val="20"/>
                <w:lang w:eastAsia="hr-HR"/>
              </w:rPr>
              <w:t>820,5</w:t>
            </w:r>
          </w:p>
        </w:tc>
      </w:tr>
      <w:tr w:rsidR="00BC62E2" w:rsidRPr="000063FC" w:rsidTr="00BC62E2">
        <w:trPr>
          <w:trHeight w:val="252"/>
        </w:trPr>
        <w:tc>
          <w:tcPr>
            <w:tcW w:w="5118" w:type="dxa"/>
            <w:tcBorders>
              <w:top w:val="single" w:sz="4" w:space="0" w:color="4BACC6"/>
              <w:left w:val="single" w:sz="4" w:space="0" w:color="4BACC6"/>
              <w:bottom w:val="single" w:sz="4" w:space="0" w:color="4BACC6"/>
              <w:right w:val="single" w:sz="4" w:space="0" w:color="4BACC6"/>
            </w:tcBorders>
            <w:shd w:val="clear" w:color="auto" w:fill="DAEEF3"/>
            <w:vAlign w:val="center"/>
          </w:tcPr>
          <w:p w:rsidR="00BC62E2" w:rsidRPr="000063FC" w:rsidRDefault="00BC62E2" w:rsidP="00BC62E2">
            <w:pPr>
              <w:rPr>
                <w:color w:val="000000"/>
                <w:sz w:val="20"/>
                <w:lang w:eastAsia="hr-HR"/>
              </w:rPr>
            </w:pPr>
            <w:r w:rsidRPr="000063FC">
              <w:rPr>
                <w:color w:val="000000"/>
                <w:sz w:val="20"/>
                <w:lang w:eastAsia="hr-HR"/>
              </w:rPr>
              <w:t>UKUPNO</w:t>
            </w:r>
          </w:p>
        </w:tc>
        <w:tc>
          <w:tcPr>
            <w:tcW w:w="1560" w:type="dxa"/>
            <w:tcBorders>
              <w:top w:val="single" w:sz="4" w:space="0" w:color="4BACC6"/>
              <w:left w:val="nil"/>
              <w:bottom w:val="single" w:sz="4" w:space="0" w:color="4BACC6"/>
              <w:right w:val="single" w:sz="4" w:space="0" w:color="4BACC6"/>
            </w:tcBorders>
            <w:shd w:val="clear" w:color="auto" w:fill="DAEEF3"/>
            <w:noWrap/>
            <w:vAlign w:val="center"/>
          </w:tcPr>
          <w:p w:rsidR="00BC62E2" w:rsidRPr="000063FC" w:rsidRDefault="009E37E3" w:rsidP="00273838">
            <w:pPr>
              <w:jc w:val="right"/>
              <w:rPr>
                <w:color w:val="000000"/>
                <w:sz w:val="20"/>
              </w:rPr>
            </w:pPr>
            <w:r w:rsidRPr="000063FC">
              <w:rPr>
                <w:color w:val="000000"/>
                <w:sz w:val="20"/>
              </w:rPr>
              <w:t xml:space="preserve">24 </w:t>
            </w:r>
            <w:r w:rsidR="00BC62E2" w:rsidRPr="000063FC">
              <w:rPr>
                <w:color w:val="000000"/>
                <w:sz w:val="20"/>
              </w:rPr>
              <w:t>327,0</w:t>
            </w:r>
          </w:p>
        </w:tc>
        <w:tc>
          <w:tcPr>
            <w:tcW w:w="2409" w:type="dxa"/>
            <w:tcBorders>
              <w:top w:val="single" w:sz="4" w:space="0" w:color="4BACC6"/>
              <w:left w:val="nil"/>
              <w:bottom w:val="single" w:sz="4" w:space="0" w:color="4BACC6"/>
              <w:right w:val="single" w:sz="4" w:space="0" w:color="4BACC6"/>
            </w:tcBorders>
            <w:shd w:val="clear" w:color="auto" w:fill="DAEEF3"/>
            <w:noWrap/>
            <w:vAlign w:val="center"/>
          </w:tcPr>
          <w:p w:rsidR="00BC62E2" w:rsidRPr="000063FC" w:rsidRDefault="009E37E3" w:rsidP="00273838">
            <w:pPr>
              <w:jc w:val="right"/>
              <w:rPr>
                <w:color w:val="000000"/>
                <w:sz w:val="20"/>
              </w:rPr>
            </w:pPr>
            <w:r w:rsidRPr="000063FC">
              <w:rPr>
                <w:color w:val="000000"/>
                <w:sz w:val="20"/>
              </w:rPr>
              <w:t xml:space="preserve">7 </w:t>
            </w:r>
            <w:r w:rsidR="00BC62E2" w:rsidRPr="000063FC">
              <w:rPr>
                <w:color w:val="000000"/>
                <w:sz w:val="20"/>
              </w:rPr>
              <w:t>857,6</w:t>
            </w:r>
          </w:p>
        </w:tc>
      </w:tr>
    </w:tbl>
    <w:p w:rsidR="00BC62E2" w:rsidRPr="000063FC" w:rsidRDefault="00BC62E2" w:rsidP="00BC62E2">
      <w:pPr>
        <w:spacing w:line="280" w:lineRule="exact"/>
      </w:pPr>
    </w:p>
    <w:p w:rsidR="00772AF0" w:rsidRPr="000063FC" w:rsidRDefault="00772AF0" w:rsidP="00BC62E2">
      <w:pPr>
        <w:spacing w:line="280" w:lineRule="exact"/>
      </w:pPr>
    </w:p>
    <w:p w:rsidR="00772AF0" w:rsidRPr="000063FC" w:rsidRDefault="00772AF0" w:rsidP="00BC62E2">
      <w:pPr>
        <w:spacing w:line="280" w:lineRule="exact"/>
      </w:pPr>
    </w:p>
    <w:p w:rsidR="00BC62E2" w:rsidRPr="000063FC" w:rsidRDefault="00BC62E2" w:rsidP="00A46A65">
      <w:pPr>
        <w:spacing w:line="276" w:lineRule="auto"/>
      </w:pPr>
      <w:r w:rsidRPr="000063FC">
        <w:t>Ukupan potenc</w:t>
      </w:r>
      <w:r w:rsidR="009E37E3" w:rsidRPr="000063FC">
        <w:t>ijal smanjenja emisija CO</w:t>
      </w:r>
      <w:r w:rsidR="009E37E3" w:rsidRPr="000063FC">
        <w:rPr>
          <w:vertAlign w:val="subscript"/>
        </w:rPr>
        <w:t>2</w:t>
      </w:r>
      <w:r w:rsidR="009E37E3" w:rsidRPr="000063FC">
        <w:t xml:space="preserve"> sektora javne rasvjete</w:t>
      </w:r>
      <w:r w:rsidR="00C5197B" w:rsidRPr="000063FC">
        <w:t xml:space="preserve"> do 2020. godine </w:t>
      </w:r>
      <w:r w:rsidRPr="000063FC">
        <w:t xml:space="preserve"> </w:t>
      </w:r>
      <w:r w:rsidR="009E37E3" w:rsidRPr="000063FC">
        <w:t xml:space="preserve">iznosi </w:t>
      </w:r>
      <w:r w:rsidRPr="000063FC">
        <w:rPr>
          <w:color w:val="000000"/>
        </w:rPr>
        <w:t>7.857,6</w:t>
      </w:r>
      <w:r w:rsidR="00C5197B" w:rsidRPr="000063FC">
        <w:rPr>
          <w:color w:val="000000"/>
        </w:rPr>
        <w:t xml:space="preserve"> t</w:t>
      </w:r>
      <w:r w:rsidRPr="000063FC">
        <w:t xml:space="preserve">. </w:t>
      </w:r>
    </w:p>
    <w:p w:rsidR="00BC62E2" w:rsidRPr="000063FC" w:rsidRDefault="00BC62E2" w:rsidP="00A46A65">
      <w:pPr>
        <w:spacing w:line="276" w:lineRule="auto"/>
      </w:pPr>
      <w:r w:rsidRPr="000063FC">
        <w:lastRenderedPageBreak/>
        <w:t>Usporedbom scenarija bez mjera sa scenarijem s mjerama može se zaključiti da je emisija scenarija s mjerama 25% manja od emisije scenarija bez mjera. Uspoređujući emisiju scenarija s mjerama s emisijom iz 2008. godine proizlazi da je ista manja za 17% od emisije</w:t>
      </w:r>
      <w:r w:rsidR="00C5197B" w:rsidRPr="000063FC">
        <w:t xml:space="preserve"> u 2008. godini</w:t>
      </w:r>
      <w:r w:rsidRPr="000063FC">
        <w:t>. Ukupna emisija i potrošnja energije oba scenarija uz usporedbu s</w:t>
      </w:r>
      <w:r w:rsidR="00C5197B" w:rsidRPr="000063FC">
        <w:t xml:space="preserve"> emisijom 2008. godine prikazane su</w:t>
      </w:r>
      <w:r w:rsidRPr="000063FC">
        <w:t xml:space="preserve"> u tablici 3.3.</w:t>
      </w:r>
    </w:p>
    <w:p w:rsidR="00BC62E2" w:rsidRPr="000063FC" w:rsidRDefault="00BC62E2" w:rsidP="00BC62E2">
      <w:pPr>
        <w:spacing w:line="280" w:lineRule="exact"/>
        <w:rPr>
          <w:highlight w:val="yellow"/>
        </w:rPr>
      </w:pPr>
    </w:p>
    <w:p w:rsidR="00BC62E2" w:rsidRPr="000063FC" w:rsidRDefault="00BC62E2" w:rsidP="00B33E2F">
      <w:pPr>
        <w:pStyle w:val="Heading6"/>
      </w:pPr>
      <w:bookmarkStart w:id="209" w:name="_Toc251161371"/>
      <w:bookmarkStart w:id="210" w:name="_Toc254010259"/>
      <w:r w:rsidRPr="000063FC">
        <w:t xml:space="preserve">Tablica 3.3: </w:t>
      </w:r>
      <w:r w:rsidR="00C5197B" w:rsidRPr="000063FC">
        <w:t>Usporedba emisija CO</w:t>
      </w:r>
      <w:r w:rsidR="00C5197B" w:rsidRPr="000063FC">
        <w:rPr>
          <w:vertAlign w:val="subscript"/>
        </w:rPr>
        <w:t>2</w:t>
      </w:r>
      <w:r w:rsidR="00C5197B" w:rsidRPr="000063FC">
        <w:t xml:space="preserve">  za </w:t>
      </w:r>
      <w:r w:rsidRPr="000063FC">
        <w:t>scenari</w:t>
      </w:r>
      <w:bookmarkEnd w:id="209"/>
      <w:r w:rsidR="00C5197B" w:rsidRPr="000063FC">
        <w:t>j bez i s mjerama</w:t>
      </w:r>
      <w:bookmarkEnd w:id="210"/>
    </w:p>
    <w:tbl>
      <w:tblPr>
        <w:tblW w:w="9138" w:type="dxa"/>
        <w:tblInd w:w="108" w:type="dxa"/>
        <w:tblLook w:val="00A0" w:firstRow="1" w:lastRow="0" w:firstColumn="1" w:lastColumn="0" w:noHBand="0" w:noVBand="0"/>
      </w:tblPr>
      <w:tblGrid>
        <w:gridCol w:w="1255"/>
        <w:gridCol w:w="1496"/>
        <w:gridCol w:w="1444"/>
        <w:gridCol w:w="1001"/>
        <w:gridCol w:w="1479"/>
        <w:gridCol w:w="1505"/>
        <w:gridCol w:w="958"/>
      </w:tblGrid>
      <w:tr w:rsidR="00BC62E2" w:rsidRPr="000063FC" w:rsidTr="00BC62E2">
        <w:trPr>
          <w:trHeight w:val="276"/>
        </w:trPr>
        <w:tc>
          <w:tcPr>
            <w:tcW w:w="1255" w:type="dxa"/>
            <w:vMerge w:val="restart"/>
            <w:tcBorders>
              <w:top w:val="single" w:sz="4" w:space="0" w:color="4BACC6"/>
              <w:left w:val="single" w:sz="4" w:space="0" w:color="4BACC6"/>
              <w:bottom w:val="single" w:sz="4" w:space="0" w:color="4BACC6"/>
              <w:right w:val="single" w:sz="4" w:space="0" w:color="FFFFFF"/>
            </w:tcBorders>
            <w:shd w:val="clear" w:color="000000" w:fill="4BACC6"/>
            <w:vAlign w:val="center"/>
          </w:tcPr>
          <w:p w:rsidR="00BC62E2" w:rsidRPr="000063FC" w:rsidRDefault="00BC62E2" w:rsidP="00BC62E2">
            <w:pPr>
              <w:jc w:val="center"/>
              <w:rPr>
                <w:b/>
                <w:bCs/>
                <w:color w:val="FFFFFF"/>
                <w:sz w:val="20"/>
                <w:lang w:eastAsia="hr-HR"/>
              </w:rPr>
            </w:pPr>
            <w:r w:rsidRPr="000063FC">
              <w:rPr>
                <w:b/>
                <w:bCs/>
                <w:color w:val="FFFFFF"/>
                <w:sz w:val="20"/>
                <w:lang w:eastAsia="hr-HR"/>
              </w:rPr>
              <w:t>Scenarij</w:t>
            </w:r>
          </w:p>
        </w:tc>
        <w:tc>
          <w:tcPr>
            <w:tcW w:w="2940" w:type="dxa"/>
            <w:gridSpan w:val="2"/>
            <w:tcBorders>
              <w:top w:val="single" w:sz="4" w:space="0" w:color="4BACC6"/>
              <w:left w:val="nil"/>
              <w:bottom w:val="single" w:sz="4" w:space="0" w:color="FFFFFF"/>
              <w:right w:val="single" w:sz="4" w:space="0" w:color="FFFFFF"/>
            </w:tcBorders>
            <w:shd w:val="clear" w:color="000000" w:fill="4BACC6"/>
            <w:noWrap/>
            <w:vAlign w:val="center"/>
          </w:tcPr>
          <w:p w:rsidR="00BC62E2" w:rsidRPr="000063FC" w:rsidRDefault="00BC62E2" w:rsidP="00BC62E2">
            <w:pPr>
              <w:jc w:val="center"/>
              <w:rPr>
                <w:b/>
                <w:bCs/>
                <w:color w:val="FFFFFF"/>
                <w:sz w:val="20"/>
                <w:lang w:eastAsia="hr-HR"/>
              </w:rPr>
            </w:pPr>
            <w:r w:rsidRPr="000063FC">
              <w:rPr>
                <w:b/>
                <w:bCs/>
                <w:color w:val="FFFFFF"/>
                <w:sz w:val="20"/>
                <w:lang w:eastAsia="hr-HR"/>
              </w:rPr>
              <w:t>Potrošnja energije, MWh</w:t>
            </w:r>
          </w:p>
        </w:tc>
        <w:tc>
          <w:tcPr>
            <w:tcW w:w="1001" w:type="dxa"/>
            <w:vMerge w:val="restart"/>
            <w:tcBorders>
              <w:top w:val="single" w:sz="4" w:space="0" w:color="4BACC6"/>
              <w:left w:val="single" w:sz="4" w:space="0" w:color="FFFFFF"/>
              <w:bottom w:val="single" w:sz="4" w:space="0" w:color="4BACC6"/>
              <w:right w:val="single" w:sz="4" w:space="0" w:color="FFFFFF"/>
            </w:tcBorders>
            <w:shd w:val="clear" w:color="000000" w:fill="4BACC6"/>
            <w:vAlign w:val="center"/>
          </w:tcPr>
          <w:p w:rsidR="00BC62E2" w:rsidRPr="000063FC" w:rsidRDefault="00BC62E2" w:rsidP="00BC62E2">
            <w:pPr>
              <w:jc w:val="center"/>
              <w:rPr>
                <w:b/>
                <w:bCs/>
                <w:color w:val="FFFFFF"/>
                <w:sz w:val="20"/>
                <w:lang w:eastAsia="hr-HR"/>
              </w:rPr>
            </w:pPr>
            <w:r w:rsidRPr="000063FC">
              <w:rPr>
                <w:b/>
                <w:bCs/>
                <w:color w:val="FFFFFF"/>
                <w:sz w:val="20"/>
                <w:lang w:eastAsia="hr-HR"/>
              </w:rPr>
              <w:t>% u odnosu na 2008</w:t>
            </w:r>
          </w:p>
        </w:tc>
        <w:tc>
          <w:tcPr>
            <w:tcW w:w="2984" w:type="dxa"/>
            <w:gridSpan w:val="2"/>
            <w:tcBorders>
              <w:top w:val="single" w:sz="4" w:space="0" w:color="4BACC6"/>
              <w:left w:val="nil"/>
              <w:bottom w:val="single" w:sz="4" w:space="0" w:color="FFFFFF"/>
              <w:right w:val="single" w:sz="4" w:space="0" w:color="FFFFFF"/>
            </w:tcBorders>
            <w:shd w:val="clear" w:color="000000" w:fill="4BACC6"/>
            <w:noWrap/>
            <w:vAlign w:val="center"/>
          </w:tcPr>
          <w:p w:rsidR="00BC62E2" w:rsidRPr="000063FC" w:rsidRDefault="00BC62E2" w:rsidP="00BC62E2">
            <w:pPr>
              <w:jc w:val="center"/>
              <w:rPr>
                <w:b/>
                <w:bCs/>
                <w:color w:val="FFFFFF"/>
                <w:sz w:val="20"/>
                <w:lang w:eastAsia="hr-HR"/>
              </w:rPr>
            </w:pPr>
            <w:r w:rsidRPr="000063FC">
              <w:rPr>
                <w:b/>
                <w:bCs/>
                <w:color w:val="FFFFFF"/>
                <w:sz w:val="20"/>
                <w:lang w:eastAsia="hr-HR"/>
              </w:rPr>
              <w:t>Emisija t CO</w:t>
            </w:r>
            <w:r w:rsidRPr="000063FC">
              <w:rPr>
                <w:b/>
                <w:bCs/>
                <w:color w:val="FFFFFF"/>
                <w:sz w:val="20"/>
                <w:vertAlign w:val="subscript"/>
                <w:lang w:eastAsia="hr-HR"/>
              </w:rPr>
              <w:t>2</w:t>
            </w:r>
          </w:p>
        </w:tc>
        <w:tc>
          <w:tcPr>
            <w:tcW w:w="958" w:type="dxa"/>
            <w:vMerge w:val="restart"/>
            <w:tcBorders>
              <w:top w:val="single" w:sz="4" w:space="0" w:color="4BACC6"/>
              <w:left w:val="single" w:sz="4" w:space="0" w:color="FFFFFF"/>
              <w:bottom w:val="single" w:sz="4" w:space="0" w:color="4BACC6"/>
              <w:right w:val="single" w:sz="4" w:space="0" w:color="4BACC6"/>
            </w:tcBorders>
            <w:shd w:val="clear" w:color="000000" w:fill="4BACC6"/>
            <w:vAlign w:val="center"/>
          </w:tcPr>
          <w:p w:rsidR="00BC62E2" w:rsidRPr="000063FC" w:rsidRDefault="00BC62E2" w:rsidP="00BC62E2">
            <w:pPr>
              <w:jc w:val="center"/>
              <w:rPr>
                <w:b/>
                <w:bCs/>
                <w:color w:val="FFFFFF"/>
                <w:sz w:val="20"/>
                <w:lang w:eastAsia="hr-HR"/>
              </w:rPr>
            </w:pPr>
            <w:r w:rsidRPr="000063FC">
              <w:rPr>
                <w:b/>
                <w:bCs/>
                <w:color w:val="FFFFFF"/>
                <w:sz w:val="20"/>
                <w:lang w:eastAsia="hr-HR"/>
              </w:rPr>
              <w:t>%u odnosu na 2008</w:t>
            </w:r>
          </w:p>
        </w:tc>
      </w:tr>
      <w:tr w:rsidR="00BC62E2" w:rsidRPr="000063FC" w:rsidTr="00BC62E2">
        <w:trPr>
          <w:trHeight w:val="280"/>
        </w:trPr>
        <w:tc>
          <w:tcPr>
            <w:tcW w:w="1255" w:type="dxa"/>
            <w:vMerge/>
            <w:tcBorders>
              <w:top w:val="single" w:sz="4" w:space="0" w:color="4BACC6"/>
              <w:left w:val="single" w:sz="4" w:space="0" w:color="4BACC6"/>
              <w:bottom w:val="single" w:sz="4" w:space="0" w:color="4BACC6"/>
              <w:right w:val="single" w:sz="4" w:space="0" w:color="FFFFFF"/>
            </w:tcBorders>
            <w:vAlign w:val="center"/>
          </w:tcPr>
          <w:p w:rsidR="00BC62E2" w:rsidRPr="000063FC" w:rsidRDefault="00BC62E2" w:rsidP="00BC62E2">
            <w:pPr>
              <w:rPr>
                <w:b/>
                <w:bCs/>
                <w:color w:val="FFFFFF"/>
                <w:sz w:val="20"/>
                <w:lang w:eastAsia="hr-HR"/>
              </w:rPr>
            </w:pPr>
          </w:p>
        </w:tc>
        <w:tc>
          <w:tcPr>
            <w:tcW w:w="1496" w:type="dxa"/>
            <w:tcBorders>
              <w:top w:val="nil"/>
              <w:left w:val="nil"/>
              <w:bottom w:val="single" w:sz="4" w:space="0" w:color="4BACC6"/>
              <w:right w:val="single" w:sz="4" w:space="0" w:color="FFFFFF"/>
            </w:tcBorders>
            <w:shd w:val="clear" w:color="000000" w:fill="4BACC6"/>
            <w:noWrap/>
            <w:vAlign w:val="center"/>
          </w:tcPr>
          <w:p w:rsidR="00BC62E2" w:rsidRPr="000063FC" w:rsidRDefault="00BC62E2" w:rsidP="00BC62E2">
            <w:pPr>
              <w:jc w:val="center"/>
              <w:rPr>
                <w:b/>
                <w:bCs/>
                <w:color w:val="FFFFFF"/>
                <w:sz w:val="20"/>
                <w:lang w:eastAsia="hr-HR"/>
              </w:rPr>
            </w:pPr>
            <w:r w:rsidRPr="000063FC">
              <w:rPr>
                <w:b/>
                <w:bCs/>
                <w:color w:val="FFFFFF"/>
                <w:sz w:val="20"/>
                <w:lang w:eastAsia="hr-HR"/>
              </w:rPr>
              <w:t>2008</w:t>
            </w:r>
          </w:p>
        </w:tc>
        <w:tc>
          <w:tcPr>
            <w:tcW w:w="1444" w:type="dxa"/>
            <w:tcBorders>
              <w:top w:val="nil"/>
              <w:left w:val="nil"/>
              <w:bottom w:val="single" w:sz="4" w:space="0" w:color="4BACC6"/>
              <w:right w:val="single" w:sz="4" w:space="0" w:color="FFFFFF"/>
            </w:tcBorders>
            <w:shd w:val="clear" w:color="000000" w:fill="4BACC6"/>
            <w:noWrap/>
            <w:vAlign w:val="center"/>
          </w:tcPr>
          <w:p w:rsidR="00BC62E2" w:rsidRPr="000063FC" w:rsidRDefault="00BC62E2" w:rsidP="00BC62E2">
            <w:pPr>
              <w:jc w:val="center"/>
              <w:rPr>
                <w:b/>
                <w:bCs/>
                <w:color w:val="FFFFFF"/>
                <w:sz w:val="20"/>
                <w:lang w:eastAsia="hr-HR"/>
              </w:rPr>
            </w:pPr>
            <w:r w:rsidRPr="000063FC">
              <w:rPr>
                <w:b/>
                <w:bCs/>
                <w:color w:val="FFFFFF"/>
                <w:sz w:val="20"/>
                <w:lang w:eastAsia="hr-HR"/>
              </w:rPr>
              <w:t>2020</w:t>
            </w:r>
          </w:p>
        </w:tc>
        <w:tc>
          <w:tcPr>
            <w:tcW w:w="1001" w:type="dxa"/>
            <w:vMerge/>
            <w:tcBorders>
              <w:top w:val="single" w:sz="4" w:space="0" w:color="4BACC6"/>
              <w:left w:val="single" w:sz="4" w:space="0" w:color="FFFFFF"/>
              <w:bottom w:val="single" w:sz="4" w:space="0" w:color="4BACC6"/>
              <w:right w:val="single" w:sz="4" w:space="0" w:color="FFFFFF"/>
            </w:tcBorders>
            <w:vAlign w:val="center"/>
          </w:tcPr>
          <w:p w:rsidR="00BC62E2" w:rsidRPr="000063FC" w:rsidRDefault="00BC62E2" w:rsidP="00BC62E2">
            <w:pPr>
              <w:rPr>
                <w:b/>
                <w:bCs/>
                <w:color w:val="FFFFFF"/>
                <w:sz w:val="20"/>
                <w:lang w:eastAsia="hr-HR"/>
              </w:rPr>
            </w:pPr>
          </w:p>
        </w:tc>
        <w:tc>
          <w:tcPr>
            <w:tcW w:w="1479" w:type="dxa"/>
            <w:tcBorders>
              <w:top w:val="nil"/>
              <w:left w:val="nil"/>
              <w:bottom w:val="single" w:sz="4" w:space="0" w:color="4BACC6"/>
              <w:right w:val="single" w:sz="4" w:space="0" w:color="FFFFFF"/>
            </w:tcBorders>
            <w:shd w:val="clear" w:color="000000" w:fill="4BACC6"/>
            <w:noWrap/>
            <w:vAlign w:val="center"/>
          </w:tcPr>
          <w:p w:rsidR="00BC62E2" w:rsidRPr="000063FC" w:rsidRDefault="00BC62E2" w:rsidP="00BC62E2">
            <w:pPr>
              <w:jc w:val="center"/>
              <w:rPr>
                <w:b/>
                <w:bCs/>
                <w:color w:val="FFFFFF"/>
                <w:sz w:val="20"/>
                <w:lang w:eastAsia="hr-HR"/>
              </w:rPr>
            </w:pPr>
            <w:r w:rsidRPr="000063FC">
              <w:rPr>
                <w:b/>
                <w:bCs/>
                <w:color w:val="FFFFFF"/>
                <w:sz w:val="20"/>
                <w:lang w:eastAsia="hr-HR"/>
              </w:rPr>
              <w:t>2008</w:t>
            </w:r>
          </w:p>
        </w:tc>
        <w:tc>
          <w:tcPr>
            <w:tcW w:w="1505" w:type="dxa"/>
            <w:tcBorders>
              <w:top w:val="nil"/>
              <w:left w:val="nil"/>
              <w:bottom w:val="single" w:sz="4" w:space="0" w:color="4BACC6"/>
              <w:right w:val="single" w:sz="4" w:space="0" w:color="FFFFFF"/>
            </w:tcBorders>
            <w:shd w:val="clear" w:color="000000" w:fill="4BACC6"/>
            <w:noWrap/>
            <w:vAlign w:val="center"/>
          </w:tcPr>
          <w:p w:rsidR="00BC62E2" w:rsidRPr="000063FC" w:rsidRDefault="00BC62E2" w:rsidP="00BC62E2">
            <w:pPr>
              <w:jc w:val="center"/>
              <w:rPr>
                <w:b/>
                <w:bCs/>
                <w:color w:val="FFFFFF"/>
                <w:sz w:val="20"/>
                <w:lang w:eastAsia="hr-HR"/>
              </w:rPr>
            </w:pPr>
            <w:r w:rsidRPr="000063FC">
              <w:rPr>
                <w:b/>
                <w:bCs/>
                <w:color w:val="FFFFFF"/>
                <w:sz w:val="20"/>
                <w:lang w:eastAsia="hr-HR"/>
              </w:rPr>
              <w:t>2020</w:t>
            </w:r>
          </w:p>
        </w:tc>
        <w:tc>
          <w:tcPr>
            <w:tcW w:w="958" w:type="dxa"/>
            <w:vMerge/>
            <w:tcBorders>
              <w:top w:val="single" w:sz="4" w:space="0" w:color="4BACC6"/>
              <w:left w:val="single" w:sz="4" w:space="0" w:color="FFFFFF"/>
              <w:bottom w:val="single" w:sz="4" w:space="0" w:color="4BACC6"/>
              <w:right w:val="single" w:sz="4" w:space="0" w:color="4BACC6"/>
            </w:tcBorders>
            <w:vAlign w:val="center"/>
          </w:tcPr>
          <w:p w:rsidR="00BC62E2" w:rsidRPr="000063FC" w:rsidRDefault="00BC62E2" w:rsidP="00BC62E2">
            <w:pPr>
              <w:rPr>
                <w:b/>
                <w:bCs/>
                <w:color w:val="FFFFFF"/>
                <w:sz w:val="20"/>
                <w:lang w:eastAsia="hr-HR"/>
              </w:rPr>
            </w:pPr>
          </w:p>
        </w:tc>
      </w:tr>
      <w:tr w:rsidR="00BC62E2" w:rsidRPr="000063FC" w:rsidTr="00BC62E2">
        <w:trPr>
          <w:trHeight w:val="440"/>
        </w:trPr>
        <w:tc>
          <w:tcPr>
            <w:tcW w:w="1255" w:type="dxa"/>
            <w:tcBorders>
              <w:top w:val="nil"/>
              <w:left w:val="single" w:sz="4" w:space="0" w:color="4BACC6"/>
              <w:bottom w:val="single" w:sz="4" w:space="0" w:color="4BACC6"/>
              <w:right w:val="single" w:sz="4" w:space="0" w:color="4BACC6"/>
            </w:tcBorders>
            <w:noWrap/>
            <w:vAlign w:val="bottom"/>
          </w:tcPr>
          <w:p w:rsidR="00BC62E2" w:rsidRPr="000063FC" w:rsidRDefault="00BC62E2" w:rsidP="00BC62E2">
            <w:pPr>
              <w:rPr>
                <w:color w:val="000000"/>
                <w:sz w:val="20"/>
                <w:lang w:eastAsia="hr-HR"/>
              </w:rPr>
            </w:pPr>
            <w:r w:rsidRPr="000063FC">
              <w:rPr>
                <w:color w:val="000000"/>
                <w:sz w:val="20"/>
                <w:lang w:eastAsia="hr-HR"/>
              </w:rPr>
              <w:t>Scenarij bez mjera</w:t>
            </w:r>
          </w:p>
        </w:tc>
        <w:tc>
          <w:tcPr>
            <w:tcW w:w="1496" w:type="dxa"/>
            <w:tcBorders>
              <w:top w:val="nil"/>
              <w:left w:val="nil"/>
              <w:bottom w:val="single" w:sz="4" w:space="0" w:color="4BACC6"/>
              <w:right w:val="single" w:sz="4" w:space="0" w:color="4BACC6"/>
            </w:tcBorders>
            <w:noWrap/>
            <w:vAlign w:val="center"/>
          </w:tcPr>
          <w:p w:rsidR="00BC62E2" w:rsidRPr="000063FC" w:rsidRDefault="00C5197B" w:rsidP="00BC62E2">
            <w:pPr>
              <w:jc w:val="center"/>
              <w:rPr>
                <w:color w:val="000000"/>
                <w:sz w:val="20"/>
              </w:rPr>
            </w:pPr>
            <w:r w:rsidRPr="000063FC">
              <w:rPr>
                <w:color w:val="000000"/>
                <w:sz w:val="20"/>
              </w:rPr>
              <w:t xml:space="preserve">90 </w:t>
            </w:r>
            <w:r w:rsidR="00BC62E2" w:rsidRPr="000063FC">
              <w:rPr>
                <w:color w:val="000000"/>
                <w:sz w:val="20"/>
              </w:rPr>
              <w:t>463,89</w:t>
            </w:r>
          </w:p>
        </w:tc>
        <w:tc>
          <w:tcPr>
            <w:tcW w:w="1444" w:type="dxa"/>
            <w:tcBorders>
              <w:top w:val="nil"/>
              <w:left w:val="nil"/>
              <w:bottom w:val="single" w:sz="4" w:space="0" w:color="4BACC6"/>
              <w:right w:val="single" w:sz="4" w:space="0" w:color="4BACC6"/>
            </w:tcBorders>
            <w:noWrap/>
            <w:vAlign w:val="center"/>
          </w:tcPr>
          <w:p w:rsidR="00BC62E2" w:rsidRPr="000063FC" w:rsidRDefault="00C5197B" w:rsidP="00BC62E2">
            <w:pPr>
              <w:jc w:val="center"/>
              <w:rPr>
                <w:color w:val="000000"/>
                <w:sz w:val="20"/>
              </w:rPr>
            </w:pPr>
            <w:r w:rsidRPr="000063FC">
              <w:rPr>
                <w:color w:val="000000"/>
                <w:sz w:val="20"/>
              </w:rPr>
              <w:t xml:space="preserve">99 </w:t>
            </w:r>
            <w:r w:rsidR="00BC62E2" w:rsidRPr="000063FC">
              <w:rPr>
                <w:color w:val="000000"/>
                <w:sz w:val="20"/>
              </w:rPr>
              <w:t>473,89</w:t>
            </w:r>
          </w:p>
        </w:tc>
        <w:tc>
          <w:tcPr>
            <w:tcW w:w="1001" w:type="dxa"/>
            <w:tcBorders>
              <w:top w:val="nil"/>
              <w:left w:val="nil"/>
              <w:bottom w:val="single" w:sz="4" w:space="0" w:color="4BACC6"/>
              <w:right w:val="single" w:sz="4" w:space="0" w:color="4BACC6"/>
            </w:tcBorders>
            <w:noWrap/>
            <w:vAlign w:val="center"/>
          </w:tcPr>
          <w:p w:rsidR="00BC62E2" w:rsidRPr="000063FC" w:rsidRDefault="00BC62E2" w:rsidP="00BC62E2">
            <w:pPr>
              <w:jc w:val="center"/>
              <w:rPr>
                <w:color w:val="000000"/>
                <w:sz w:val="20"/>
              </w:rPr>
            </w:pPr>
            <w:r w:rsidRPr="000063FC">
              <w:rPr>
                <w:color w:val="000000"/>
                <w:sz w:val="20"/>
              </w:rPr>
              <w:t>9,96</w:t>
            </w:r>
          </w:p>
        </w:tc>
        <w:tc>
          <w:tcPr>
            <w:tcW w:w="1479" w:type="dxa"/>
            <w:tcBorders>
              <w:top w:val="nil"/>
              <w:left w:val="nil"/>
              <w:bottom w:val="single" w:sz="4" w:space="0" w:color="4BACC6"/>
              <w:right w:val="single" w:sz="4" w:space="0" w:color="4BACC6"/>
            </w:tcBorders>
            <w:noWrap/>
            <w:vAlign w:val="center"/>
          </w:tcPr>
          <w:p w:rsidR="00BC62E2" w:rsidRPr="000063FC" w:rsidRDefault="00C5197B" w:rsidP="00BC62E2">
            <w:pPr>
              <w:jc w:val="center"/>
              <w:rPr>
                <w:color w:val="000000"/>
                <w:sz w:val="20"/>
              </w:rPr>
            </w:pPr>
            <w:r w:rsidRPr="000063FC">
              <w:rPr>
                <w:color w:val="000000"/>
                <w:sz w:val="20"/>
              </w:rPr>
              <w:t xml:space="preserve">29 </w:t>
            </w:r>
            <w:r w:rsidR="00BC62E2" w:rsidRPr="000063FC">
              <w:rPr>
                <w:color w:val="000000"/>
                <w:sz w:val="20"/>
              </w:rPr>
              <w:t>175,56</w:t>
            </w:r>
          </w:p>
        </w:tc>
        <w:tc>
          <w:tcPr>
            <w:tcW w:w="1505" w:type="dxa"/>
            <w:tcBorders>
              <w:top w:val="nil"/>
              <w:left w:val="nil"/>
              <w:bottom w:val="single" w:sz="4" w:space="0" w:color="4BACC6"/>
              <w:right w:val="single" w:sz="4" w:space="0" w:color="4BACC6"/>
            </w:tcBorders>
            <w:noWrap/>
            <w:vAlign w:val="center"/>
          </w:tcPr>
          <w:p w:rsidR="00BC62E2" w:rsidRPr="000063FC" w:rsidRDefault="00C5197B" w:rsidP="00BC62E2">
            <w:pPr>
              <w:jc w:val="center"/>
              <w:rPr>
                <w:color w:val="000000"/>
                <w:sz w:val="20"/>
              </w:rPr>
            </w:pPr>
            <w:r w:rsidRPr="000063FC">
              <w:rPr>
                <w:color w:val="000000"/>
                <w:sz w:val="20"/>
              </w:rPr>
              <w:t xml:space="preserve">32 </w:t>
            </w:r>
            <w:r w:rsidR="00BC62E2" w:rsidRPr="000063FC">
              <w:rPr>
                <w:color w:val="000000"/>
                <w:sz w:val="20"/>
              </w:rPr>
              <w:t>085,79</w:t>
            </w:r>
          </w:p>
        </w:tc>
        <w:tc>
          <w:tcPr>
            <w:tcW w:w="958" w:type="dxa"/>
            <w:tcBorders>
              <w:top w:val="nil"/>
              <w:left w:val="nil"/>
              <w:bottom w:val="single" w:sz="4" w:space="0" w:color="4BACC6"/>
              <w:right w:val="single" w:sz="4" w:space="0" w:color="4BACC6"/>
            </w:tcBorders>
            <w:noWrap/>
            <w:vAlign w:val="center"/>
          </w:tcPr>
          <w:p w:rsidR="00BC62E2" w:rsidRPr="000063FC" w:rsidRDefault="00BC62E2" w:rsidP="00BC62E2">
            <w:pPr>
              <w:jc w:val="center"/>
              <w:rPr>
                <w:color w:val="000000"/>
                <w:sz w:val="20"/>
              </w:rPr>
            </w:pPr>
            <w:r w:rsidRPr="000063FC">
              <w:rPr>
                <w:color w:val="000000"/>
                <w:sz w:val="20"/>
              </w:rPr>
              <w:t>9,97</w:t>
            </w:r>
          </w:p>
        </w:tc>
      </w:tr>
      <w:tr w:rsidR="00BC62E2" w:rsidRPr="000063FC" w:rsidTr="00BC62E2">
        <w:trPr>
          <w:trHeight w:val="300"/>
        </w:trPr>
        <w:tc>
          <w:tcPr>
            <w:tcW w:w="1255" w:type="dxa"/>
            <w:tcBorders>
              <w:top w:val="nil"/>
              <w:left w:val="single" w:sz="4" w:space="0" w:color="4BACC6"/>
              <w:bottom w:val="single" w:sz="4" w:space="0" w:color="4BACC6"/>
              <w:right w:val="single" w:sz="4" w:space="0" w:color="4BACC6"/>
            </w:tcBorders>
            <w:noWrap/>
            <w:vAlign w:val="bottom"/>
          </w:tcPr>
          <w:p w:rsidR="00BC62E2" w:rsidRPr="000063FC" w:rsidRDefault="00BC62E2" w:rsidP="00BC62E2">
            <w:pPr>
              <w:rPr>
                <w:color w:val="000000"/>
                <w:sz w:val="20"/>
                <w:lang w:eastAsia="hr-HR"/>
              </w:rPr>
            </w:pPr>
            <w:r w:rsidRPr="000063FC">
              <w:rPr>
                <w:color w:val="000000"/>
                <w:sz w:val="20"/>
                <w:lang w:eastAsia="hr-HR"/>
              </w:rPr>
              <w:t>Scenarij s mjerama</w:t>
            </w:r>
          </w:p>
        </w:tc>
        <w:tc>
          <w:tcPr>
            <w:tcW w:w="1496" w:type="dxa"/>
            <w:tcBorders>
              <w:top w:val="nil"/>
              <w:left w:val="nil"/>
              <w:bottom w:val="single" w:sz="4" w:space="0" w:color="4BACC6"/>
              <w:right w:val="single" w:sz="4" w:space="0" w:color="4BACC6"/>
            </w:tcBorders>
            <w:noWrap/>
            <w:vAlign w:val="center"/>
          </w:tcPr>
          <w:p w:rsidR="00BC62E2" w:rsidRPr="000063FC" w:rsidRDefault="00C5197B" w:rsidP="00BC62E2">
            <w:pPr>
              <w:jc w:val="center"/>
              <w:rPr>
                <w:color w:val="000000"/>
                <w:sz w:val="20"/>
              </w:rPr>
            </w:pPr>
            <w:r w:rsidRPr="000063FC">
              <w:rPr>
                <w:color w:val="000000"/>
                <w:sz w:val="20"/>
              </w:rPr>
              <w:t xml:space="preserve">90 </w:t>
            </w:r>
            <w:r w:rsidR="00BC62E2" w:rsidRPr="000063FC">
              <w:rPr>
                <w:color w:val="000000"/>
                <w:sz w:val="20"/>
              </w:rPr>
              <w:t>463,89</w:t>
            </w:r>
          </w:p>
        </w:tc>
        <w:tc>
          <w:tcPr>
            <w:tcW w:w="1444" w:type="dxa"/>
            <w:tcBorders>
              <w:top w:val="nil"/>
              <w:left w:val="nil"/>
              <w:bottom w:val="single" w:sz="4" w:space="0" w:color="4BACC6"/>
              <w:right w:val="single" w:sz="4" w:space="0" w:color="4BACC6"/>
            </w:tcBorders>
            <w:noWrap/>
            <w:vAlign w:val="center"/>
          </w:tcPr>
          <w:p w:rsidR="00BC62E2" w:rsidRPr="000063FC" w:rsidRDefault="00C5197B" w:rsidP="00BC62E2">
            <w:pPr>
              <w:jc w:val="center"/>
              <w:rPr>
                <w:color w:val="000000"/>
                <w:sz w:val="20"/>
              </w:rPr>
            </w:pPr>
            <w:r w:rsidRPr="000063FC">
              <w:rPr>
                <w:color w:val="000000"/>
                <w:sz w:val="20"/>
              </w:rPr>
              <w:t xml:space="preserve">75 </w:t>
            </w:r>
            <w:r w:rsidR="00BC62E2" w:rsidRPr="000063FC">
              <w:rPr>
                <w:color w:val="000000"/>
                <w:sz w:val="20"/>
              </w:rPr>
              <w:t>146,89</w:t>
            </w:r>
          </w:p>
        </w:tc>
        <w:tc>
          <w:tcPr>
            <w:tcW w:w="1001" w:type="dxa"/>
            <w:tcBorders>
              <w:top w:val="nil"/>
              <w:left w:val="nil"/>
              <w:bottom w:val="single" w:sz="4" w:space="0" w:color="4BACC6"/>
              <w:right w:val="single" w:sz="4" w:space="0" w:color="4BACC6"/>
            </w:tcBorders>
            <w:noWrap/>
            <w:vAlign w:val="center"/>
          </w:tcPr>
          <w:p w:rsidR="00BC62E2" w:rsidRPr="000063FC" w:rsidRDefault="00BC62E2" w:rsidP="00BC62E2">
            <w:pPr>
              <w:jc w:val="center"/>
              <w:rPr>
                <w:color w:val="000000"/>
                <w:sz w:val="20"/>
              </w:rPr>
            </w:pPr>
            <w:r w:rsidRPr="000063FC">
              <w:rPr>
                <w:color w:val="000000"/>
                <w:sz w:val="20"/>
              </w:rPr>
              <w:t>-16,93</w:t>
            </w:r>
          </w:p>
        </w:tc>
        <w:tc>
          <w:tcPr>
            <w:tcW w:w="1479" w:type="dxa"/>
            <w:tcBorders>
              <w:top w:val="nil"/>
              <w:left w:val="nil"/>
              <w:bottom w:val="single" w:sz="4" w:space="0" w:color="4BACC6"/>
              <w:right w:val="single" w:sz="4" w:space="0" w:color="4BACC6"/>
            </w:tcBorders>
            <w:noWrap/>
            <w:vAlign w:val="center"/>
          </w:tcPr>
          <w:p w:rsidR="00BC62E2" w:rsidRPr="000063FC" w:rsidRDefault="00C5197B" w:rsidP="00BC62E2">
            <w:pPr>
              <w:jc w:val="center"/>
              <w:rPr>
                <w:color w:val="000000"/>
                <w:sz w:val="20"/>
              </w:rPr>
            </w:pPr>
            <w:r w:rsidRPr="000063FC">
              <w:rPr>
                <w:color w:val="000000"/>
                <w:sz w:val="20"/>
              </w:rPr>
              <w:t xml:space="preserve">29 </w:t>
            </w:r>
            <w:r w:rsidR="00BC62E2" w:rsidRPr="000063FC">
              <w:rPr>
                <w:color w:val="000000"/>
                <w:sz w:val="20"/>
              </w:rPr>
              <w:t>175,56</w:t>
            </w:r>
          </w:p>
        </w:tc>
        <w:tc>
          <w:tcPr>
            <w:tcW w:w="1505" w:type="dxa"/>
            <w:tcBorders>
              <w:top w:val="nil"/>
              <w:left w:val="nil"/>
              <w:bottom w:val="single" w:sz="4" w:space="0" w:color="4BACC6"/>
              <w:right w:val="single" w:sz="4" w:space="0" w:color="4BACC6"/>
            </w:tcBorders>
            <w:noWrap/>
            <w:vAlign w:val="center"/>
          </w:tcPr>
          <w:p w:rsidR="00BC62E2" w:rsidRPr="000063FC" w:rsidRDefault="00C5197B" w:rsidP="00BC62E2">
            <w:pPr>
              <w:jc w:val="center"/>
              <w:rPr>
                <w:color w:val="000000"/>
                <w:sz w:val="20"/>
              </w:rPr>
            </w:pPr>
            <w:r w:rsidRPr="000063FC">
              <w:rPr>
                <w:color w:val="000000"/>
                <w:sz w:val="20"/>
              </w:rPr>
              <w:t xml:space="preserve">24 </w:t>
            </w:r>
            <w:r w:rsidR="00BC62E2" w:rsidRPr="000063FC">
              <w:rPr>
                <w:color w:val="000000"/>
                <w:sz w:val="20"/>
              </w:rPr>
              <w:t>228,17</w:t>
            </w:r>
          </w:p>
        </w:tc>
        <w:tc>
          <w:tcPr>
            <w:tcW w:w="958" w:type="dxa"/>
            <w:tcBorders>
              <w:top w:val="nil"/>
              <w:left w:val="nil"/>
              <w:bottom w:val="single" w:sz="4" w:space="0" w:color="4BACC6"/>
              <w:right w:val="single" w:sz="4" w:space="0" w:color="4BACC6"/>
            </w:tcBorders>
            <w:noWrap/>
            <w:vAlign w:val="center"/>
          </w:tcPr>
          <w:p w:rsidR="00BC62E2" w:rsidRPr="000063FC" w:rsidRDefault="00BC62E2" w:rsidP="00BC62E2">
            <w:pPr>
              <w:jc w:val="center"/>
              <w:rPr>
                <w:color w:val="000000"/>
                <w:sz w:val="20"/>
              </w:rPr>
            </w:pPr>
            <w:r w:rsidRPr="000063FC">
              <w:rPr>
                <w:color w:val="000000"/>
                <w:sz w:val="20"/>
              </w:rPr>
              <w:t>-16,96</w:t>
            </w:r>
          </w:p>
        </w:tc>
      </w:tr>
    </w:tbl>
    <w:p w:rsidR="00BC62E2" w:rsidRPr="000063FC" w:rsidRDefault="00BC62E2" w:rsidP="00BC62E2">
      <w:pPr>
        <w:rPr>
          <w:highlight w:val="yellow"/>
        </w:rPr>
      </w:pPr>
    </w:p>
    <w:p w:rsidR="00BC62E2" w:rsidRPr="000063FC" w:rsidRDefault="00BC62E2" w:rsidP="00BC62E2">
      <w:pPr>
        <w:pStyle w:val="Caption"/>
        <w:jc w:val="center"/>
      </w:pPr>
      <w:r w:rsidRPr="000063FC">
        <w:rPr>
          <w:noProof/>
          <w:lang w:eastAsia="hr-HR"/>
        </w:rPr>
        <w:drawing>
          <wp:inline distT="0" distB="0" distL="0" distR="0">
            <wp:extent cx="3992904" cy="2845613"/>
            <wp:effectExtent l="19050" t="0" r="7596" b="0"/>
            <wp:docPr id="4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print"/>
                    <a:srcRect/>
                    <a:stretch>
                      <a:fillRect/>
                    </a:stretch>
                  </pic:blipFill>
                  <pic:spPr bwMode="auto">
                    <a:xfrm>
                      <a:off x="0" y="0"/>
                      <a:ext cx="3992685" cy="2845457"/>
                    </a:xfrm>
                    <a:prstGeom prst="rect">
                      <a:avLst/>
                    </a:prstGeom>
                    <a:noFill/>
                    <a:ln w="9525">
                      <a:noFill/>
                      <a:miter lim="800000"/>
                      <a:headEnd/>
                      <a:tailEnd/>
                    </a:ln>
                  </pic:spPr>
                </pic:pic>
              </a:graphicData>
            </a:graphic>
          </wp:inline>
        </w:drawing>
      </w:r>
    </w:p>
    <w:p w:rsidR="00BC62E2" w:rsidRPr="000063FC" w:rsidRDefault="00BC62E2" w:rsidP="00BC62E2">
      <w:pPr>
        <w:pStyle w:val="Heading7"/>
      </w:pPr>
      <w:bookmarkStart w:id="211" w:name="_Toc254010300"/>
      <w:bookmarkStart w:id="212" w:name="_Toc251161813"/>
      <w:r w:rsidRPr="000063FC">
        <w:t xml:space="preserve">Slika 3.1: Usporedba emisija </w:t>
      </w:r>
      <w:r w:rsidR="00C5197B" w:rsidRPr="000063FC">
        <w:t>CO</w:t>
      </w:r>
      <w:r w:rsidR="00C5197B" w:rsidRPr="000063FC">
        <w:rPr>
          <w:vertAlign w:val="subscript"/>
        </w:rPr>
        <w:t>2</w:t>
      </w:r>
      <w:r w:rsidR="00C5197B" w:rsidRPr="000063FC">
        <w:t xml:space="preserve"> za oba scenarija u 2020. godini </w:t>
      </w:r>
      <w:r w:rsidRPr="000063FC">
        <w:t xml:space="preserve">s emisijom </w:t>
      </w:r>
      <w:r w:rsidR="00C5197B" w:rsidRPr="000063FC">
        <w:t>u 2008. godini</w:t>
      </w:r>
      <w:bookmarkEnd w:id="211"/>
      <w:r w:rsidRPr="000063FC">
        <w:t xml:space="preserve"> </w:t>
      </w:r>
      <w:bookmarkEnd w:id="212"/>
    </w:p>
    <w:p w:rsidR="00F857FC" w:rsidRPr="000063FC" w:rsidRDefault="00F857FC">
      <w:pPr>
        <w:tabs>
          <w:tab w:val="clear" w:pos="720"/>
          <w:tab w:val="clear" w:pos="6912"/>
        </w:tabs>
        <w:spacing w:line="240" w:lineRule="auto"/>
        <w:jc w:val="left"/>
        <w:rPr>
          <w:szCs w:val="22"/>
        </w:rPr>
      </w:pPr>
      <w:r w:rsidRPr="000063FC">
        <w:rPr>
          <w:szCs w:val="22"/>
        </w:rPr>
        <w:br w:type="page"/>
      </w:r>
    </w:p>
    <w:p w:rsidR="00BC62E2" w:rsidRPr="000063FC" w:rsidRDefault="00F857FC" w:rsidP="00F857FC">
      <w:pPr>
        <w:pStyle w:val="Heading2"/>
      </w:pPr>
      <w:bookmarkStart w:id="213" w:name="_Toc254010198"/>
      <w:r w:rsidRPr="000063FC">
        <w:lastRenderedPageBreak/>
        <w:t>PROJEKCIJA EMISIJA CO</w:t>
      </w:r>
      <w:r w:rsidRPr="000063FC">
        <w:rPr>
          <w:vertAlign w:val="subscript"/>
        </w:rPr>
        <w:t>2</w:t>
      </w:r>
      <w:r w:rsidRPr="000063FC">
        <w:t xml:space="preserve"> SEKTORA ZGRADARSTVO</w:t>
      </w:r>
      <w:bookmarkEnd w:id="213"/>
    </w:p>
    <w:p w:rsidR="00F857FC" w:rsidRPr="000063FC" w:rsidRDefault="00F857FC" w:rsidP="00A46A65">
      <w:pPr>
        <w:spacing w:line="276" w:lineRule="auto"/>
      </w:pPr>
      <w:r w:rsidRPr="000063FC">
        <w:t xml:space="preserve">Scenarij bez mjera za sektor zgaradarstva kreiran je na temelju potrošnje energenata u 2008. godini te očekivanog porasta potrošnje u 2020. godini. Projekcije potrošnje energenata te pripadajuća emisija </w:t>
      </w:r>
      <w:r w:rsidR="00C5197B" w:rsidRPr="000063FC">
        <w:t xml:space="preserve">u 2020. godini za scenarij bez mjera </w:t>
      </w:r>
      <w:r w:rsidRPr="000063FC">
        <w:t>prikazani su u tablicama 3.4 i 3.5.</w:t>
      </w:r>
    </w:p>
    <w:p w:rsidR="00BC62E2" w:rsidRPr="000063FC" w:rsidRDefault="00BC62E2">
      <w:pPr>
        <w:tabs>
          <w:tab w:val="clear" w:pos="720"/>
          <w:tab w:val="clear" w:pos="6912"/>
        </w:tabs>
        <w:spacing w:line="240" w:lineRule="auto"/>
        <w:jc w:val="left"/>
        <w:rPr>
          <w:szCs w:val="22"/>
        </w:rPr>
      </w:pPr>
    </w:p>
    <w:p w:rsidR="00F857FC" w:rsidRPr="000063FC" w:rsidRDefault="00F857FC" w:rsidP="00B33E2F">
      <w:pPr>
        <w:pStyle w:val="Heading6"/>
      </w:pPr>
      <w:bookmarkStart w:id="214" w:name="_Toc251161360"/>
      <w:bookmarkStart w:id="215" w:name="_Toc254010260"/>
      <w:r w:rsidRPr="000063FC">
        <w:t>Tab</w:t>
      </w:r>
      <w:r w:rsidR="00C5197B" w:rsidRPr="000063FC">
        <w:t>lica 3.4: Potrošnja energenata s</w:t>
      </w:r>
      <w:r w:rsidRPr="000063FC">
        <w:t>cenarija bez mjera sektora zgradarstvo</w:t>
      </w:r>
      <w:bookmarkEnd w:id="214"/>
      <w:bookmarkEnd w:id="215"/>
    </w:p>
    <w:tbl>
      <w:tblPr>
        <w:tblW w:w="9356" w:type="dxa"/>
        <w:tblInd w:w="108" w:type="dxa"/>
        <w:tblLayout w:type="fixed"/>
        <w:tblLook w:val="00A0" w:firstRow="1" w:lastRow="0" w:firstColumn="1" w:lastColumn="0" w:noHBand="0" w:noVBand="0"/>
      </w:tblPr>
      <w:tblGrid>
        <w:gridCol w:w="2552"/>
        <w:gridCol w:w="1276"/>
        <w:gridCol w:w="1275"/>
        <w:gridCol w:w="1276"/>
        <w:gridCol w:w="1134"/>
        <w:gridCol w:w="709"/>
        <w:gridCol w:w="1134"/>
      </w:tblGrid>
      <w:tr w:rsidR="00F857FC" w:rsidRPr="000063FC" w:rsidTr="00A46A65">
        <w:trPr>
          <w:trHeight w:val="227"/>
        </w:trPr>
        <w:tc>
          <w:tcPr>
            <w:tcW w:w="2552" w:type="dxa"/>
            <w:vMerge w:val="restart"/>
            <w:tcBorders>
              <w:top w:val="single" w:sz="4" w:space="0" w:color="4BACC6"/>
              <w:left w:val="single" w:sz="4" w:space="0" w:color="4BACC6"/>
              <w:bottom w:val="single" w:sz="4" w:space="0" w:color="4BACC6"/>
              <w:right w:val="single" w:sz="4" w:space="0" w:color="FFFFFF"/>
            </w:tcBorders>
            <w:shd w:val="clear" w:color="000000" w:fill="4BACC6"/>
            <w:noWrap/>
            <w:vAlign w:val="bottom"/>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KATEGORIJA</w:t>
            </w:r>
          </w:p>
        </w:tc>
        <w:tc>
          <w:tcPr>
            <w:tcW w:w="6804" w:type="dxa"/>
            <w:gridSpan w:val="6"/>
            <w:tcBorders>
              <w:top w:val="single" w:sz="4" w:space="0" w:color="4BACC6"/>
              <w:left w:val="nil"/>
              <w:bottom w:val="single" w:sz="4" w:space="0" w:color="FFFFFF"/>
              <w:right w:val="single" w:sz="4" w:space="0" w:color="4BACC6"/>
            </w:tcBorders>
            <w:shd w:val="clear" w:color="000000" w:fill="4BACC6"/>
            <w:noWrap/>
            <w:vAlign w:val="bottom"/>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 xml:space="preserve">Potrošnja energije (MWh), 2020. </w:t>
            </w:r>
          </w:p>
        </w:tc>
      </w:tr>
      <w:tr w:rsidR="00F857FC" w:rsidRPr="000063FC" w:rsidTr="00032E38">
        <w:trPr>
          <w:trHeight w:val="227"/>
        </w:trPr>
        <w:tc>
          <w:tcPr>
            <w:tcW w:w="2552" w:type="dxa"/>
            <w:vMerge/>
            <w:tcBorders>
              <w:top w:val="single" w:sz="4" w:space="0" w:color="4BACC6"/>
              <w:left w:val="single" w:sz="4" w:space="0" w:color="4BACC6"/>
              <w:bottom w:val="single" w:sz="4" w:space="0" w:color="4BACC6"/>
              <w:right w:val="single" w:sz="4" w:space="0" w:color="FFFFFF"/>
            </w:tcBorders>
            <w:vAlign w:val="center"/>
          </w:tcPr>
          <w:p w:rsidR="00F857FC" w:rsidRPr="000063FC" w:rsidRDefault="00F857FC" w:rsidP="00F857FC">
            <w:pPr>
              <w:spacing w:line="240" w:lineRule="auto"/>
              <w:rPr>
                <w:rFonts w:asciiTheme="minorHAnsi" w:hAnsiTheme="minorHAnsi"/>
                <w:b/>
                <w:bCs/>
                <w:color w:val="FFFFFF"/>
                <w:sz w:val="20"/>
                <w:lang w:eastAsia="hr-HR"/>
              </w:rPr>
            </w:pPr>
          </w:p>
        </w:tc>
        <w:tc>
          <w:tcPr>
            <w:tcW w:w="1276" w:type="dxa"/>
            <w:tcBorders>
              <w:top w:val="nil"/>
              <w:left w:val="nil"/>
              <w:bottom w:val="single" w:sz="4" w:space="0" w:color="4BACC6"/>
              <w:right w:val="single" w:sz="4" w:space="0" w:color="FFFFFF"/>
            </w:tcBorders>
            <w:shd w:val="clear" w:color="000000" w:fill="4BACC6"/>
            <w:vAlign w:val="center"/>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Električna energija</w:t>
            </w:r>
          </w:p>
        </w:tc>
        <w:tc>
          <w:tcPr>
            <w:tcW w:w="1275" w:type="dxa"/>
            <w:tcBorders>
              <w:top w:val="nil"/>
              <w:left w:val="nil"/>
              <w:bottom w:val="single" w:sz="4" w:space="0" w:color="4BACC6"/>
              <w:right w:val="single" w:sz="4" w:space="0" w:color="FFFFFF"/>
            </w:tcBorders>
            <w:shd w:val="clear" w:color="000000" w:fill="4BACC6"/>
            <w:vAlign w:val="center"/>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Toplinska energija</w:t>
            </w:r>
          </w:p>
        </w:tc>
        <w:tc>
          <w:tcPr>
            <w:tcW w:w="1276" w:type="dxa"/>
            <w:tcBorders>
              <w:top w:val="nil"/>
              <w:left w:val="nil"/>
              <w:bottom w:val="single" w:sz="4" w:space="0" w:color="4BACC6"/>
              <w:right w:val="single" w:sz="4" w:space="0" w:color="FFFFFF"/>
            </w:tcBorders>
            <w:shd w:val="clear" w:color="000000" w:fill="4BACC6"/>
            <w:vAlign w:val="center"/>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Prirodni plin</w:t>
            </w:r>
          </w:p>
        </w:tc>
        <w:tc>
          <w:tcPr>
            <w:tcW w:w="1134" w:type="dxa"/>
            <w:tcBorders>
              <w:top w:val="nil"/>
              <w:left w:val="nil"/>
              <w:bottom w:val="single" w:sz="4" w:space="0" w:color="4BACC6"/>
              <w:right w:val="single" w:sz="4" w:space="0" w:color="FFFFFF"/>
            </w:tcBorders>
            <w:shd w:val="clear" w:color="000000" w:fill="4BACC6"/>
            <w:vAlign w:val="center"/>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Lož ulje</w:t>
            </w:r>
          </w:p>
        </w:tc>
        <w:tc>
          <w:tcPr>
            <w:tcW w:w="709" w:type="dxa"/>
            <w:tcBorders>
              <w:top w:val="nil"/>
              <w:left w:val="nil"/>
              <w:bottom w:val="single" w:sz="4" w:space="0" w:color="4BACC6"/>
              <w:right w:val="single" w:sz="4" w:space="0" w:color="FFFFFF"/>
            </w:tcBorders>
            <w:shd w:val="clear" w:color="000000" w:fill="4BACC6"/>
            <w:vAlign w:val="center"/>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UNP</w:t>
            </w:r>
          </w:p>
        </w:tc>
        <w:tc>
          <w:tcPr>
            <w:tcW w:w="1134" w:type="dxa"/>
            <w:tcBorders>
              <w:top w:val="nil"/>
              <w:left w:val="nil"/>
              <w:bottom w:val="single" w:sz="4" w:space="0" w:color="4BACC6"/>
              <w:right w:val="single" w:sz="4" w:space="0" w:color="4BACC6"/>
            </w:tcBorders>
            <w:shd w:val="clear" w:color="000000" w:fill="4BACC6"/>
            <w:vAlign w:val="center"/>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Ogrjev. drvo</w:t>
            </w:r>
          </w:p>
        </w:tc>
      </w:tr>
      <w:tr w:rsidR="00F857FC" w:rsidRPr="000063FC" w:rsidTr="00032E38">
        <w:trPr>
          <w:trHeight w:val="227"/>
        </w:trPr>
        <w:tc>
          <w:tcPr>
            <w:tcW w:w="2552" w:type="dxa"/>
            <w:tcBorders>
              <w:top w:val="nil"/>
              <w:left w:val="single" w:sz="4" w:space="0" w:color="4BACC6"/>
              <w:bottom w:val="single" w:sz="4" w:space="0" w:color="4BACC6"/>
              <w:right w:val="single" w:sz="4" w:space="0" w:color="4BACC6"/>
            </w:tcBorders>
            <w:shd w:val="clear" w:color="000000" w:fill="DBEEF3"/>
            <w:noWrap/>
            <w:vAlign w:val="bottom"/>
          </w:tcPr>
          <w:p w:rsidR="00F857FC" w:rsidRPr="000063FC" w:rsidRDefault="00F857FC" w:rsidP="00F857FC">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STAMBENE I JAVNE ZGRADE U VLASNIŠTVU GRADA</w:t>
            </w:r>
          </w:p>
        </w:tc>
        <w:tc>
          <w:tcPr>
            <w:tcW w:w="1276" w:type="dxa"/>
            <w:tcBorders>
              <w:top w:val="nil"/>
              <w:left w:val="nil"/>
              <w:bottom w:val="single" w:sz="4" w:space="0" w:color="4BACC6"/>
              <w:right w:val="single" w:sz="4" w:space="0" w:color="4BACC6"/>
            </w:tcBorders>
            <w:shd w:val="clear" w:color="000000" w:fill="DBEEF3"/>
            <w:noWrap/>
            <w:vAlign w:val="bottom"/>
          </w:tcPr>
          <w:p w:rsidR="00F857FC" w:rsidRPr="000063FC" w:rsidRDefault="00F857FC" w:rsidP="00F857FC">
            <w:pPr>
              <w:spacing w:line="240" w:lineRule="auto"/>
              <w:rPr>
                <w:rFonts w:asciiTheme="minorHAnsi" w:hAnsiTheme="minorHAnsi"/>
                <w:b/>
                <w:bCs/>
                <w:color w:val="000000"/>
                <w:sz w:val="20"/>
                <w:lang w:eastAsia="hr-HR"/>
              </w:rPr>
            </w:pPr>
            <w:r w:rsidRPr="000063FC">
              <w:rPr>
                <w:rFonts w:asciiTheme="minorHAnsi" w:hAnsiTheme="minorHAnsi"/>
                <w:b/>
                <w:bCs/>
                <w:color w:val="000000"/>
                <w:sz w:val="20"/>
                <w:lang w:eastAsia="hr-HR"/>
              </w:rPr>
              <w:t> </w:t>
            </w:r>
          </w:p>
        </w:tc>
        <w:tc>
          <w:tcPr>
            <w:tcW w:w="1275" w:type="dxa"/>
            <w:tcBorders>
              <w:top w:val="nil"/>
              <w:left w:val="nil"/>
              <w:bottom w:val="single" w:sz="4" w:space="0" w:color="4BACC6"/>
              <w:right w:val="single" w:sz="4" w:space="0" w:color="4BACC6"/>
            </w:tcBorders>
            <w:shd w:val="clear" w:color="000000" w:fill="DBEEF3"/>
            <w:noWrap/>
            <w:vAlign w:val="bottom"/>
          </w:tcPr>
          <w:p w:rsidR="00F857FC" w:rsidRPr="000063FC" w:rsidRDefault="00F857FC" w:rsidP="00F857FC">
            <w:pPr>
              <w:spacing w:line="240" w:lineRule="auto"/>
              <w:rPr>
                <w:rFonts w:asciiTheme="minorHAnsi" w:hAnsiTheme="minorHAnsi"/>
                <w:b/>
                <w:bCs/>
                <w:color w:val="000000"/>
                <w:sz w:val="20"/>
                <w:lang w:eastAsia="hr-HR"/>
              </w:rPr>
            </w:pPr>
            <w:r w:rsidRPr="000063FC">
              <w:rPr>
                <w:rFonts w:asciiTheme="minorHAnsi" w:hAnsiTheme="minorHAnsi"/>
                <w:b/>
                <w:bCs/>
                <w:color w:val="000000"/>
                <w:sz w:val="20"/>
                <w:lang w:eastAsia="hr-HR"/>
              </w:rPr>
              <w:t> </w:t>
            </w:r>
          </w:p>
        </w:tc>
        <w:tc>
          <w:tcPr>
            <w:tcW w:w="1276" w:type="dxa"/>
            <w:tcBorders>
              <w:top w:val="nil"/>
              <w:left w:val="nil"/>
              <w:bottom w:val="single" w:sz="4" w:space="0" w:color="4BACC6"/>
              <w:right w:val="single" w:sz="4" w:space="0" w:color="4BACC6"/>
            </w:tcBorders>
            <w:shd w:val="clear" w:color="000000" w:fill="DBEEF3"/>
            <w:noWrap/>
            <w:vAlign w:val="bottom"/>
          </w:tcPr>
          <w:p w:rsidR="00F857FC" w:rsidRPr="000063FC" w:rsidRDefault="00F857FC" w:rsidP="00F857FC">
            <w:pPr>
              <w:spacing w:line="240" w:lineRule="auto"/>
              <w:rPr>
                <w:rFonts w:asciiTheme="minorHAnsi" w:hAnsiTheme="minorHAnsi"/>
                <w:b/>
                <w:bCs/>
                <w:color w:val="000000"/>
                <w:sz w:val="20"/>
                <w:lang w:eastAsia="hr-HR"/>
              </w:rPr>
            </w:pPr>
            <w:r w:rsidRPr="000063FC">
              <w:rPr>
                <w:rFonts w:asciiTheme="minorHAnsi" w:hAnsiTheme="minorHAnsi"/>
                <w:b/>
                <w:bCs/>
                <w:color w:val="000000"/>
                <w:sz w:val="20"/>
                <w:lang w:eastAsia="hr-HR"/>
              </w:rPr>
              <w:t> </w:t>
            </w:r>
          </w:p>
        </w:tc>
        <w:tc>
          <w:tcPr>
            <w:tcW w:w="1134" w:type="dxa"/>
            <w:tcBorders>
              <w:top w:val="nil"/>
              <w:left w:val="nil"/>
              <w:bottom w:val="single" w:sz="4" w:space="0" w:color="4BACC6"/>
              <w:right w:val="single" w:sz="4" w:space="0" w:color="4BACC6"/>
            </w:tcBorders>
            <w:shd w:val="clear" w:color="000000" w:fill="DBEEF3"/>
            <w:noWrap/>
            <w:vAlign w:val="bottom"/>
          </w:tcPr>
          <w:p w:rsidR="00F857FC" w:rsidRPr="000063FC" w:rsidRDefault="00F857FC" w:rsidP="00F857FC">
            <w:pPr>
              <w:spacing w:line="240" w:lineRule="auto"/>
              <w:rPr>
                <w:rFonts w:asciiTheme="minorHAnsi" w:hAnsiTheme="minorHAnsi"/>
                <w:b/>
                <w:bCs/>
                <w:color w:val="000000"/>
                <w:sz w:val="20"/>
                <w:lang w:eastAsia="hr-HR"/>
              </w:rPr>
            </w:pPr>
            <w:r w:rsidRPr="000063FC">
              <w:rPr>
                <w:rFonts w:asciiTheme="minorHAnsi" w:hAnsiTheme="minorHAnsi"/>
                <w:b/>
                <w:bCs/>
                <w:color w:val="000000"/>
                <w:sz w:val="20"/>
                <w:lang w:eastAsia="hr-HR"/>
              </w:rPr>
              <w:t> </w:t>
            </w:r>
          </w:p>
        </w:tc>
        <w:tc>
          <w:tcPr>
            <w:tcW w:w="709" w:type="dxa"/>
            <w:tcBorders>
              <w:top w:val="nil"/>
              <w:left w:val="nil"/>
              <w:bottom w:val="single" w:sz="4" w:space="0" w:color="4BACC6"/>
              <w:right w:val="single" w:sz="4" w:space="0" w:color="4BACC6"/>
            </w:tcBorders>
            <w:shd w:val="clear" w:color="000000" w:fill="DBEEF3"/>
            <w:noWrap/>
            <w:vAlign w:val="bottom"/>
          </w:tcPr>
          <w:p w:rsidR="00F857FC" w:rsidRPr="000063FC" w:rsidRDefault="00F857FC" w:rsidP="00F857FC">
            <w:pPr>
              <w:spacing w:line="240" w:lineRule="auto"/>
              <w:rPr>
                <w:rFonts w:asciiTheme="minorHAnsi" w:hAnsiTheme="minorHAnsi"/>
                <w:b/>
                <w:bCs/>
                <w:color w:val="000000"/>
                <w:sz w:val="20"/>
                <w:lang w:eastAsia="hr-HR"/>
              </w:rPr>
            </w:pPr>
            <w:r w:rsidRPr="000063FC">
              <w:rPr>
                <w:rFonts w:asciiTheme="minorHAnsi" w:hAnsiTheme="minorHAnsi"/>
                <w:b/>
                <w:bCs/>
                <w:color w:val="000000"/>
                <w:sz w:val="20"/>
                <w:lang w:eastAsia="hr-HR"/>
              </w:rPr>
              <w:t> </w:t>
            </w:r>
          </w:p>
        </w:tc>
        <w:tc>
          <w:tcPr>
            <w:tcW w:w="1134" w:type="dxa"/>
            <w:tcBorders>
              <w:top w:val="nil"/>
              <w:left w:val="nil"/>
              <w:bottom w:val="single" w:sz="4" w:space="0" w:color="4BACC6"/>
              <w:right w:val="single" w:sz="4" w:space="0" w:color="4BACC6"/>
            </w:tcBorders>
            <w:shd w:val="clear" w:color="000000" w:fill="DBEEF3"/>
            <w:noWrap/>
            <w:vAlign w:val="bottom"/>
          </w:tcPr>
          <w:p w:rsidR="00F857FC" w:rsidRPr="000063FC" w:rsidRDefault="00F857FC" w:rsidP="00F857FC">
            <w:pPr>
              <w:spacing w:line="240" w:lineRule="auto"/>
              <w:rPr>
                <w:rFonts w:asciiTheme="minorHAnsi" w:hAnsiTheme="minorHAnsi"/>
                <w:b/>
                <w:bCs/>
                <w:color w:val="000000"/>
                <w:sz w:val="20"/>
                <w:lang w:eastAsia="hr-HR"/>
              </w:rPr>
            </w:pPr>
            <w:r w:rsidRPr="000063FC">
              <w:rPr>
                <w:rFonts w:asciiTheme="minorHAnsi" w:hAnsiTheme="minorHAnsi"/>
                <w:b/>
                <w:bCs/>
                <w:color w:val="000000"/>
                <w:sz w:val="20"/>
                <w:lang w:eastAsia="hr-HR"/>
              </w:rPr>
              <w:t> </w:t>
            </w:r>
          </w:p>
        </w:tc>
      </w:tr>
      <w:tr w:rsidR="00F857FC" w:rsidRPr="000063FC" w:rsidTr="00032E38">
        <w:trPr>
          <w:trHeight w:val="227"/>
        </w:trPr>
        <w:tc>
          <w:tcPr>
            <w:tcW w:w="2552" w:type="dxa"/>
            <w:tcBorders>
              <w:top w:val="nil"/>
              <w:left w:val="single" w:sz="4" w:space="0" w:color="4BACC6"/>
              <w:bottom w:val="single" w:sz="4" w:space="0" w:color="4BACC6"/>
              <w:right w:val="single" w:sz="4" w:space="0" w:color="4BACC6"/>
            </w:tcBorders>
            <w:noWrap/>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ŠKOLSTVO</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24.100,2</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58.353,7</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49.260,3</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40.715,4</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p>
        </w:tc>
      </w:tr>
      <w:tr w:rsidR="00F857FC" w:rsidRPr="000063FC" w:rsidTr="00032E38">
        <w:trPr>
          <w:trHeight w:val="227"/>
        </w:trPr>
        <w:tc>
          <w:tcPr>
            <w:tcW w:w="2552" w:type="dxa"/>
            <w:tcBorders>
              <w:top w:val="nil"/>
              <w:left w:val="single" w:sz="4" w:space="0" w:color="4BACC6"/>
              <w:bottom w:val="single" w:sz="4" w:space="0" w:color="4BACC6"/>
              <w:right w:val="single" w:sz="4" w:space="0" w:color="4BACC6"/>
            </w:tcBorders>
            <w:noWrap/>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ZDRAVSTVO</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19.434,5</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44.326,2</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48.947,4</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170,4</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p>
        </w:tc>
      </w:tr>
      <w:tr w:rsidR="00F857FC" w:rsidRPr="000063FC" w:rsidTr="00032E38">
        <w:trPr>
          <w:trHeight w:val="227"/>
        </w:trPr>
        <w:tc>
          <w:tcPr>
            <w:tcW w:w="2552" w:type="dxa"/>
            <w:tcBorders>
              <w:top w:val="nil"/>
              <w:left w:val="single" w:sz="4" w:space="0" w:color="4BACC6"/>
              <w:bottom w:val="single" w:sz="4" w:space="0" w:color="4BACC6"/>
              <w:right w:val="single" w:sz="4" w:space="0" w:color="4BACC6"/>
            </w:tcBorders>
            <w:noWrap/>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UPRAVA</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5.746,5</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7.918,0</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6.221,6</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4.714,4</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p>
        </w:tc>
      </w:tr>
      <w:tr w:rsidR="00F857FC" w:rsidRPr="000063FC" w:rsidTr="00032E38">
        <w:trPr>
          <w:trHeight w:val="227"/>
        </w:trPr>
        <w:tc>
          <w:tcPr>
            <w:tcW w:w="2552" w:type="dxa"/>
            <w:tcBorders>
              <w:top w:val="nil"/>
              <w:left w:val="single" w:sz="4" w:space="0" w:color="4BACC6"/>
              <w:bottom w:val="single" w:sz="4" w:space="0" w:color="4BACC6"/>
              <w:right w:val="single" w:sz="4" w:space="0" w:color="4BACC6"/>
            </w:tcBorders>
            <w:noWrap/>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KULTURA</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6.781,6</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77,0</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20.531,5</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p>
        </w:tc>
      </w:tr>
      <w:tr w:rsidR="00F857FC" w:rsidRPr="000063FC" w:rsidTr="00032E38">
        <w:trPr>
          <w:trHeight w:val="227"/>
        </w:trPr>
        <w:tc>
          <w:tcPr>
            <w:tcW w:w="2552" w:type="dxa"/>
            <w:tcBorders>
              <w:top w:val="nil"/>
              <w:left w:val="single" w:sz="4" w:space="0" w:color="4BACC6"/>
              <w:bottom w:val="single" w:sz="4" w:space="0" w:color="4BACC6"/>
              <w:right w:val="single" w:sz="4" w:space="0" w:color="4BACC6"/>
            </w:tcBorders>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POSLOVNI PROSTORI I</w:t>
            </w:r>
            <w:r w:rsidRPr="000063FC">
              <w:rPr>
                <w:rFonts w:asciiTheme="minorHAnsi" w:hAnsiTheme="minorHAnsi"/>
                <w:color w:val="000000"/>
                <w:sz w:val="20"/>
                <w:lang w:eastAsia="hr-HR"/>
              </w:rPr>
              <w:br/>
              <w:t>STANOVI U VLASNIŠTVU GRADA</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18.344,3</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20.133,0</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24.167,0</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p>
        </w:tc>
      </w:tr>
      <w:tr w:rsidR="00F857FC" w:rsidRPr="000063FC" w:rsidTr="00032E38">
        <w:trPr>
          <w:trHeight w:val="227"/>
        </w:trPr>
        <w:tc>
          <w:tcPr>
            <w:tcW w:w="2552" w:type="dxa"/>
            <w:tcBorders>
              <w:top w:val="nil"/>
              <w:left w:val="single" w:sz="4" w:space="0" w:color="4BACC6"/>
              <w:bottom w:val="single" w:sz="4" w:space="0" w:color="4BACC6"/>
              <w:right w:val="single" w:sz="4" w:space="0" w:color="4BACC6"/>
            </w:tcBorders>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ZGRADE ČLANICA ZAGREBAČKOG HOLDINGA</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68.300,0</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43.118,0</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34.305,5</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5.345,8</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257,9</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54,4</w:t>
            </w:r>
          </w:p>
        </w:tc>
      </w:tr>
      <w:tr w:rsidR="00F857FC" w:rsidRPr="000063FC" w:rsidTr="00032E38">
        <w:trPr>
          <w:trHeight w:val="227"/>
        </w:trPr>
        <w:tc>
          <w:tcPr>
            <w:tcW w:w="2552" w:type="dxa"/>
            <w:tcBorders>
              <w:top w:val="nil"/>
              <w:left w:val="single" w:sz="4" w:space="0" w:color="4BACC6"/>
              <w:bottom w:val="single" w:sz="4" w:space="0" w:color="4BACC6"/>
              <w:right w:val="single" w:sz="4" w:space="0" w:color="4BACC6"/>
            </w:tcBorders>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UKUPNO:</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142.707,0</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173.925,9</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183.433,4</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50.946,1</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257,9</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54,4</w:t>
            </w:r>
          </w:p>
        </w:tc>
      </w:tr>
      <w:tr w:rsidR="00F857FC" w:rsidRPr="000063FC" w:rsidTr="00032E38">
        <w:trPr>
          <w:trHeight w:val="227"/>
        </w:trPr>
        <w:tc>
          <w:tcPr>
            <w:tcW w:w="2552" w:type="dxa"/>
            <w:tcBorders>
              <w:top w:val="nil"/>
              <w:left w:val="single" w:sz="4" w:space="0" w:color="4BACC6"/>
              <w:bottom w:val="single" w:sz="4" w:space="0" w:color="4BACC6"/>
              <w:right w:val="single" w:sz="4" w:space="0" w:color="4BACC6"/>
            </w:tcBorders>
            <w:shd w:val="clear" w:color="000000" w:fill="DBEEF3"/>
            <w:vAlign w:val="bottom"/>
          </w:tcPr>
          <w:p w:rsidR="00F857FC" w:rsidRPr="000063FC" w:rsidRDefault="00F857FC" w:rsidP="00F857FC">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ZGRADE KOMERCIJALNIH I USLUŽNIH DJELATNOSTI</w:t>
            </w:r>
          </w:p>
        </w:tc>
        <w:tc>
          <w:tcPr>
            <w:tcW w:w="1276"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p>
        </w:tc>
        <w:tc>
          <w:tcPr>
            <w:tcW w:w="1275"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p>
        </w:tc>
        <w:tc>
          <w:tcPr>
            <w:tcW w:w="1276"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p>
        </w:tc>
        <w:tc>
          <w:tcPr>
            <w:tcW w:w="1134"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p>
        </w:tc>
        <w:tc>
          <w:tcPr>
            <w:tcW w:w="709"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p>
        </w:tc>
        <w:tc>
          <w:tcPr>
            <w:tcW w:w="1134"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p>
        </w:tc>
      </w:tr>
      <w:tr w:rsidR="00F857FC" w:rsidRPr="000063FC" w:rsidTr="00032E38">
        <w:trPr>
          <w:trHeight w:val="227"/>
        </w:trPr>
        <w:tc>
          <w:tcPr>
            <w:tcW w:w="2552" w:type="dxa"/>
            <w:tcBorders>
              <w:top w:val="nil"/>
              <w:left w:val="single" w:sz="4" w:space="0" w:color="4BACC6"/>
              <w:bottom w:val="single" w:sz="4" w:space="0" w:color="4BACC6"/>
              <w:right w:val="single" w:sz="4" w:space="0" w:color="4BACC6"/>
            </w:tcBorders>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ZGRADE KOMERCIJALNIH I</w:t>
            </w:r>
            <w:r w:rsidRPr="000063FC">
              <w:rPr>
                <w:rFonts w:asciiTheme="minorHAnsi" w:hAnsiTheme="minorHAnsi"/>
                <w:color w:val="000000"/>
                <w:sz w:val="20"/>
                <w:lang w:eastAsia="hr-HR"/>
              </w:rPr>
              <w:br/>
              <w:t>USLUŽNIH DJELATNOSTI</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603.096,8</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683.509,7</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683.550,7</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p>
        </w:tc>
      </w:tr>
      <w:tr w:rsidR="00F857FC" w:rsidRPr="000063FC" w:rsidTr="00032E38">
        <w:trPr>
          <w:trHeight w:val="227"/>
        </w:trPr>
        <w:tc>
          <w:tcPr>
            <w:tcW w:w="2552" w:type="dxa"/>
            <w:tcBorders>
              <w:top w:val="nil"/>
              <w:left w:val="single" w:sz="4" w:space="0" w:color="4BACC6"/>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STAMBENE ZGRADE - KUĆANSTVA</w:t>
            </w:r>
          </w:p>
        </w:tc>
        <w:tc>
          <w:tcPr>
            <w:tcW w:w="1276"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p>
        </w:tc>
        <w:tc>
          <w:tcPr>
            <w:tcW w:w="1275"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p>
        </w:tc>
        <w:tc>
          <w:tcPr>
            <w:tcW w:w="1276"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p>
        </w:tc>
        <w:tc>
          <w:tcPr>
            <w:tcW w:w="1134"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p>
        </w:tc>
        <w:tc>
          <w:tcPr>
            <w:tcW w:w="709"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p>
        </w:tc>
        <w:tc>
          <w:tcPr>
            <w:tcW w:w="1134"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p>
        </w:tc>
      </w:tr>
      <w:tr w:rsidR="00F857FC" w:rsidRPr="000063FC" w:rsidTr="00032E38">
        <w:trPr>
          <w:trHeight w:val="227"/>
        </w:trPr>
        <w:tc>
          <w:tcPr>
            <w:tcW w:w="2552" w:type="dxa"/>
            <w:tcBorders>
              <w:top w:val="nil"/>
              <w:left w:val="single" w:sz="4" w:space="0" w:color="4BACC6"/>
              <w:bottom w:val="single" w:sz="4" w:space="0" w:color="4BACC6"/>
              <w:right w:val="single" w:sz="4" w:space="0" w:color="4BACC6"/>
            </w:tcBorders>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KUĆANSTVA</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986.827,0</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1.052.244,0</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2.289.373,8</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211.970,9</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187.146,6</w:t>
            </w:r>
          </w:p>
        </w:tc>
      </w:tr>
      <w:tr w:rsidR="00F857FC" w:rsidRPr="000063FC" w:rsidTr="00032E38">
        <w:trPr>
          <w:trHeight w:val="227"/>
        </w:trPr>
        <w:tc>
          <w:tcPr>
            <w:tcW w:w="2552" w:type="dxa"/>
            <w:tcBorders>
              <w:top w:val="nil"/>
              <w:left w:val="single" w:sz="4" w:space="0" w:color="4BACC6"/>
              <w:bottom w:val="single" w:sz="4" w:space="0" w:color="4BACC6"/>
              <w:right w:val="single" w:sz="4" w:space="0" w:color="4BACC6"/>
            </w:tcBorders>
            <w:shd w:val="clear" w:color="000000" w:fill="DBEEF3"/>
            <w:vAlign w:val="bottom"/>
          </w:tcPr>
          <w:p w:rsidR="00F857FC" w:rsidRPr="000063FC" w:rsidRDefault="00F857FC" w:rsidP="00F857FC">
            <w:pPr>
              <w:spacing w:line="240" w:lineRule="auto"/>
              <w:jc w:val="left"/>
              <w:rPr>
                <w:rFonts w:asciiTheme="minorHAnsi" w:hAnsiTheme="minorHAnsi"/>
                <w:b/>
                <w:bCs/>
                <w:color w:val="000000"/>
                <w:sz w:val="20"/>
                <w:lang w:eastAsia="hr-HR"/>
              </w:rPr>
            </w:pPr>
          </w:p>
        </w:tc>
        <w:tc>
          <w:tcPr>
            <w:tcW w:w="1276"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center"/>
              <w:rPr>
                <w:rFonts w:asciiTheme="minorHAnsi" w:hAnsiTheme="minorHAnsi" w:cs="Arial"/>
                <w:b/>
                <w:bCs/>
                <w:color w:val="000000"/>
                <w:sz w:val="20"/>
              </w:rPr>
            </w:pPr>
          </w:p>
        </w:tc>
        <w:tc>
          <w:tcPr>
            <w:tcW w:w="1275"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center"/>
              <w:rPr>
                <w:rFonts w:asciiTheme="minorHAnsi" w:hAnsiTheme="minorHAnsi" w:cs="Arial"/>
                <w:b/>
                <w:bCs/>
                <w:color w:val="000000"/>
                <w:sz w:val="20"/>
              </w:rPr>
            </w:pPr>
          </w:p>
        </w:tc>
        <w:tc>
          <w:tcPr>
            <w:tcW w:w="1276"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center"/>
              <w:rPr>
                <w:rFonts w:asciiTheme="minorHAnsi" w:hAnsiTheme="minorHAnsi" w:cs="Arial"/>
                <w:b/>
                <w:bCs/>
                <w:color w:val="000000"/>
                <w:sz w:val="20"/>
              </w:rPr>
            </w:pPr>
          </w:p>
        </w:tc>
        <w:tc>
          <w:tcPr>
            <w:tcW w:w="1134"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center"/>
              <w:rPr>
                <w:rFonts w:asciiTheme="minorHAnsi" w:hAnsiTheme="minorHAnsi" w:cs="Arial"/>
                <w:b/>
                <w:bCs/>
                <w:color w:val="000000"/>
                <w:sz w:val="20"/>
              </w:rPr>
            </w:pPr>
          </w:p>
        </w:tc>
        <w:tc>
          <w:tcPr>
            <w:tcW w:w="709"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center"/>
              <w:rPr>
                <w:rFonts w:asciiTheme="minorHAnsi" w:hAnsiTheme="minorHAnsi" w:cs="Arial"/>
                <w:b/>
                <w:bCs/>
                <w:color w:val="000000"/>
                <w:sz w:val="20"/>
              </w:rPr>
            </w:pPr>
          </w:p>
        </w:tc>
        <w:tc>
          <w:tcPr>
            <w:tcW w:w="1134"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center"/>
              <w:rPr>
                <w:rFonts w:asciiTheme="minorHAnsi" w:hAnsiTheme="minorHAnsi" w:cs="Arial"/>
                <w:b/>
                <w:bCs/>
                <w:color w:val="000000"/>
                <w:sz w:val="20"/>
              </w:rPr>
            </w:pPr>
          </w:p>
        </w:tc>
      </w:tr>
      <w:tr w:rsidR="00F857FC" w:rsidRPr="000063FC" w:rsidTr="00032E38">
        <w:trPr>
          <w:trHeight w:val="227"/>
        </w:trPr>
        <w:tc>
          <w:tcPr>
            <w:tcW w:w="2552" w:type="dxa"/>
            <w:tcBorders>
              <w:top w:val="single" w:sz="4" w:space="0" w:color="4BACC6"/>
              <w:left w:val="single" w:sz="4" w:space="0" w:color="4BACC6"/>
              <w:bottom w:val="single" w:sz="4" w:space="0" w:color="4BACC6"/>
              <w:right w:val="single" w:sz="4" w:space="0" w:color="FFFFFF"/>
            </w:tcBorders>
            <w:shd w:val="clear" w:color="auto" w:fill="4BACC6"/>
            <w:vAlign w:val="center"/>
          </w:tcPr>
          <w:p w:rsidR="00F857FC" w:rsidRPr="000063FC" w:rsidRDefault="00F857FC" w:rsidP="00F857FC">
            <w:pPr>
              <w:spacing w:line="240" w:lineRule="auto"/>
              <w:jc w:val="center"/>
              <w:rPr>
                <w:rFonts w:asciiTheme="minorHAnsi" w:hAnsiTheme="minorHAnsi"/>
                <w:b/>
                <w:bCs/>
                <w:color w:val="FFFFFF" w:themeColor="background1"/>
                <w:sz w:val="20"/>
                <w:lang w:eastAsia="hr-HR"/>
              </w:rPr>
            </w:pPr>
            <w:r w:rsidRPr="000063FC">
              <w:rPr>
                <w:rFonts w:asciiTheme="minorHAnsi" w:hAnsiTheme="minorHAnsi"/>
                <w:b/>
                <w:bCs/>
                <w:color w:val="FFFFFF" w:themeColor="background1"/>
                <w:sz w:val="20"/>
                <w:lang w:eastAsia="hr-HR"/>
              </w:rPr>
              <w:t>UKUPNO</w:t>
            </w:r>
          </w:p>
        </w:tc>
        <w:tc>
          <w:tcPr>
            <w:tcW w:w="1276"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F857FC" w:rsidRPr="000063FC" w:rsidRDefault="00F857FC" w:rsidP="00F857F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1.732.630,8</w:t>
            </w:r>
          </w:p>
        </w:tc>
        <w:tc>
          <w:tcPr>
            <w:tcW w:w="1275"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F857FC" w:rsidRPr="000063FC" w:rsidRDefault="00F857FC" w:rsidP="00F857F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1.909.679,6</w:t>
            </w:r>
          </w:p>
        </w:tc>
        <w:tc>
          <w:tcPr>
            <w:tcW w:w="1276"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F857FC" w:rsidRPr="000063FC" w:rsidRDefault="00F857FC" w:rsidP="00F857F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3.156.357,9</w:t>
            </w:r>
          </w:p>
        </w:tc>
        <w:tc>
          <w:tcPr>
            <w:tcW w:w="1134"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F857FC" w:rsidRPr="000063FC" w:rsidRDefault="00F857FC" w:rsidP="00F857F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262.917</w:t>
            </w:r>
            <w:r w:rsidR="00A46A65" w:rsidRPr="000063FC">
              <w:rPr>
                <w:rFonts w:asciiTheme="minorHAnsi" w:hAnsiTheme="minorHAnsi" w:cs="Arial"/>
                <w:b/>
                <w:color w:val="FFFFFF" w:themeColor="background1"/>
                <w:sz w:val="20"/>
              </w:rPr>
              <w:t>,</w:t>
            </w:r>
          </w:p>
        </w:tc>
        <w:tc>
          <w:tcPr>
            <w:tcW w:w="709"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F857FC" w:rsidRPr="000063FC" w:rsidRDefault="00F857FC" w:rsidP="00F857F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257,9</w:t>
            </w:r>
          </w:p>
        </w:tc>
        <w:tc>
          <w:tcPr>
            <w:tcW w:w="1134" w:type="dxa"/>
            <w:tcBorders>
              <w:top w:val="single" w:sz="4" w:space="0" w:color="4BACC6"/>
              <w:left w:val="single" w:sz="4" w:space="0" w:color="FFFFFF"/>
              <w:bottom w:val="single" w:sz="4" w:space="0" w:color="4BACC6"/>
              <w:right w:val="single" w:sz="4" w:space="0" w:color="4BACC6"/>
            </w:tcBorders>
            <w:shd w:val="clear" w:color="auto" w:fill="4BACC6"/>
            <w:noWrap/>
            <w:vAlign w:val="center"/>
          </w:tcPr>
          <w:p w:rsidR="00F857FC" w:rsidRPr="000063FC" w:rsidRDefault="00F857FC" w:rsidP="00F857F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187.201</w:t>
            </w:r>
          </w:p>
        </w:tc>
      </w:tr>
    </w:tbl>
    <w:p w:rsidR="00F857FC" w:rsidRPr="000063FC" w:rsidRDefault="00F857FC" w:rsidP="00F857FC">
      <w:pPr>
        <w:pStyle w:val="Caption"/>
      </w:pPr>
    </w:p>
    <w:p w:rsidR="00F857FC" w:rsidRPr="000063FC" w:rsidRDefault="00F857FC" w:rsidP="00B33E2F">
      <w:pPr>
        <w:pStyle w:val="Heading6"/>
      </w:pPr>
      <w:r w:rsidRPr="000063FC">
        <w:br w:type="page"/>
      </w:r>
      <w:bookmarkStart w:id="216" w:name="_Toc251161361"/>
      <w:bookmarkStart w:id="217" w:name="_Toc254010261"/>
      <w:r w:rsidRPr="000063FC">
        <w:lastRenderedPageBreak/>
        <w:t>Tablica 3.5: Projekcija emisije CO</w:t>
      </w:r>
      <w:r w:rsidRPr="000063FC">
        <w:rPr>
          <w:vertAlign w:val="subscript"/>
        </w:rPr>
        <w:t>2</w:t>
      </w:r>
      <w:r w:rsidR="00C5197B" w:rsidRPr="000063FC">
        <w:t xml:space="preserve"> s</w:t>
      </w:r>
      <w:r w:rsidRPr="000063FC">
        <w:t>cenarija bez mjera sektora zgradarstvo</w:t>
      </w:r>
      <w:bookmarkEnd w:id="216"/>
      <w:bookmarkEnd w:id="217"/>
    </w:p>
    <w:tbl>
      <w:tblPr>
        <w:tblW w:w="9356" w:type="dxa"/>
        <w:tblInd w:w="108" w:type="dxa"/>
        <w:tblLayout w:type="fixed"/>
        <w:tblLook w:val="00A0" w:firstRow="1" w:lastRow="0" w:firstColumn="1" w:lastColumn="0" w:noHBand="0" w:noVBand="0"/>
      </w:tblPr>
      <w:tblGrid>
        <w:gridCol w:w="2552"/>
        <w:gridCol w:w="1276"/>
        <w:gridCol w:w="1275"/>
        <w:gridCol w:w="1276"/>
        <w:gridCol w:w="1134"/>
        <w:gridCol w:w="709"/>
        <w:gridCol w:w="1134"/>
      </w:tblGrid>
      <w:tr w:rsidR="00F857FC" w:rsidRPr="000063FC" w:rsidTr="00A46A65">
        <w:trPr>
          <w:trHeight w:val="227"/>
        </w:trPr>
        <w:tc>
          <w:tcPr>
            <w:tcW w:w="2552" w:type="dxa"/>
            <w:vMerge w:val="restart"/>
            <w:tcBorders>
              <w:top w:val="single" w:sz="4" w:space="0" w:color="4BACC6"/>
              <w:left w:val="single" w:sz="4" w:space="0" w:color="4BACC6"/>
              <w:bottom w:val="single" w:sz="4" w:space="0" w:color="4BACC6"/>
              <w:right w:val="single" w:sz="4" w:space="0" w:color="FFFFFF"/>
            </w:tcBorders>
            <w:shd w:val="clear" w:color="000000" w:fill="4BACC6"/>
            <w:noWrap/>
            <w:vAlign w:val="center"/>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KATEGORIJA</w:t>
            </w:r>
          </w:p>
        </w:tc>
        <w:tc>
          <w:tcPr>
            <w:tcW w:w="6804" w:type="dxa"/>
            <w:gridSpan w:val="6"/>
            <w:tcBorders>
              <w:top w:val="single" w:sz="4" w:space="0" w:color="4BACC6"/>
              <w:left w:val="nil"/>
              <w:bottom w:val="single" w:sz="4" w:space="0" w:color="FFFFFF"/>
              <w:right w:val="single" w:sz="4" w:space="0" w:color="4BACC6"/>
            </w:tcBorders>
            <w:shd w:val="clear" w:color="000000" w:fill="4BACC6"/>
            <w:noWrap/>
            <w:vAlign w:val="center"/>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Emisija t CO</w:t>
            </w:r>
            <w:r w:rsidRPr="000063FC">
              <w:rPr>
                <w:rFonts w:asciiTheme="minorHAnsi" w:hAnsiTheme="minorHAnsi"/>
                <w:b/>
                <w:bCs/>
                <w:color w:val="FFFFFF"/>
                <w:sz w:val="20"/>
                <w:vertAlign w:val="subscript"/>
                <w:lang w:eastAsia="hr-HR"/>
              </w:rPr>
              <w:t>2</w:t>
            </w:r>
            <w:r w:rsidRPr="000063FC">
              <w:rPr>
                <w:rFonts w:asciiTheme="minorHAnsi" w:hAnsiTheme="minorHAnsi"/>
                <w:b/>
                <w:bCs/>
                <w:color w:val="FFFFFF"/>
                <w:sz w:val="20"/>
                <w:lang w:eastAsia="hr-HR"/>
              </w:rPr>
              <w:t>, 2020.</w:t>
            </w:r>
          </w:p>
        </w:tc>
      </w:tr>
      <w:tr w:rsidR="00F857FC" w:rsidRPr="000063FC" w:rsidTr="00A46A65">
        <w:trPr>
          <w:trHeight w:val="227"/>
        </w:trPr>
        <w:tc>
          <w:tcPr>
            <w:tcW w:w="2552" w:type="dxa"/>
            <w:vMerge/>
            <w:tcBorders>
              <w:top w:val="single" w:sz="4" w:space="0" w:color="4BACC6"/>
              <w:left w:val="single" w:sz="4" w:space="0" w:color="4BACC6"/>
              <w:bottom w:val="single" w:sz="4" w:space="0" w:color="4BACC6"/>
              <w:right w:val="single" w:sz="4" w:space="0" w:color="FFFFFF"/>
            </w:tcBorders>
            <w:vAlign w:val="center"/>
          </w:tcPr>
          <w:p w:rsidR="00F857FC" w:rsidRPr="000063FC" w:rsidRDefault="00F857FC" w:rsidP="00F857FC">
            <w:pPr>
              <w:spacing w:line="240" w:lineRule="auto"/>
              <w:jc w:val="center"/>
              <w:rPr>
                <w:rFonts w:asciiTheme="minorHAnsi" w:hAnsiTheme="minorHAnsi"/>
                <w:b/>
                <w:bCs/>
                <w:color w:val="FFFFFF"/>
                <w:sz w:val="20"/>
                <w:lang w:eastAsia="hr-HR"/>
              </w:rPr>
            </w:pPr>
          </w:p>
        </w:tc>
        <w:tc>
          <w:tcPr>
            <w:tcW w:w="1276" w:type="dxa"/>
            <w:tcBorders>
              <w:top w:val="nil"/>
              <w:left w:val="nil"/>
              <w:bottom w:val="single" w:sz="4" w:space="0" w:color="4BACC6"/>
              <w:right w:val="single" w:sz="4" w:space="0" w:color="FFFFFF"/>
            </w:tcBorders>
            <w:shd w:val="clear" w:color="000000" w:fill="4BACC6"/>
            <w:vAlign w:val="center"/>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Električna energija</w:t>
            </w:r>
          </w:p>
        </w:tc>
        <w:tc>
          <w:tcPr>
            <w:tcW w:w="1275" w:type="dxa"/>
            <w:tcBorders>
              <w:top w:val="nil"/>
              <w:left w:val="nil"/>
              <w:bottom w:val="single" w:sz="4" w:space="0" w:color="4BACC6"/>
              <w:right w:val="single" w:sz="4" w:space="0" w:color="FFFFFF"/>
            </w:tcBorders>
            <w:shd w:val="clear" w:color="000000" w:fill="4BACC6"/>
            <w:vAlign w:val="center"/>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Toplinska energija</w:t>
            </w:r>
          </w:p>
        </w:tc>
        <w:tc>
          <w:tcPr>
            <w:tcW w:w="1276" w:type="dxa"/>
            <w:tcBorders>
              <w:top w:val="nil"/>
              <w:left w:val="nil"/>
              <w:bottom w:val="single" w:sz="4" w:space="0" w:color="4BACC6"/>
              <w:right w:val="single" w:sz="4" w:space="0" w:color="FFFFFF"/>
            </w:tcBorders>
            <w:shd w:val="clear" w:color="000000" w:fill="4BACC6"/>
            <w:vAlign w:val="center"/>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Prirodni plin</w:t>
            </w:r>
          </w:p>
        </w:tc>
        <w:tc>
          <w:tcPr>
            <w:tcW w:w="1134" w:type="dxa"/>
            <w:tcBorders>
              <w:top w:val="nil"/>
              <w:left w:val="nil"/>
              <w:bottom w:val="single" w:sz="4" w:space="0" w:color="4BACC6"/>
              <w:right w:val="single" w:sz="4" w:space="0" w:color="FFFFFF"/>
            </w:tcBorders>
            <w:shd w:val="clear" w:color="000000" w:fill="4BACC6"/>
            <w:vAlign w:val="center"/>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Lož ulje</w:t>
            </w:r>
          </w:p>
        </w:tc>
        <w:tc>
          <w:tcPr>
            <w:tcW w:w="709" w:type="dxa"/>
            <w:tcBorders>
              <w:top w:val="nil"/>
              <w:left w:val="nil"/>
              <w:bottom w:val="single" w:sz="4" w:space="0" w:color="4BACC6"/>
              <w:right w:val="single" w:sz="4" w:space="0" w:color="FFFFFF"/>
            </w:tcBorders>
            <w:shd w:val="clear" w:color="000000" w:fill="4BACC6"/>
            <w:vAlign w:val="center"/>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UNP</w:t>
            </w:r>
          </w:p>
        </w:tc>
        <w:tc>
          <w:tcPr>
            <w:tcW w:w="1134" w:type="dxa"/>
            <w:tcBorders>
              <w:top w:val="nil"/>
              <w:left w:val="nil"/>
              <w:bottom w:val="single" w:sz="4" w:space="0" w:color="4BACC6"/>
              <w:right w:val="single" w:sz="4" w:space="0" w:color="4BACC6"/>
            </w:tcBorders>
            <w:shd w:val="clear" w:color="000000" w:fill="4BACC6"/>
            <w:vAlign w:val="center"/>
          </w:tcPr>
          <w:p w:rsidR="00F857FC" w:rsidRPr="000063FC" w:rsidRDefault="00F857FC" w:rsidP="00F857F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Ukupno</w:t>
            </w:r>
          </w:p>
        </w:tc>
      </w:tr>
      <w:tr w:rsidR="00F857FC" w:rsidRPr="000063FC" w:rsidTr="00A46A65">
        <w:trPr>
          <w:trHeight w:val="227"/>
        </w:trPr>
        <w:tc>
          <w:tcPr>
            <w:tcW w:w="2552" w:type="dxa"/>
            <w:tcBorders>
              <w:top w:val="nil"/>
              <w:left w:val="single" w:sz="4" w:space="0" w:color="4BACC6"/>
              <w:bottom w:val="single" w:sz="4" w:space="0" w:color="4BACC6"/>
              <w:right w:val="single" w:sz="4" w:space="0" w:color="4BACC6"/>
            </w:tcBorders>
            <w:shd w:val="clear" w:color="000000" w:fill="DBEEF3"/>
            <w:noWrap/>
            <w:vAlign w:val="bottom"/>
          </w:tcPr>
          <w:p w:rsidR="00F857FC" w:rsidRPr="000063FC" w:rsidRDefault="00F857FC" w:rsidP="00F857FC">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STAMBENE I JAVNE ZGRADE U VLASNIŠTVU GRADA</w:t>
            </w:r>
          </w:p>
        </w:tc>
        <w:tc>
          <w:tcPr>
            <w:tcW w:w="1276" w:type="dxa"/>
            <w:tcBorders>
              <w:top w:val="nil"/>
              <w:left w:val="nil"/>
              <w:bottom w:val="single" w:sz="4" w:space="0" w:color="4BACC6"/>
              <w:right w:val="single" w:sz="4" w:space="0" w:color="4BACC6"/>
            </w:tcBorders>
            <w:shd w:val="clear" w:color="000000" w:fill="DBEEF3"/>
            <w:noWrap/>
            <w:vAlign w:val="bottom"/>
          </w:tcPr>
          <w:p w:rsidR="00F857FC" w:rsidRPr="000063FC" w:rsidRDefault="00F857FC" w:rsidP="00F857FC">
            <w:pPr>
              <w:spacing w:line="240" w:lineRule="auto"/>
              <w:rPr>
                <w:rFonts w:asciiTheme="minorHAnsi" w:hAnsiTheme="minorHAnsi"/>
                <w:b/>
                <w:bCs/>
                <w:color w:val="000000"/>
                <w:sz w:val="20"/>
                <w:lang w:eastAsia="hr-HR"/>
              </w:rPr>
            </w:pPr>
            <w:r w:rsidRPr="000063FC">
              <w:rPr>
                <w:rFonts w:asciiTheme="minorHAnsi" w:hAnsiTheme="minorHAnsi"/>
                <w:b/>
                <w:bCs/>
                <w:color w:val="000000"/>
                <w:sz w:val="20"/>
                <w:lang w:eastAsia="hr-HR"/>
              </w:rPr>
              <w:t> </w:t>
            </w:r>
          </w:p>
        </w:tc>
        <w:tc>
          <w:tcPr>
            <w:tcW w:w="1275" w:type="dxa"/>
            <w:tcBorders>
              <w:top w:val="nil"/>
              <w:left w:val="nil"/>
              <w:bottom w:val="single" w:sz="4" w:space="0" w:color="4BACC6"/>
              <w:right w:val="single" w:sz="4" w:space="0" w:color="4BACC6"/>
            </w:tcBorders>
            <w:shd w:val="clear" w:color="000000" w:fill="DBEEF3"/>
            <w:noWrap/>
            <w:vAlign w:val="bottom"/>
          </w:tcPr>
          <w:p w:rsidR="00F857FC" w:rsidRPr="000063FC" w:rsidRDefault="00F857FC" w:rsidP="00F857FC">
            <w:pPr>
              <w:spacing w:line="240" w:lineRule="auto"/>
              <w:rPr>
                <w:rFonts w:asciiTheme="minorHAnsi" w:hAnsiTheme="minorHAnsi"/>
                <w:b/>
                <w:bCs/>
                <w:color w:val="000000"/>
                <w:sz w:val="20"/>
                <w:lang w:eastAsia="hr-HR"/>
              </w:rPr>
            </w:pPr>
            <w:r w:rsidRPr="000063FC">
              <w:rPr>
                <w:rFonts w:asciiTheme="minorHAnsi" w:hAnsiTheme="minorHAnsi"/>
                <w:b/>
                <w:bCs/>
                <w:color w:val="000000"/>
                <w:sz w:val="20"/>
                <w:lang w:eastAsia="hr-HR"/>
              </w:rPr>
              <w:t> </w:t>
            </w:r>
          </w:p>
        </w:tc>
        <w:tc>
          <w:tcPr>
            <w:tcW w:w="1276" w:type="dxa"/>
            <w:tcBorders>
              <w:top w:val="nil"/>
              <w:left w:val="nil"/>
              <w:bottom w:val="single" w:sz="4" w:space="0" w:color="4BACC6"/>
              <w:right w:val="single" w:sz="4" w:space="0" w:color="4BACC6"/>
            </w:tcBorders>
            <w:shd w:val="clear" w:color="000000" w:fill="DBEEF3"/>
            <w:noWrap/>
            <w:vAlign w:val="bottom"/>
          </w:tcPr>
          <w:p w:rsidR="00F857FC" w:rsidRPr="000063FC" w:rsidRDefault="00F857FC" w:rsidP="00F857FC">
            <w:pPr>
              <w:spacing w:line="240" w:lineRule="auto"/>
              <w:rPr>
                <w:rFonts w:asciiTheme="minorHAnsi" w:hAnsiTheme="minorHAnsi"/>
                <w:b/>
                <w:bCs/>
                <w:color w:val="000000"/>
                <w:sz w:val="20"/>
                <w:lang w:eastAsia="hr-HR"/>
              </w:rPr>
            </w:pPr>
            <w:r w:rsidRPr="000063FC">
              <w:rPr>
                <w:rFonts w:asciiTheme="minorHAnsi" w:hAnsiTheme="minorHAnsi"/>
                <w:b/>
                <w:bCs/>
                <w:color w:val="000000"/>
                <w:sz w:val="20"/>
                <w:lang w:eastAsia="hr-HR"/>
              </w:rPr>
              <w:t> </w:t>
            </w:r>
          </w:p>
        </w:tc>
        <w:tc>
          <w:tcPr>
            <w:tcW w:w="1134" w:type="dxa"/>
            <w:tcBorders>
              <w:top w:val="nil"/>
              <w:left w:val="nil"/>
              <w:bottom w:val="single" w:sz="4" w:space="0" w:color="4BACC6"/>
              <w:right w:val="single" w:sz="4" w:space="0" w:color="4BACC6"/>
            </w:tcBorders>
            <w:shd w:val="clear" w:color="000000" w:fill="DBEEF3"/>
            <w:noWrap/>
            <w:vAlign w:val="bottom"/>
          </w:tcPr>
          <w:p w:rsidR="00F857FC" w:rsidRPr="000063FC" w:rsidRDefault="00F857FC" w:rsidP="00F857FC">
            <w:pPr>
              <w:spacing w:line="240" w:lineRule="auto"/>
              <w:rPr>
                <w:rFonts w:asciiTheme="minorHAnsi" w:hAnsiTheme="minorHAnsi"/>
                <w:b/>
                <w:bCs/>
                <w:color w:val="000000"/>
                <w:sz w:val="20"/>
                <w:lang w:eastAsia="hr-HR"/>
              </w:rPr>
            </w:pPr>
            <w:r w:rsidRPr="000063FC">
              <w:rPr>
                <w:rFonts w:asciiTheme="minorHAnsi" w:hAnsiTheme="minorHAnsi"/>
                <w:b/>
                <w:bCs/>
                <w:color w:val="000000"/>
                <w:sz w:val="20"/>
                <w:lang w:eastAsia="hr-HR"/>
              </w:rPr>
              <w:t> </w:t>
            </w:r>
          </w:p>
        </w:tc>
        <w:tc>
          <w:tcPr>
            <w:tcW w:w="709" w:type="dxa"/>
            <w:tcBorders>
              <w:top w:val="nil"/>
              <w:left w:val="nil"/>
              <w:bottom w:val="single" w:sz="4" w:space="0" w:color="4BACC6"/>
              <w:right w:val="single" w:sz="4" w:space="0" w:color="4BACC6"/>
            </w:tcBorders>
            <w:shd w:val="clear" w:color="000000" w:fill="DBEEF3"/>
            <w:noWrap/>
            <w:vAlign w:val="bottom"/>
          </w:tcPr>
          <w:p w:rsidR="00F857FC" w:rsidRPr="000063FC" w:rsidRDefault="00F857FC" w:rsidP="00F857FC">
            <w:pPr>
              <w:spacing w:line="240" w:lineRule="auto"/>
              <w:rPr>
                <w:rFonts w:asciiTheme="minorHAnsi" w:hAnsiTheme="minorHAnsi"/>
                <w:b/>
                <w:bCs/>
                <w:color w:val="000000"/>
                <w:sz w:val="20"/>
                <w:lang w:eastAsia="hr-HR"/>
              </w:rPr>
            </w:pPr>
            <w:r w:rsidRPr="000063FC">
              <w:rPr>
                <w:rFonts w:asciiTheme="minorHAnsi" w:hAnsiTheme="minorHAnsi"/>
                <w:b/>
                <w:bCs/>
                <w:color w:val="000000"/>
                <w:sz w:val="20"/>
                <w:lang w:eastAsia="hr-HR"/>
              </w:rPr>
              <w:t> </w:t>
            </w:r>
          </w:p>
        </w:tc>
        <w:tc>
          <w:tcPr>
            <w:tcW w:w="1134" w:type="dxa"/>
            <w:tcBorders>
              <w:top w:val="nil"/>
              <w:left w:val="nil"/>
              <w:bottom w:val="single" w:sz="4" w:space="0" w:color="4BACC6"/>
              <w:right w:val="single" w:sz="4" w:space="0" w:color="4BACC6"/>
            </w:tcBorders>
            <w:shd w:val="clear" w:color="000000" w:fill="DBEEF3"/>
            <w:noWrap/>
            <w:vAlign w:val="bottom"/>
          </w:tcPr>
          <w:p w:rsidR="00F857FC" w:rsidRPr="000063FC" w:rsidRDefault="00F857FC" w:rsidP="00F857FC">
            <w:pPr>
              <w:spacing w:line="240" w:lineRule="auto"/>
              <w:rPr>
                <w:rFonts w:asciiTheme="minorHAnsi" w:hAnsiTheme="minorHAnsi"/>
                <w:b/>
                <w:bCs/>
                <w:color w:val="000000"/>
                <w:sz w:val="20"/>
                <w:lang w:eastAsia="hr-HR"/>
              </w:rPr>
            </w:pPr>
            <w:r w:rsidRPr="000063FC">
              <w:rPr>
                <w:rFonts w:asciiTheme="minorHAnsi" w:hAnsiTheme="minorHAnsi"/>
                <w:b/>
                <w:bCs/>
                <w:color w:val="000000"/>
                <w:sz w:val="20"/>
                <w:lang w:eastAsia="hr-HR"/>
              </w:rPr>
              <w:t> </w:t>
            </w:r>
          </w:p>
        </w:tc>
      </w:tr>
      <w:tr w:rsidR="00F857FC" w:rsidRPr="000063FC" w:rsidTr="00A46A65">
        <w:trPr>
          <w:trHeight w:val="227"/>
        </w:trPr>
        <w:tc>
          <w:tcPr>
            <w:tcW w:w="2552" w:type="dxa"/>
            <w:tcBorders>
              <w:top w:val="nil"/>
              <w:left w:val="single" w:sz="4" w:space="0" w:color="4BACC6"/>
              <w:bottom w:val="single" w:sz="4" w:space="0" w:color="4BACC6"/>
              <w:right w:val="single" w:sz="4" w:space="0" w:color="4BACC6"/>
            </w:tcBorders>
            <w:noWrap/>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ŠKOLSTVO</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24.655,2</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59.155,7</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50.130,3</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40.715,4</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F857FC" w:rsidRPr="000063FC" w:rsidTr="00A46A65">
        <w:trPr>
          <w:trHeight w:val="227"/>
        </w:trPr>
        <w:tc>
          <w:tcPr>
            <w:tcW w:w="2552" w:type="dxa"/>
            <w:tcBorders>
              <w:top w:val="nil"/>
              <w:left w:val="single" w:sz="4" w:space="0" w:color="4BACC6"/>
              <w:bottom w:val="single" w:sz="4" w:space="0" w:color="4BACC6"/>
              <w:right w:val="single" w:sz="4" w:space="0" w:color="4BACC6"/>
            </w:tcBorders>
            <w:noWrap/>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ZDRAVSTVO</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19.886,5</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44.692,2</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49.350,4</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170,4</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F857FC" w:rsidRPr="000063FC" w:rsidTr="00A46A65">
        <w:trPr>
          <w:trHeight w:val="227"/>
        </w:trPr>
        <w:tc>
          <w:tcPr>
            <w:tcW w:w="2552" w:type="dxa"/>
            <w:tcBorders>
              <w:top w:val="nil"/>
              <w:left w:val="single" w:sz="4" w:space="0" w:color="4BACC6"/>
              <w:bottom w:val="single" w:sz="4" w:space="0" w:color="4BACC6"/>
              <w:right w:val="single" w:sz="4" w:space="0" w:color="4BACC6"/>
            </w:tcBorders>
            <w:noWrap/>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UPRAVA</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5.746,5</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7.918,0</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6.221,6</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4.714,4</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F857FC" w:rsidRPr="000063FC" w:rsidTr="00A46A65">
        <w:trPr>
          <w:trHeight w:val="227"/>
        </w:trPr>
        <w:tc>
          <w:tcPr>
            <w:tcW w:w="2552" w:type="dxa"/>
            <w:tcBorders>
              <w:top w:val="nil"/>
              <w:left w:val="single" w:sz="4" w:space="0" w:color="4BACC6"/>
              <w:bottom w:val="single" w:sz="4" w:space="0" w:color="4BACC6"/>
              <w:right w:val="single" w:sz="4" w:space="0" w:color="4BACC6"/>
            </w:tcBorders>
            <w:noWrap/>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KULTURA</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6.939,6</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193,0</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20.657,5</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F857FC" w:rsidRPr="000063FC" w:rsidTr="00A46A65">
        <w:trPr>
          <w:trHeight w:val="227"/>
        </w:trPr>
        <w:tc>
          <w:tcPr>
            <w:tcW w:w="2552" w:type="dxa"/>
            <w:tcBorders>
              <w:top w:val="nil"/>
              <w:left w:val="single" w:sz="4" w:space="0" w:color="4BACC6"/>
              <w:bottom w:val="single" w:sz="4" w:space="0" w:color="4BACC6"/>
              <w:right w:val="single" w:sz="4" w:space="0" w:color="4BACC6"/>
            </w:tcBorders>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POSLOVNI PROSTORI I</w:t>
            </w:r>
            <w:r w:rsidRPr="000063FC">
              <w:rPr>
                <w:rFonts w:asciiTheme="minorHAnsi" w:hAnsiTheme="minorHAnsi"/>
                <w:color w:val="000000"/>
                <w:sz w:val="20"/>
                <w:lang w:eastAsia="hr-HR"/>
              </w:rPr>
              <w:br/>
              <w:t>STANOVI U VLASNIŠTVU GRADA</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18.344,3</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20.133,0</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24.167,0</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F857FC" w:rsidRPr="000063FC" w:rsidTr="00A46A65">
        <w:trPr>
          <w:trHeight w:val="227"/>
        </w:trPr>
        <w:tc>
          <w:tcPr>
            <w:tcW w:w="2552" w:type="dxa"/>
            <w:tcBorders>
              <w:top w:val="nil"/>
              <w:left w:val="single" w:sz="4" w:space="0" w:color="4BACC6"/>
              <w:bottom w:val="single" w:sz="4" w:space="0" w:color="4BACC6"/>
              <w:right w:val="single" w:sz="4" w:space="0" w:color="4BACC6"/>
            </w:tcBorders>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ZGRADE ČLANICA ZAGREBAČKOG HOLDINGA</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68.300,0</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43.118,0</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34.305,5</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5.345,8</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257,9</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54,4</w:t>
            </w:r>
          </w:p>
        </w:tc>
      </w:tr>
      <w:tr w:rsidR="00F857FC" w:rsidRPr="000063FC" w:rsidTr="00A46A65">
        <w:trPr>
          <w:trHeight w:val="227"/>
        </w:trPr>
        <w:tc>
          <w:tcPr>
            <w:tcW w:w="2552" w:type="dxa"/>
            <w:tcBorders>
              <w:top w:val="nil"/>
              <w:left w:val="single" w:sz="4" w:space="0" w:color="4BACC6"/>
              <w:bottom w:val="single" w:sz="4" w:space="0" w:color="4BACC6"/>
              <w:right w:val="single" w:sz="4" w:space="0" w:color="4BACC6"/>
            </w:tcBorders>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UKUPNO:</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143.872,0</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175.209,9</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184.832,4</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50.946,1</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257,9</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54,4</w:t>
            </w:r>
          </w:p>
        </w:tc>
      </w:tr>
      <w:tr w:rsidR="00F857FC" w:rsidRPr="000063FC" w:rsidTr="00A46A65">
        <w:trPr>
          <w:trHeight w:val="227"/>
        </w:trPr>
        <w:tc>
          <w:tcPr>
            <w:tcW w:w="2552" w:type="dxa"/>
            <w:tcBorders>
              <w:top w:val="nil"/>
              <w:left w:val="single" w:sz="4" w:space="0" w:color="4BACC6"/>
              <w:bottom w:val="single" w:sz="4" w:space="0" w:color="4BACC6"/>
              <w:right w:val="single" w:sz="4" w:space="0" w:color="4BACC6"/>
            </w:tcBorders>
            <w:shd w:val="clear" w:color="000000" w:fill="DBEEF3"/>
            <w:vAlign w:val="bottom"/>
          </w:tcPr>
          <w:p w:rsidR="00F857FC" w:rsidRPr="000063FC" w:rsidRDefault="00F857FC" w:rsidP="00F857FC">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ZGRADE KOMERCIJALNIH I USLUŽNIH DJELATNOSTI</w:t>
            </w:r>
          </w:p>
        </w:tc>
        <w:tc>
          <w:tcPr>
            <w:tcW w:w="1276"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1275"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1276"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709"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r>
      <w:tr w:rsidR="00F857FC" w:rsidRPr="000063FC" w:rsidTr="00A46A65">
        <w:trPr>
          <w:trHeight w:val="227"/>
        </w:trPr>
        <w:tc>
          <w:tcPr>
            <w:tcW w:w="2552" w:type="dxa"/>
            <w:tcBorders>
              <w:top w:val="nil"/>
              <w:left w:val="single" w:sz="4" w:space="0" w:color="4BACC6"/>
              <w:bottom w:val="single" w:sz="4" w:space="0" w:color="4BACC6"/>
              <w:right w:val="single" w:sz="4" w:space="0" w:color="4BACC6"/>
            </w:tcBorders>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ZGRADE KOMERCIJALNIH I</w:t>
            </w:r>
            <w:r w:rsidRPr="000063FC">
              <w:rPr>
                <w:rFonts w:asciiTheme="minorHAnsi" w:hAnsiTheme="minorHAnsi"/>
                <w:color w:val="000000"/>
                <w:sz w:val="20"/>
                <w:lang w:eastAsia="hr-HR"/>
              </w:rPr>
              <w:br/>
              <w:t>USLUŽNIH DJELATNOSTI</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645.044,8</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704.483,7</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704.524,7</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F857FC" w:rsidRPr="000063FC" w:rsidTr="00A46A65">
        <w:trPr>
          <w:trHeight w:val="227"/>
        </w:trPr>
        <w:tc>
          <w:tcPr>
            <w:tcW w:w="2552" w:type="dxa"/>
            <w:tcBorders>
              <w:top w:val="nil"/>
              <w:left w:val="single" w:sz="4" w:space="0" w:color="4BACC6"/>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STAMBENE ZGRADE - KUĆANSTVA</w:t>
            </w:r>
          </w:p>
        </w:tc>
        <w:tc>
          <w:tcPr>
            <w:tcW w:w="1276"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1275"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1276"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709"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r>
      <w:tr w:rsidR="00F857FC" w:rsidRPr="000063FC" w:rsidTr="00A46A65">
        <w:trPr>
          <w:trHeight w:val="227"/>
        </w:trPr>
        <w:tc>
          <w:tcPr>
            <w:tcW w:w="2552" w:type="dxa"/>
            <w:tcBorders>
              <w:top w:val="nil"/>
              <w:left w:val="single" w:sz="4" w:space="0" w:color="4BACC6"/>
              <w:bottom w:val="single" w:sz="4" w:space="0" w:color="4BACC6"/>
              <w:right w:val="single" w:sz="4" w:space="0" w:color="4BACC6"/>
            </w:tcBorders>
            <w:vAlign w:val="bottom"/>
          </w:tcPr>
          <w:p w:rsidR="00F857FC" w:rsidRPr="000063FC" w:rsidRDefault="00F857FC" w:rsidP="00F857F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KUĆANSTVA</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1.008.013,0</w:t>
            </w:r>
          </w:p>
        </w:tc>
        <w:tc>
          <w:tcPr>
            <w:tcW w:w="1275"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1.073.453,0</w:t>
            </w:r>
          </w:p>
        </w:tc>
        <w:tc>
          <w:tcPr>
            <w:tcW w:w="1276"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2.312.766,8</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211.970,9</w:t>
            </w:r>
          </w:p>
        </w:tc>
        <w:tc>
          <w:tcPr>
            <w:tcW w:w="709"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34" w:type="dxa"/>
            <w:tcBorders>
              <w:top w:val="nil"/>
              <w:left w:val="nil"/>
              <w:bottom w:val="single" w:sz="4" w:space="0" w:color="4BACC6"/>
              <w:right w:val="single" w:sz="4" w:space="0" w:color="4BACC6"/>
            </w:tcBorders>
            <w:noWrap/>
            <w:vAlign w:val="center"/>
          </w:tcPr>
          <w:p w:rsidR="00F857FC" w:rsidRPr="000063FC" w:rsidRDefault="00F857FC" w:rsidP="00F857F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187.146,6</w:t>
            </w:r>
          </w:p>
        </w:tc>
      </w:tr>
      <w:tr w:rsidR="00F857FC" w:rsidRPr="000063FC" w:rsidTr="00A46A65">
        <w:trPr>
          <w:trHeight w:val="227"/>
        </w:trPr>
        <w:tc>
          <w:tcPr>
            <w:tcW w:w="2552" w:type="dxa"/>
            <w:tcBorders>
              <w:top w:val="nil"/>
              <w:left w:val="single" w:sz="4" w:space="0" w:color="4BACC6"/>
              <w:bottom w:val="single" w:sz="4" w:space="0" w:color="4BACC6"/>
              <w:right w:val="single" w:sz="4" w:space="0" w:color="4BACC6"/>
            </w:tcBorders>
            <w:shd w:val="clear" w:color="000000" w:fill="DBEEF3"/>
            <w:vAlign w:val="bottom"/>
          </w:tcPr>
          <w:p w:rsidR="00F857FC" w:rsidRPr="000063FC" w:rsidRDefault="00F857FC" w:rsidP="00F857FC">
            <w:pPr>
              <w:spacing w:line="240" w:lineRule="auto"/>
              <w:jc w:val="left"/>
              <w:rPr>
                <w:rFonts w:asciiTheme="minorHAnsi" w:hAnsiTheme="minorHAnsi"/>
                <w:b/>
                <w:bCs/>
                <w:color w:val="000000"/>
                <w:sz w:val="20"/>
                <w:lang w:eastAsia="hr-HR"/>
              </w:rPr>
            </w:pPr>
          </w:p>
        </w:tc>
        <w:tc>
          <w:tcPr>
            <w:tcW w:w="1276"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1275"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1276"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709"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center"/>
          </w:tcPr>
          <w:p w:rsidR="00F857FC" w:rsidRPr="000063FC" w:rsidRDefault="00F857FC" w:rsidP="00F857FC">
            <w:pPr>
              <w:spacing w:line="240" w:lineRule="auto"/>
              <w:jc w:val="right"/>
              <w:rPr>
                <w:rFonts w:asciiTheme="minorHAnsi" w:hAnsiTheme="minorHAnsi" w:cs="Arial"/>
                <w:b/>
                <w:bCs/>
                <w:color w:val="000000"/>
                <w:sz w:val="20"/>
              </w:rPr>
            </w:pPr>
            <w:r w:rsidRPr="000063FC">
              <w:rPr>
                <w:rFonts w:asciiTheme="minorHAnsi" w:hAnsiTheme="minorHAnsi" w:cs="Arial"/>
                <w:b/>
                <w:bCs/>
                <w:color w:val="000000"/>
                <w:sz w:val="20"/>
              </w:rPr>
              <w:t> </w:t>
            </w:r>
          </w:p>
        </w:tc>
      </w:tr>
      <w:tr w:rsidR="00F857FC" w:rsidRPr="000063FC" w:rsidTr="00A46A65">
        <w:trPr>
          <w:trHeight w:val="227"/>
        </w:trPr>
        <w:tc>
          <w:tcPr>
            <w:tcW w:w="2552" w:type="dxa"/>
            <w:tcBorders>
              <w:top w:val="single" w:sz="4" w:space="0" w:color="4BACC6"/>
              <w:left w:val="single" w:sz="4" w:space="0" w:color="4BACC6"/>
              <w:bottom w:val="single" w:sz="4" w:space="0" w:color="4BACC6"/>
              <w:right w:val="single" w:sz="4" w:space="0" w:color="FFFFFF"/>
            </w:tcBorders>
            <w:shd w:val="clear" w:color="auto" w:fill="4BACC6"/>
            <w:vAlign w:val="center"/>
          </w:tcPr>
          <w:p w:rsidR="00F857FC" w:rsidRPr="000063FC" w:rsidRDefault="00F857FC" w:rsidP="00F857FC">
            <w:pPr>
              <w:spacing w:line="240" w:lineRule="auto"/>
              <w:jc w:val="center"/>
              <w:rPr>
                <w:rFonts w:asciiTheme="minorHAnsi" w:hAnsiTheme="minorHAnsi"/>
                <w:b/>
                <w:bCs/>
                <w:color w:val="FFFFFF" w:themeColor="background1"/>
                <w:sz w:val="20"/>
                <w:lang w:eastAsia="hr-HR"/>
              </w:rPr>
            </w:pPr>
            <w:r w:rsidRPr="000063FC">
              <w:rPr>
                <w:rFonts w:asciiTheme="minorHAnsi" w:hAnsiTheme="minorHAnsi"/>
                <w:b/>
                <w:bCs/>
                <w:color w:val="FFFFFF" w:themeColor="background1"/>
                <w:sz w:val="20"/>
                <w:lang w:eastAsia="hr-HR"/>
              </w:rPr>
              <w:t>UKUPNO</w:t>
            </w:r>
          </w:p>
        </w:tc>
        <w:tc>
          <w:tcPr>
            <w:tcW w:w="1276"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F857FC" w:rsidRPr="000063FC" w:rsidRDefault="00F857FC" w:rsidP="00F857FC">
            <w:pPr>
              <w:spacing w:line="240" w:lineRule="auto"/>
              <w:jc w:val="right"/>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1.796.929,8</w:t>
            </w:r>
          </w:p>
        </w:tc>
        <w:tc>
          <w:tcPr>
            <w:tcW w:w="1275"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F857FC" w:rsidRPr="000063FC" w:rsidRDefault="00F857FC" w:rsidP="00F857FC">
            <w:pPr>
              <w:spacing w:line="240" w:lineRule="auto"/>
              <w:jc w:val="right"/>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1.953.146,6</w:t>
            </w:r>
          </w:p>
        </w:tc>
        <w:tc>
          <w:tcPr>
            <w:tcW w:w="1276"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F857FC" w:rsidRPr="000063FC" w:rsidRDefault="00F857FC" w:rsidP="00F857FC">
            <w:pPr>
              <w:spacing w:line="240" w:lineRule="auto"/>
              <w:jc w:val="right"/>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3.202.123,9</w:t>
            </w:r>
          </w:p>
        </w:tc>
        <w:tc>
          <w:tcPr>
            <w:tcW w:w="1134"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F857FC" w:rsidRPr="000063FC" w:rsidRDefault="00F857FC" w:rsidP="00F857FC">
            <w:pPr>
              <w:spacing w:line="240" w:lineRule="auto"/>
              <w:jc w:val="right"/>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262.917,0</w:t>
            </w:r>
          </w:p>
        </w:tc>
        <w:tc>
          <w:tcPr>
            <w:tcW w:w="709"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F857FC" w:rsidRPr="000063FC" w:rsidRDefault="00F857FC" w:rsidP="00F857FC">
            <w:pPr>
              <w:spacing w:line="240" w:lineRule="auto"/>
              <w:jc w:val="right"/>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257,9</w:t>
            </w:r>
          </w:p>
        </w:tc>
        <w:tc>
          <w:tcPr>
            <w:tcW w:w="1134" w:type="dxa"/>
            <w:tcBorders>
              <w:top w:val="single" w:sz="4" w:space="0" w:color="4BACC6"/>
              <w:left w:val="single" w:sz="4" w:space="0" w:color="FFFFFF"/>
              <w:bottom w:val="single" w:sz="4" w:space="0" w:color="4BACC6"/>
              <w:right w:val="single" w:sz="4" w:space="0" w:color="4BACC6"/>
            </w:tcBorders>
            <w:shd w:val="clear" w:color="auto" w:fill="4BACC6"/>
            <w:noWrap/>
            <w:vAlign w:val="center"/>
          </w:tcPr>
          <w:p w:rsidR="00F857FC" w:rsidRPr="000063FC" w:rsidRDefault="00F857FC" w:rsidP="00F857FC">
            <w:pPr>
              <w:spacing w:line="240" w:lineRule="auto"/>
              <w:jc w:val="right"/>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187.201,0</w:t>
            </w:r>
          </w:p>
        </w:tc>
      </w:tr>
    </w:tbl>
    <w:p w:rsidR="00F857FC" w:rsidRPr="000063FC" w:rsidRDefault="00F857FC">
      <w:pPr>
        <w:tabs>
          <w:tab w:val="clear" w:pos="720"/>
          <w:tab w:val="clear" w:pos="6912"/>
        </w:tabs>
        <w:spacing w:line="240" w:lineRule="auto"/>
        <w:jc w:val="left"/>
        <w:rPr>
          <w:szCs w:val="22"/>
        </w:rPr>
      </w:pPr>
    </w:p>
    <w:p w:rsidR="00BC62E2" w:rsidRPr="000063FC" w:rsidRDefault="00A46A65" w:rsidP="00C5197B">
      <w:pPr>
        <w:tabs>
          <w:tab w:val="clear" w:pos="720"/>
          <w:tab w:val="clear" w:pos="6912"/>
        </w:tabs>
        <w:spacing w:line="276" w:lineRule="auto"/>
        <w:rPr>
          <w:szCs w:val="22"/>
        </w:rPr>
      </w:pPr>
      <w:r w:rsidRPr="000063FC">
        <w:t xml:space="preserve">Scenarij s mjerama kreiran je na način da su u obzir uzete mjere koje je bilo moguće kvantificirati. </w:t>
      </w:r>
      <w:r w:rsidR="00E17A29" w:rsidRPr="000063FC">
        <w:t>Detaljan</w:t>
      </w:r>
      <w:r w:rsidRPr="000063FC">
        <w:t xml:space="preserve"> prikaz predloženih mjera i njihov učinak na smanjenje emisije CO</w:t>
      </w:r>
      <w:r w:rsidRPr="000063FC">
        <w:rPr>
          <w:vertAlign w:val="subscript"/>
        </w:rPr>
        <w:t>2</w:t>
      </w:r>
      <w:r w:rsidRPr="000063FC">
        <w:t xml:space="preserve"> u pojedinom podsektoru, </w:t>
      </w:r>
      <w:r w:rsidR="00E17A29" w:rsidRPr="000063FC">
        <w:t>kategoriji</w:t>
      </w:r>
      <w:r w:rsidRPr="000063FC">
        <w:t xml:space="preserve"> i potkategoriji dan je u poglavlju 6. Emisija </w:t>
      </w:r>
      <w:r w:rsidR="00032E38">
        <w:t>s</w:t>
      </w:r>
      <w:r w:rsidRPr="000063FC">
        <w:t>c</w:t>
      </w:r>
      <w:r w:rsidR="00032E38">
        <w:t>enarija s mjerama je određena</w:t>
      </w:r>
      <w:r w:rsidRPr="000063FC">
        <w:t xml:space="preserve"> kao razlika emisije scenarija bez mjera i potencijala smanjenja. U tablici 3.6 prik</w:t>
      </w:r>
      <w:r w:rsidR="00C5197B" w:rsidRPr="000063FC">
        <w:t>azane su potrošnje energije, a</w:t>
      </w:r>
      <w:r w:rsidRPr="000063FC">
        <w:t xml:space="preserve"> u tablici 3.7 emisije </w:t>
      </w:r>
      <w:r w:rsidR="00C5197B" w:rsidRPr="000063FC">
        <w:t>CO</w:t>
      </w:r>
      <w:r w:rsidR="00C5197B" w:rsidRPr="000063FC">
        <w:rPr>
          <w:vertAlign w:val="subscript"/>
        </w:rPr>
        <w:t>2</w:t>
      </w:r>
      <w:r w:rsidR="00C5197B" w:rsidRPr="000063FC">
        <w:t xml:space="preserve"> </w:t>
      </w:r>
      <w:r w:rsidRPr="000063FC">
        <w:t>scenarija s mjerama</w:t>
      </w:r>
      <w:r w:rsidR="00C5197B" w:rsidRPr="000063FC">
        <w:t xml:space="preserve"> za sektor zgradarstva</w:t>
      </w:r>
      <w:r w:rsidRPr="000063FC">
        <w:t>.</w:t>
      </w:r>
    </w:p>
    <w:p w:rsidR="00E8765C" w:rsidRPr="000063FC" w:rsidRDefault="00E8765C">
      <w:pPr>
        <w:tabs>
          <w:tab w:val="clear" w:pos="720"/>
          <w:tab w:val="clear" w:pos="6912"/>
        </w:tabs>
        <w:spacing w:line="240" w:lineRule="auto"/>
        <w:jc w:val="left"/>
        <w:rPr>
          <w:szCs w:val="22"/>
        </w:rPr>
      </w:pPr>
      <w:r w:rsidRPr="000063FC">
        <w:rPr>
          <w:szCs w:val="22"/>
        </w:rPr>
        <w:br w:type="page"/>
      </w:r>
    </w:p>
    <w:p w:rsidR="00A46A65" w:rsidRPr="000063FC" w:rsidRDefault="00A46A65" w:rsidP="00B33E2F">
      <w:pPr>
        <w:pStyle w:val="Heading6"/>
      </w:pPr>
      <w:bookmarkStart w:id="218" w:name="_Toc251161364"/>
      <w:bookmarkStart w:id="219" w:name="_Toc254010262"/>
      <w:r w:rsidRPr="000063FC">
        <w:lastRenderedPageBreak/>
        <w:t>Tab</w:t>
      </w:r>
      <w:r w:rsidR="00C5197B" w:rsidRPr="000063FC">
        <w:t>lica 3.6: Potrošnja energenata s</w:t>
      </w:r>
      <w:r w:rsidRPr="000063FC">
        <w:t>cenarija s mjerama sektora zgradarstvo</w:t>
      </w:r>
      <w:bookmarkEnd w:id="218"/>
      <w:bookmarkEnd w:id="219"/>
    </w:p>
    <w:tbl>
      <w:tblPr>
        <w:tblW w:w="8931" w:type="dxa"/>
        <w:tblInd w:w="108" w:type="dxa"/>
        <w:tblLayout w:type="fixed"/>
        <w:tblLook w:val="00A0" w:firstRow="1" w:lastRow="0" w:firstColumn="1" w:lastColumn="0" w:noHBand="0" w:noVBand="0"/>
      </w:tblPr>
      <w:tblGrid>
        <w:gridCol w:w="2552"/>
        <w:gridCol w:w="1134"/>
        <w:gridCol w:w="1134"/>
        <w:gridCol w:w="1134"/>
        <w:gridCol w:w="992"/>
        <w:gridCol w:w="992"/>
        <w:gridCol w:w="993"/>
      </w:tblGrid>
      <w:tr w:rsidR="00A46A65" w:rsidRPr="000063FC" w:rsidTr="00E8765C">
        <w:trPr>
          <w:trHeight w:val="227"/>
        </w:trPr>
        <w:tc>
          <w:tcPr>
            <w:tcW w:w="2552" w:type="dxa"/>
            <w:vMerge w:val="restart"/>
            <w:tcBorders>
              <w:top w:val="single" w:sz="4" w:space="0" w:color="4BACC6"/>
              <w:left w:val="single" w:sz="4" w:space="0" w:color="4BACC6"/>
              <w:bottom w:val="single" w:sz="4" w:space="0" w:color="4BACC6"/>
              <w:right w:val="single" w:sz="4" w:space="0" w:color="FFFFFF"/>
            </w:tcBorders>
            <w:shd w:val="clear" w:color="000000" w:fill="4BACC6"/>
            <w:noWrap/>
            <w:vAlign w:val="center"/>
          </w:tcPr>
          <w:p w:rsidR="00A46A65" w:rsidRPr="000063FC" w:rsidRDefault="00A46A65" w:rsidP="00A46A65">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KATEGORIJA</w:t>
            </w:r>
          </w:p>
        </w:tc>
        <w:tc>
          <w:tcPr>
            <w:tcW w:w="6379" w:type="dxa"/>
            <w:gridSpan w:val="6"/>
            <w:tcBorders>
              <w:top w:val="single" w:sz="4" w:space="0" w:color="4BACC6"/>
              <w:left w:val="nil"/>
              <w:bottom w:val="single" w:sz="4" w:space="0" w:color="FFFFFF"/>
              <w:right w:val="single" w:sz="4" w:space="0" w:color="4BACC6"/>
            </w:tcBorders>
            <w:shd w:val="clear" w:color="000000" w:fill="4BACC6"/>
            <w:noWrap/>
            <w:vAlign w:val="center"/>
          </w:tcPr>
          <w:p w:rsidR="00A46A65" w:rsidRPr="000063FC" w:rsidRDefault="00A46A65" w:rsidP="00A46A65">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Potrošnja energije (MWh) Scenarij s mjerama, 2020.</w:t>
            </w:r>
          </w:p>
        </w:tc>
      </w:tr>
      <w:tr w:rsidR="00A46A65" w:rsidRPr="000063FC" w:rsidTr="00E8765C">
        <w:trPr>
          <w:trHeight w:val="227"/>
        </w:trPr>
        <w:tc>
          <w:tcPr>
            <w:tcW w:w="2552" w:type="dxa"/>
            <w:vMerge/>
            <w:tcBorders>
              <w:top w:val="single" w:sz="4" w:space="0" w:color="4BACC6"/>
              <w:left w:val="single" w:sz="4" w:space="0" w:color="4BACC6"/>
              <w:bottom w:val="single" w:sz="4" w:space="0" w:color="4BACC6"/>
              <w:right w:val="single" w:sz="4" w:space="0" w:color="FFFFFF"/>
            </w:tcBorders>
            <w:vAlign w:val="center"/>
          </w:tcPr>
          <w:p w:rsidR="00A46A65" w:rsidRPr="000063FC" w:rsidRDefault="00A46A65" w:rsidP="00A46A65">
            <w:pPr>
              <w:spacing w:line="240" w:lineRule="auto"/>
              <w:jc w:val="center"/>
              <w:rPr>
                <w:rFonts w:asciiTheme="minorHAnsi" w:hAnsiTheme="minorHAnsi"/>
                <w:b/>
                <w:bCs/>
                <w:color w:val="FFFFFF"/>
                <w:sz w:val="20"/>
                <w:lang w:eastAsia="hr-HR"/>
              </w:rPr>
            </w:pPr>
          </w:p>
        </w:tc>
        <w:tc>
          <w:tcPr>
            <w:tcW w:w="1134" w:type="dxa"/>
            <w:tcBorders>
              <w:top w:val="nil"/>
              <w:left w:val="nil"/>
              <w:bottom w:val="single" w:sz="4" w:space="0" w:color="4BACC6"/>
              <w:right w:val="single" w:sz="4" w:space="0" w:color="FFFFFF"/>
            </w:tcBorders>
            <w:shd w:val="clear" w:color="000000" w:fill="4BACC6"/>
            <w:vAlign w:val="center"/>
          </w:tcPr>
          <w:p w:rsidR="00A46A65" w:rsidRPr="000063FC" w:rsidRDefault="00A46A65" w:rsidP="00A46A65">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Električna energija</w:t>
            </w:r>
          </w:p>
        </w:tc>
        <w:tc>
          <w:tcPr>
            <w:tcW w:w="1134" w:type="dxa"/>
            <w:tcBorders>
              <w:top w:val="nil"/>
              <w:left w:val="nil"/>
              <w:bottom w:val="single" w:sz="4" w:space="0" w:color="4BACC6"/>
              <w:right w:val="single" w:sz="4" w:space="0" w:color="FFFFFF"/>
            </w:tcBorders>
            <w:shd w:val="clear" w:color="000000" w:fill="4BACC6"/>
            <w:vAlign w:val="center"/>
          </w:tcPr>
          <w:p w:rsidR="00A46A65" w:rsidRPr="000063FC" w:rsidRDefault="00A46A65" w:rsidP="00A46A65">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Toplinska energija</w:t>
            </w:r>
          </w:p>
        </w:tc>
        <w:tc>
          <w:tcPr>
            <w:tcW w:w="1134" w:type="dxa"/>
            <w:tcBorders>
              <w:top w:val="nil"/>
              <w:left w:val="nil"/>
              <w:bottom w:val="single" w:sz="4" w:space="0" w:color="4BACC6"/>
              <w:right w:val="single" w:sz="4" w:space="0" w:color="FFFFFF"/>
            </w:tcBorders>
            <w:shd w:val="clear" w:color="000000" w:fill="4BACC6"/>
            <w:vAlign w:val="center"/>
          </w:tcPr>
          <w:p w:rsidR="00A46A65" w:rsidRPr="000063FC" w:rsidRDefault="00A46A65" w:rsidP="00A46A65">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Prirodni plin</w:t>
            </w:r>
          </w:p>
        </w:tc>
        <w:tc>
          <w:tcPr>
            <w:tcW w:w="992" w:type="dxa"/>
            <w:tcBorders>
              <w:top w:val="nil"/>
              <w:left w:val="nil"/>
              <w:bottom w:val="single" w:sz="4" w:space="0" w:color="4BACC6"/>
              <w:right w:val="single" w:sz="4" w:space="0" w:color="FFFFFF"/>
            </w:tcBorders>
            <w:shd w:val="clear" w:color="000000" w:fill="4BACC6"/>
            <w:vAlign w:val="center"/>
          </w:tcPr>
          <w:p w:rsidR="00A46A65" w:rsidRPr="000063FC" w:rsidRDefault="00A46A65" w:rsidP="00A46A65">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Lož ulje</w:t>
            </w:r>
          </w:p>
        </w:tc>
        <w:tc>
          <w:tcPr>
            <w:tcW w:w="992" w:type="dxa"/>
            <w:tcBorders>
              <w:top w:val="nil"/>
              <w:left w:val="nil"/>
              <w:bottom w:val="single" w:sz="4" w:space="0" w:color="4BACC6"/>
              <w:right w:val="single" w:sz="4" w:space="0" w:color="FFFFFF"/>
            </w:tcBorders>
            <w:shd w:val="clear" w:color="000000" w:fill="4BACC6"/>
            <w:vAlign w:val="center"/>
          </w:tcPr>
          <w:p w:rsidR="00A46A65" w:rsidRPr="000063FC" w:rsidRDefault="00A46A65" w:rsidP="00A46A65">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UNP</w:t>
            </w:r>
          </w:p>
        </w:tc>
        <w:tc>
          <w:tcPr>
            <w:tcW w:w="993" w:type="dxa"/>
            <w:tcBorders>
              <w:top w:val="nil"/>
              <w:left w:val="nil"/>
              <w:bottom w:val="single" w:sz="4" w:space="0" w:color="4BACC6"/>
              <w:right w:val="single" w:sz="4" w:space="0" w:color="4BACC6"/>
            </w:tcBorders>
            <w:shd w:val="clear" w:color="000000" w:fill="4BACC6"/>
            <w:vAlign w:val="center"/>
          </w:tcPr>
          <w:p w:rsidR="00A46A65" w:rsidRPr="000063FC" w:rsidRDefault="00A46A65" w:rsidP="00A46A65">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Ogrjev. drvo</w:t>
            </w:r>
          </w:p>
        </w:tc>
      </w:tr>
      <w:tr w:rsidR="00A46A65" w:rsidRPr="000063FC" w:rsidTr="00E8765C">
        <w:trPr>
          <w:trHeight w:val="227"/>
        </w:trPr>
        <w:tc>
          <w:tcPr>
            <w:tcW w:w="2552" w:type="dxa"/>
            <w:tcBorders>
              <w:top w:val="nil"/>
              <w:left w:val="single" w:sz="4" w:space="0" w:color="4BACC6"/>
              <w:bottom w:val="single" w:sz="4" w:space="0" w:color="4BACC6"/>
              <w:right w:val="single" w:sz="4" w:space="0" w:color="4BACC6"/>
            </w:tcBorders>
            <w:shd w:val="clear" w:color="000000" w:fill="DBEEF3"/>
            <w:noWrap/>
            <w:vAlign w:val="bottom"/>
          </w:tcPr>
          <w:p w:rsidR="00A46A65" w:rsidRPr="000063FC" w:rsidRDefault="00A46A65" w:rsidP="00A46A65">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STAMBENE I JAVNE ZGRADE U VLASNIŠTVU GRADA</w:t>
            </w:r>
          </w:p>
        </w:tc>
        <w:tc>
          <w:tcPr>
            <w:tcW w:w="1134" w:type="dxa"/>
            <w:tcBorders>
              <w:top w:val="nil"/>
              <w:left w:val="nil"/>
              <w:bottom w:val="single" w:sz="4" w:space="0" w:color="4BACC6"/>
              <w:right w:val="single" w:sz="4" w:space="0" w:color="4BACC6"/>
            </w:tcBorders>
            <w:shd w:val="clear" w:color="000000" w:fill="DBEEF3"/>
            <w:noWrap/>
            <w:vAlign w:val="bottom"/>
          </w:tcPr>
          <w:p w:rsidR="00A46A65" w:rsidRPr="000063FC" w:rsidRDefault="00A46A65" w:rsidP="00A46A65">
            <w:pPr>
              <w:spacing w:line="240" w:lineRule="auto"/>
              <w:rPr>
                <w:rFonts w:asciiTheme="minorHAnsi" w:hAnsiTheme="minorHAnsi"/>
                <w:b/>
                <w:bCs/>
                <w:color w:val="000000"/>
                <w:sz w:val="20"/>
              </w:rPr>
            </w:pPr>
            <w:r w:rsidRPr="000063FC">
              <w:rPr>
                <w:rFonts w:asciiTheme="minorHAnsi" w:hAnsiTheme="minorHAnsi"/>
                <w:b/>
                <w:bCs/>
                <w:color w:val="000000"/>
                <w:sz w:val="20"/>
              </w:rPr>
              <w:t> </w:t>
            </w:r>
          </w:p>
        </w:tc>
        <w:tc>
          <w:tcPr>
            <w:tcW w:w="1134" w:type="dxa"/>
            <w:tcBorders>
              <w:top w:val="nil"/>
              <w:left w:val="nil"/>
              <w:bottom w:val="single" w:sz="4" w:space="0" w:color="4BACC6"/>
              <w:right w:val="single" w:sz="4" w:space="0" w:color="4BACC6"/>
            </w:tcBorders>
            <w:shd w:val="clear" w:color="000000" w:fill="DBEEF3"/>
            <w:noWrap/>
            <w:vAlign w:val="bottom"/>
          </w:tcPr>
          <w:p w:rsidR="00A46A65" w:rsidRPr="000063FC" w:rsidRDefault="00A46A65" w:rsidP="00A46A65">
            <w:pPr>
              <w:spacing w:line="240" w:lineRule="auto"/>
              <w:rPr>
                <w:rFonts w:asciiTheme="minorHAnsi" w:hAnsiTheme="minorHAnsi"/>
                <w:b/>
                <w:bCs/>
                <w:color w:val="000000"/>
                <w:sz w:val="20"/>
              </w:rPr>
            </w:pPr>
            <w:r w:rsidRPr="000063FC">
              <w:rPr>
                <w:rFonts w:asciiTheme="minorHAnsi" w:hAnsiTheme="minorHAnsi"/>
                <w:b/>
                <w:bCs/>
                <w:color w:val="000000"/>
                <w:sz w:val="20"/>
              </w:rPr>
              <w:t> </w:t>
            </w:r>
          </w:p>
        </w:tc>
        <w:tc>
          <w:tcPr>
            <w:tcW w:w="1134" w:type="dxa"/>
            <w:tcBorders>
              <w:top w:val="nil"/>
              <w:left w:val="nil"/>
              <w:bottom w:val="single" w:sz="4" w:space="0" w:color="4BACC6"/>
              <w:right w:val="single" w:sz="4" w:space="0" w:color="4BACC6"/>
            </w:tcBorders>
            <w:shd w:val="clear" w:color="000000" w:fill="DBEEF3"/>
            <w:noWrap/>
            <w:vAlign w:val="bottom"/>
          </w:tcPr>
          <w:p w:rsidR="00A46A65" w:rsidRPr="000063FC" w:rsidRDefault="00A46A65" w:rsidP="00A46A65">
            <w:pPr>
              <w:spacing w:line="240" w:lineRule="auto"/>
              <w:rPr>
                <w:rFonts w:asciiTheme="minorHAnsi" w:hAnsiTheme="minorHAnsi"/>
                <w:b/>
                <w:bCs/>
                <w:color w:val="000000"/>
                <w:sz w:val="20"/>
              </w:rPr>
            </w:pPr>
            <w:r w:rsidRPr="000063FC">
              <w:rPr>
                <w:rFonts w:asciiTheme="minorHAnsi" w:hAnsiTheme="minorHAnsi"/>
                <w:b/>
                <w:bCs/>
                <w:color w:val="000000"/>
                <w:sz w:val="20"/>
              </w:rPr>
              <w:t> </w:t>
            </w:r>
          </w:p>
        </w:tc>
        <w:tc>
          <w:tcPr>
            <w:tcW w:w="992" w:type="dxa"/>
            <w:tcBorders>
              <w:top w:val="nil"/>
              <w:left w:val="nil"/>
              <w:bottom w:val="single" w:sz="4" w:space="0" w:color="4BACC6"/>
              <w:right w:val="single" w:sz="4" w:space="0" w:color="4BACC6"/>
            </w:tcBorders>
            <w:shd w:val="clear" w:color="000000" w:fill="DBEEF3"/>
            <w:noWrap/>
            <w:vAlign w:val="bottom"/>
          </w:tcPr>
          <w:p w:rsidR="00A46A65" w:rsidRPr="000063FC" w:rsidRDefault="00A46A65" w:rsidP="00A46A65">
            <w:pPr>
              <w:spacing w:line="240" w:lineRule="auto"/>
              <w:rPr>
                <w:rFonts w:asciiTheme="minorHAnsi" w:hAnsiTheme="minorHAnsi"/>
                <w:b/>
                <w:bCs/>
                <w:color w:val="000000"/>
                <w:sz w:val="20"/>
              </w:rPr>
            </w:pPr>
            <w:r w:rsidRPr="000063FC">
              <w:rPr>
                <w:rFonts w:asciiTheme="minorHAnsi" w:hAnsiTheme="minorHAnsi"/>
                <w:b/>
                <w:bCs/>
                <w:color w:val="000000"/>
                <w:sz w:val="20"/>
              </w:rPr>
              <w:t> </w:t>
            </w:r>
          </w:p>
        </w:tc>
        <w:tc>
          <w:tcPr>
            <w:tcW w:w="992" w:type="dxa"/>
            <w:tcBorders>
              <w:top w:val="nil"/>
              <w:left w:val="nil"/>
              <w:bottom w:val="single" w:sz="4" w:space="0" w:color="4BACC6"/>
              <w:right w:val="single" w:sz="4" w:space="0" w:color="4BACC6"/>
            </w:tcBorders>
            <w:shd w:val="clear" w:color="000000" w:fill="DBEEF3"/>
            <w:noWrap/>
            <w:vAlign w:val="bottom"/>
          </w:tcPr>
          <w:p w:rsidR="00A46A65" w:rsidRPr="000063FC" w:rsidRDefault="00A46A65" w:rsidP="00A46A65">
            <w:pPr>
              <w:spacing w:line="240" w:lineRule="auto"/>
              <w:rPr>
                <w:rFonts w:asciiTheme="minorHAnsi" w:hAnsiTheme="minorHAnsi"/>
                <w:b/>
                <w:bCs/>
                <w:color w:val="000000"/>
                <w:sz w:val="20"/>
              </w:rPr>
            </w:pPr>
            <w:r w:rsidRPr="000063FC">
              <w:rPr>
                <w:rFonts w:asciiTheme="minorHAnsi" w:hAnsiTheme="minorHAnsi"/>
                <w:b/>
                <w:bCs/>
                <w:color w:val="000000"/>
                <w:sz w:val="20"/>
              </w:rPr>
              <w:t> </w:t>
            </w:r>
          </w:p>
        </w:tc>
        <w:tc>
          <w:tcPr>
            <w:tcW w:w="993" w:type="dxa"/>
            <w:tcBorders>
              <w:top w:val="nil"/>
              <w:left w:val="nil"/>
              <w:bottom w:val="single" w:sz="4" w:space="0" w:color="4BACC6"/>
              <w:right w:val="single" w:sz="4" w:space="0" w:color="4BACC6"/>
            </w:tcBorders>
            <w:shd w:val="clear" w:color="000000" w:fill="DBEEF3"/>
            <w:noWrap/>
            <w:vAlign w:val="bottom"/>
          </w:tcPr>
          <w:p w:rsidR="00A46A65" w:rsidRPr="000063FC" w:rsidRDefault="00A46A65" w:rsidP="00A46A65">
            <w:pPr>
              <w:spacing w:line="240" w:lineRule="auto"/>
              <w:rPr>
                <w:rFonts w:asciiTheme="minorHAnsi" w:hAnsiTheme="minorHAnsi"/>
                <w:b/>
                <w:bCs/>
                <w:color w:val="000000"/>
                <w:sz w:val="20"/>
              </w:rPr>
            </w:pPr>
            <w:r w:rsidRPr="000063FC">
              <w:rPr>
                <w:rFonts w:asciiTheme="minorHAnsi" w:hAnsiTheme="minorHAnsi"/>
                <w:b/>
                <w:bCs/>
                <w:color w:val="000000"/>
                <w:sz w:val="20"/>
              </w:rPr>
              <w:t> </w:t>
            </w:r>
          </w:p>
        </w:tc>
      </w:tr>
      <w:tr w:rsidR="00A46A65" w:rsidRPr="000063FC" w:rsidTr="00E8765C">
        <w:trPr>
          <w:trHeight w:val="227"/>
        </w:trPr>
        <w:tc>
          <w:tcPr>
            <w:tcW w:w="2552" w:type="dxa"/>
            <w:tcBorders>
              <w:top w:val="nil"/>
              <w:left w:val="single" w:sz="4" w:space="0" w:color="4BACC6"/>
              <w:bottom w:val="single" w:sz="4" w:space="0" w:color="4BACC6"/>
              <w:right w:val="single" w:sz="4" w:space="0" w:color="4BACC6"/>
            </w:tcBorders>
            <w:noWrap/>
            <w:vAlign w:val="bottom"/>
          </w:tcPr>
          <w:p w:rsidR="00A46A65" w:rsidRPr="000063FC" w:rsidRDefault="00A46A65" w:rsidP="00A46A65">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ŠKOLSTVO</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20.899,8</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14.671,8</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14.395,8</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20.180,6</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3"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A46A65" w:rsidRPr="000063FC" w:rsidTr="00E8765C">
        <w:trPr>
          <w:trHeight w:val="227"/>
        </w:trPr>
        <w:tc>
          <w:tcPr>
            <w:tcW w:w="2552" w:type="dxa"/>
            <w:tcBorders>
              <w:top w:val="nil"/>
              <w:left w:val="single" w:sz="4" w:space="0" w:color="4BACC6"/>
              <w:bottom w:val="single" w:sz="4" w:space="0" w:color="4BACC6"/>
              <w:right w:val="single" w:sz="4" w:space="0" w:color="4BACC6"/>
            </w:tcBorders>
            <w:noWrap/>
            <w:vAlign w:val="bottom"/>
          </w:tcPr>
          <w:p w:rsidR="00A46A65" w:rsidRPr="000063FC" w:rsidRDefault="00A46A65" w:rsidP="00A46A65">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ZDRAVSTVO</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16.927,7</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6.412,5</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9.499,9</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170,4</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3"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A46A65" w:rsidRPr="000063FC" w:rsidTr="00E8765C">
        <w:trPr>
          <w:trHeight w:val="227"/>
        </w:trPr>
        <w:tc>
          <w:tcPr>
            <w:tcW w:w="2552" w:type="dxa"/>
            <w:tcBorders>
              <w:top w:val="nil"/>
              <w:left w:val="single" w:sz="4" w:space="0" w:color="4BACC6"/>
              <w:bottom w:val="single" w:sz="4" w:space="0" w:color="4BACC6"/>
              <w:right w:val="single" w:sz="4" w:space="0" w:color="4BACC6"/>
            </w:tcBorders>
            <w:noWrap/>
            <w:vAlign w:val="bottom"/>
          </w:tcPr>
          <w:p w:rsidR="00A46A65" w:rsidRPr="000063FC" w:rsidRDefault="00A46A65" w:rsidP="00A46A65">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UPRAVA</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4.891,5</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1.963,8</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1.786,7</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4.714,4</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3"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A46A65" w:rsidRPr="000063FC" w:rsidTr="00E8765C">
        <w:trPr>
          <w:trHeight w:val="227"/>
        </w:trPr>
        <w:tc>
          <w:tcPr>
            <w:tcW w:w="2552" w:type="dxa"/>
            <w:tcBorders>
              <w:top w:val="nil"/>
              <w:left w:val="single" w:sz="4" w:space="0" w:color="4BACC6"/>
              <w:bottom w:val="single" w:sz="4" w:space="0" w:color="4BACC6"/>
              <w:right w:val="single" w:sz="4" w:space="0" w:color="4BACC6"/>
            </w:tcBorders>
            <w:noWrap/>
            <w:vAlign w:val="bottom"/>
          </w:tcPr>
          <w:p w:rsidR="00A46A65" w:rsidRPr="000063FC" w:rsidRDefault="00A46A65" w:rsidP="00A46A65">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KULTURA</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5.907,1</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47,9</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5.932,2</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3"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A46A65" w:rsidRPr="000063FC" w:rsidTr="00E8765C">
        <w:trPr>
          <w:trHeight w:val="227"/>
        </w:trPr>
        <w:tc>
          <w:tcPr>
            <w:tcW w:w="2552" w:type="dxa"/>
            <w:tcBorders>
              <w:top w:val="nil"/>
              <w:left w:val="single" w:sz="4" w:space="0" w:color="4BACC6"/>
              <w:bottom w:val="single" w:sz="4" w:space="0" w:color="4BACC6"/>
              <w:right w:val="single" w:sz="4" w:space="0" w:color="4BACC6"/>
            </w:tcBorders>
            <w:vAlign w:val="bottom"/>
          </w:tcPr>
          <w:p w:rsidR="00A46A65" w:rsidRPr="000063FC" w:rsidRDefault="00A46A65" w:rsidP="00A46A65">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POSLOVNI PROSTORI I</w:t>
            </w:r>
            <w:r w:rsidRPr="000063FC">
              <w:rPr>
                <w:rFonts w:asciiTheme="minorHAnsi" w:hAnsiTheme="minorHAnsi"/>
                <w:color w:val="000000"/>
                <w:sz w:val="20"/>
                <w:lang w:eastAsia="hr-HR"/>
              </w:rPr>
              <w:br/>
              <w:t>STANOVI U VLASNIŠTVU GRADA</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15.614,9</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4.993,4</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6.940,0</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3"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A46A65" w:rsidRPr="000063FC" w:rsidTr="00E8765C">
        <w:trPr>
          <w:trHeight w:val="227"/>
        </w:trPr>
        <w:tc>
          <w:tcPr>
            <w:tcW w:w="2552" w:type="dxa"/>
            <w:tcBorders>
              <w:top w:val="nil"/>
              <w:left w:val="single" w:sz="4" w:space="0" w:color="4BACC6"/>
              <w:bottom w:val="single" w:sz="4" w:space="0" w:color="4BACC6"/>
              <w:right w:val="single" w:sz="4" w:space="0" w:color="4BACC6"/>
            </w:tcBorders>
            <w:vAlign w:val="bottom"/>
          </w:tcPr>
          <w:p w:rsidR="00A46A65" w:rsidRPr="000063FC" w:rsidRDefault="00A46A65" w:rsidP="00A46A65">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ZGRADE ČLANICA ZAGREBAČKOG HOLDINGA</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58.137,9</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10.694,1</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9.851,4</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5.345,8</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257,9</w:t>
            </w:r>
          </w:p>
        </w:tc>
        <w:tc>
          <w:tcPr>
            <w:tcW w:w="993"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54,4</w:t>
            </w:r>
          </w:p>
        </w:tc>
      </w:tr>
      <w:tr w:rsidR="00A46A65" w:rsidRPr="000063FC" w:rsidTr="00E8765C">
        <w:trPr>
          <w:trHeight w:val="227"/>
        </w:trPr>
        <w:tc>
          <w:tcPr>
            <w:tcW w:w="2552" w:type="dxa"/>
            <w:tcBorders>
              <w:top w:val="nil"/>
              <w:left w:val="single" w:sz="4" w:space="0" w:color="4BACC6"/>
              <w:bottom w:val="single" w:sz="4" w:space="0" w:color="4BACC6"/>
              <w:right w:val="single" w:sz="4" w:space="0" w:color="4BACC6"/>
            </w:tcBorders>
            <w:vAlign w:val="bottom"/>
          </w:tcPr>
          <w:p w:rsidR="00A46A65" w:rsidRPr="000063FC" w:rsidRDefault="00A46A65" w:rsidP="00A46A65">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UKUPNO:</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122.378,9</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38.783,5</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48.405,9</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30.411,3</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257,9</w:t>
            </w:r>
          </w:p>
        </w:tc>
        <w:tc>
          <w:tcPr>
            <w:tcW w:w="993"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54,4</w:t>
            </w:r>
          </w:p>
        </w:tc>
      </w:tr>
      <w:tr w:rsidR="00A46A65" w:rsidRPr="000063FC" w:rsidTr="00E8765C">
        <w:trPr>
          <w:trHeight w:val="227"/>
        </w:trPr>
        <w:tc>
          <w:tcPr>
            <w:tcW w:w="2552" w:type="dxa"/>
            <w:tcBorders>
              <w:top w:val="nil"/>
              <w:left w:val="single" w:sz="4" w:space="0" w:color="4BACC6"/>
              <w:bottom w:val="single" w:sz="4" w:space="0" w:color="4BACC6"/>
              <w:right w:val="single" w:sz="4" w:space="0" w:color="4BACC6"/>
            </w:tcBorders>
            <w:shd w:val="clear" w:color="000000" w:fill="DBEEF3"/>
            <w:vAlign w:val="bottom"/>
          </w:tcPr>
          <w:p w:rsidR="00A46A65" w:rsidRPr="000063FC" w:rsidRDefault="00A46A65" w:rsidP="00A46A65">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ZGRADE KOMERCIJALNIH I USLUŽNIH DJELATNOSTI</w:t>
            </w:r>
          </w:p>
        </w:tc>
        <w:tc>
          <w:tcPr>
            <w:tcW w:w="1134" w:type="dxa"/>
            <w:tcBorders>
              <w:top w:val="nil"/>
              <w:left w:val="nil"/>
              <w:bottom w:val="single" w:sz="4" w:space="0" w:color="4BACC6"/>
              <w:right w:val="single" w:sz="4" w:space="0" w:color="4BACC6"/>
            </w:tcBorders>
            <w:shd w:val="clear" w:color="000000" w:fill="DBEEF3"/>
            <w:vAlign w:val="bottom"/>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bottom"/>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bottom"/>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992" w:type="dxa"/>
            <w:tcBorders>
              <w:top w:val="nil"/>
              <w:left w:val="nil"/>
              <w:bottom w:val="single" w:sz="4" w:space="0" w:color="4BACC6"/>
              <w:right w:val="single" w:sz="4" w:space="0" w:color="4BACC6"/>
            </w:tcBorders>
            <w:shd w:val="clear" w:color="000000" w:fill="DBEEF3"/>
            <w:vAlign w:val="bottom"/>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992" w:type="dxa"/>
            <w:tcBorders>
              <w:top w:val="nil"/>
              <w:left w:val="nil"/>
              <w:bottom w:val="single" w:sz="4" w:space="0" w:color="4BACC6"/>
              <w:right w:val="single" w:sz="4" w:space="0" w:color="4BACC6"/>
            </w:tcBorders>
            <w:shd w:val="clear" w:color="000000" w:fill="DBEEF3"/>
            <w:vAlign w:val="bottom"/>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993" w:type="dxa"/>
            <w:tcBorders>
              <w:top w:val="nil"/>
              <w:left w:val="nil"/>
              <w:bottom w:val="single" w:sz="4" w:space="0" w:color="4BACC6"/>
              <w:right w:val="single" w:sz="4" w:space="0" w:color="4BACC6"/>
            </w:tcBorders>
            <w:shd w:val="clear" w:color="000000" w:fill="DBEEF3"/>
            <w:vAlign w:val="bottom"/>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r>
      <w:tr w:rsidR="00A46A65" w:rsidRPr="000063FC" w:rsidTr="00E8765C">
        <w:trPr>
          <w:trHeight w:val="227"/>
        </w:trPr>
        <w:tc>
          <w:tcPr>
            <w:tcW w:w="2552" w:type="dxa"/>
            <w:tcBorders>
              <w:top w:val="nil"/>
              <w:left w:val="single" w:sz="4" w:space="0" w:color="4BACC6"/>
              <w:bottom w:val="single" w:sz="4" w:space="0" w:color="4BACC6"/>
              <w:right w:val="single" w:sz="4" w:space="0" w:color="4BACC6"/>
            </w:tcBorders>
            <w:vAlign w:val="bottom"/>
          </w:tcPr>
          <w:p w:rsidR="00A46A65" w:rsidRPr="000063FC" w:rsidRDefault="00A46A65" w:rsidP="00A46A65">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ZGRADE KOMERCIJALNIH I</w:t>
            </w:r>
            <w:r w:rsidRPr="000063FC">
              <w:rPr>
                <w:rFonts w:asciiTheme="minorHAnsi" w:hAnsiTheme="minorHAnsi"/>
                <w:color w:val="000000"/>
                <w:sz w:val="20"/>
                <w:lang w:eastAsia="hr-HR"/>
              </w:rPr>
              <w:br/>
              <w:t>USLUŽNIH DJELATNOSTI</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552.483,0</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497.333,2</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497.374,2</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3"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A46A65" w:rsidRPr="000063FC" w:rsidTr="00E8765C">
        <w:trPr>
          <w:trHeight w:val="227"/>
        </w:trPr>
        <w:tc>
          <w:tcPr>
            <w:tcW w:w="2552" w:type="dxa"/>
            <w:tcBorders>
              <w:top w:val="nil"/>
              <w:left w:val="single" w:sz="4" w:space="0" w:color="4BACC6"/>
              <w:bottom w:val="single" w:sz="4" w:space="0" w:color="4BACC6"/>
              <w:right w:val="single" w:sz="4" w:space="0" w:color="4BACC6"/>
            </w:tcBorders>
            <w:shd w:val="clear" w:color="000000" w:fill="DBEEF3"/>
            <w:vAlign w:val="center"/>
          </w:tcPr>
          <w:p w:rsidR="00A46A65" w:rsidRPr="000063FC" w:rsidRDefault="00A46A65" w:rsidP="00A46A65">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STAMBENE ZGRADE - KUĆANSTVA</w:t>
            </w:r>
          </w:p>
        </w:tc>
        <w:tc>
          <w:tcPr>
            <w:tcW w:w="1134" w:type="dxa"/>
            <w:tcBorders>
              <w:top w:val="nil"/>
              <w:left w:val="nil"/>
              <w:bottom w:val="single" w:sz="4" w:space="0" w:color="4BACC6"/>
              <w:right w:val="single" w:sz="4" w:space="0" w:color="4BACC6"/>
            </w:tcBorders>
            <w:shd w:val="clear" w:color="000000" w:fill="DBEEF3"/>
            <w:vAlign w:val="center"/>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center"/>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center"/>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992" w:type="dxa"/>
            <w:tcBorders>
              <w:top w:val="nil"/>
              <w:left w:val="nil"/>
              <w:bottom w:val="single" w:sz="4" w:space="0" w:color="4BACC6"/>
              <w:right w:val="single" w:sz="4" w:space="0" w:color="4BACC6"/>
            </w:tcBorders>
            <w:shd w:val="clear" w:color="000000" w:fill="DBEEF3"/>
            <w:vAlign w:val="center"/>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992" w:type="dxa"/>
            <w:tcBorders>
              <w:top w:val="nil"/>
              <w:left w:val="nil"/>
              <w:bottom w:val="single" w:sz="4" w:space="0" w:color="4BACC6"/>
              <w:right w:val="single" w:sz="4" w:space="0" w:color="4BACC6"/>
            </w:tcBorders>
            <w:shd w:val="clear" w:color="000000" w:fill="DBEEF3"/>
            <w:vAlign w:val="center"/>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993" w:type="dxa"/>
            <w:tcBorders>
              <w:top w:val="nil"/>
              <w:left w:val="nil"/>
              <w:bottom w:val="single" w:sz="4" w:space="0" w:color="4BACC6"/>
              <w:right w:val="single" w:sz="4" w:space="0" w:color="4BACC6"/>
            </w:tcBorders>
            <w:shd w:val="clear" w:color="000000" w:fill="DBEEF3"/>
            <w:vAlign w:val="center"/>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r>
      <w:tr w:rsidR="00A46A65" w:rsidRPr="000063FC" w:rsidTr="00E8765C">
        <w:trPr>
          <w:trHeight w:val="227"/>
        </w:trPr>
        <w:tc>
          <w:tcPr>
            <w:tcW w:w="2552" w:type="dxa"/>
            <w:tcBorders>
              <w:top w:val="nil"/>
              <w:left w:val="single" w:sz="4" w:space="0" w:color="4BACC6"/>
              <w:bottom w:val="single" w:sz="4" w:space="0" w:color="4BACC6"/>
              <w:right w:val="single" w:sz="4" w:space="0" w:color="4BACC6"/>
            </w:tcBorders>
            <w:vAlign w:val="bottom"/>
          </w:tcPr>
          <w:p w:rsidR="00A46A65" w:rsidRPr="000063FC" w:rsidRDefault="00A46A65" w:rsidP="00A46A65">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KUĆANSTVA</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810.648,0</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276.122,7</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1.778.497,5</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45.948,4</w:t>
            </w:r>
          </w:p>
        </w:tc>
        <w:tc>
          <w:tcPr>
            <w:tcW w:w="992"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3" w:type="dxa"/>
            <w:tcBorders>
              <w:top w:val="nil"/>
              <w:left w:val="nil"/>
              <w:bottom w:val="single" w:sz="4" w:space="0" w:color="4BACC6"/>
              <w:right w:val="single" w:sz="4" w:space="0" w:color="4BACC6"/>
            </w:tcBorders>
            <w:noWrap/>
            <w:vAlign w:val="bottom"/>
          </w:tcPr>
          <w:p w:rsidR="00A46A65" w:rsidRPr="000063FC" w:rsidRDefault="00A46A65" w:rsidP="00A46A65">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187.146,6</w:t>
            </w:r>
          </w:p>
        </w:tc>
      </w:tr>
      <w:tr w:rsidR="00A46A65" w:rsidRPr="000063FC" w:rsidTr="00E8765C">
        <w:trPr>
          <w:trHeight w:val="227"/>
        </w:trPr>
        <w:tc>
          <w:tcPr>
            <w:tcW w:w="2552" w:type="dxa"/>
            <w:tcBorders>
              <w:top w:val="nil"/>
              <w:left w:val="single" w:sz="4" w:space="0" w:color="4BACC6"/>
              <w:bottom w:val="single" w:sz="4" w:space="0" w:color="4BACC6"/>
              <w:right w:val="single" w:sz="4" w:space="0" w:color="4BACC6"/>
            </w:tcBorders>
            <w:shd w:val="clear" w:color="000000" w:fill="DBEEF3"/>
            <w:vAlign w:val="bottom"/>
          </w:tcPr>
          <w:p w:rsidR="00A46A65" w:rsidRPr="000063FC" w:rsidRDefault="00A46A65" w:rsidP="00A46A65">
            <w:pPr>
              <w:spacing w:line="240" w:lineRule="auto"/>
              <w:jc w:val="left"/>
              <w:rPr>
                <w:rFonts w:asciiTheme="minorHAnsi" w:hAnsiTheme="minorHAnsi"/>
                <w:b/>
                <w:bCs/>
                <w:color w:val="000000"/>
                <w:sz w:val="20"/>
                <w:lang w:eastAsia="hr-HR"/>
              </w:rPr>
            </w:pPr>
          </w:p>
        </w:tc>
        <w:tc>
          <w:tcPr>
            <w:tcW w:w="1134" w:type="dxa"/>
            <w:tcBorders>
              <w:top w:val="nil"/>
              <w:left w:val="nil"/>
              <w:bottom w:val="single" w:sz="4" w:space="0" w:color="4BACC6"/>
              <w:right w:val="single" w:sz="4" w:space="0" w:color="4BACC6"/>
            </w:tcBorders>
            <w:shd w:val="clear" w:color="000000" w:fill="DBEEF3"/>
            <w:vAlign w:val="bottom"/>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bottom"/>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bottom"/>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992" w:type="dxa"/>
            <w:tcBorders>
              <w:top w:val="nil"/>
              <w:left w:val="nil"/>
              <w:bottom w:val="single" w:sz="4" w:space="0" w:color="4BACC6"/>
              <w:right w:val="single" w:sz="4" w:space="0" w:color="4BACC6"/>
            </w:tcBorders>
            <w:shd w:val="clear" w:color="000000" w:fill="DBEEF3"/>
            <w:vAlign w:val="bottom"/>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992" w:type="dxa"/>
            <w:tcBorders>
              <w:top w:val="nil"/>
              <w:left w:val="nil"/>
              <w:bottom w:val="single" w:sz="4" w:space="0" w:color="4BACC6"/>
              <w:right w:val="single" w:sz="4" w:space="0" w:color="4BACC6"/>
            </w:tcBorders>
            <w:shd w:val="clear" w:color="000000" w:fill="DBEEF3"/>
            <w:vAlign w:val="bottom"/>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993" w:type="dxa"/>
            <w:tcBorders>
              <w:top w:val="nil"/>
              <w:left w:val="nil"/>
              <w:bottom w:val="single" w:sz="4" w:space="0" w:color="4BACC6"/>
              <w:right w:val="single" w:sz="4" w:space="0" w:color="4BACC6"/>
            </w:tcBorders>
            <w:shd w:val="clear" w:color="000000" w:fill="DBEEF3"/>
            <w:vAlign w:val="bottom"/>
          </w:tcPr>
          <w:p w:rsidR="00A46A65" w:rsidRPr="000063FC" w:rsidRDefault="00A46A65" w:rsidP="00A46A65">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r>
      <w:tr w:rsidR="00A46A65" w:rsidRPr="000063FC" w:rsidTr="00E8765C">
        <w:trPr>
          <w:trHeight w:val="227"/>
        </w:trPr>
        <w:tc>
          <w:tcPr>
            <w:tcW w:w="2552" w:type="dxa"/>
            <w:tcBorders>
              <w:top w:val="single" w:sz="4" w:space="0" w:color="4BACC6"/>
              <w:left w:val="single" w:sz="4" w:space="0" w:color="4BACC6"/>
              <w:bottom w:val="single" w:sz="4" w:space="0" w:color="4BACC6"/>
              <w:right w:val="single" w:sz="4" w:space="0" w:color="FFFFFF"/>
            </w:tcBorders>
            <w:shd w:val="clear" w:color="auto" w:fill="4BACC6"/>
            <w:vAlign w:val="center"/>
          </w:tcPr>
          <w:p w:rsidR="00A46A65" w:rsidRPr="000063FC" w:rsidRDefault="00A46A65" w:rsidP="00A46A65">
            <w:pPr>
              <w:spacing w:line="240" w:lineRule="auto"/>
              <w:jc w:val="center"/>
              <w:rPr>
                <w:rFonts w:asciiTheme="minorHAnsi" w:hAnsiTheme="minorHAnsi"/>
                <w:b/>
                <w:bCs/>
                <w:color w:val="FFFFFF" w:themeColor="background1"/>
                <w:sz w:val="20"/>
                <w:lang w:eastAsia="hr-HR"/>
              </w:rPr>
            </w:pPr>
            <w:r w:rsidRPr="000063FC">
              <w:rPr>
                <w:rFonts w:asciiTheme="minorHAnsi" w:hAnsiTheme="minorHAnsi"/>
                <w:b/>
                <w:bCs/>
                <w:color w:val="FFFFFF" w:themeColor="background1"/>
                <w:sz w:val="20"/>
                <w:lang w:eastAsia="hr-HR"/>
              </w:rPr>
              <w:t>UKUPNO</w:t>
            </w:r>
          </w:p>
        </w:tc>
        <w:tc>
          <w:tcPr>
            <w:tcW w:w="1134"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A46A65" w:rsidRPr="000063FC" w:rsidRDefault="00A46A65" w:rsidP="00A46A65">
            <w:pPr>
              <w:spacing w:line="240" w:lineRule="auto"/>
              <w:jc w:val="center"/>
              <w:rPr>
                <w:rFonts w:asciiTheme="minorHAnsi" w:hAnsiTheme="minorHAnsi" w:cs="Arial"/>
                <w:b/>
                <w:color w:val="FFFFFF" w:themeColor="background1"/>
                <w:sz w:val="18"/>
                <w:szCs w:val="18"/>
              </w:rPr>
            </w:pPr>
            <w:r w:rsidRPr="000063FC">
              <w:rPr>
                <w:rFonts w:asciiTheme="minorHAnsi" w:hAnsiTheme="minorHAnsi" w:cs="Arial"/>
                <w:b/>
                <w:color w:val="FFFFFF" w:themeColor="background1"/>
                <w:sz w:val="18"/>
                <w:szCs w:val="18"/>
              </w:rPr>
              <w:t>1.485.509,8</w:t>
            </w:r>
          </w:p>
        </w:tc>
        <w:tc>
          <w:tcPr>
            <w:tcW w:w="1134"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A46A65" w:rsidRPr="000063FC" w:rsidRDefault="00A46A65" w:rsidP="00A46A65">
            <w:pPr>
              <w:spacing w:line="240" w:lineRule="auto"/>
              <w:jc w:val="center"/>
              <w:rPr>
                <w:rFonts w:asciiTheme="minorHAnsi" w:hAnsiTheme="minorHAnsi" w:cs="Arial"/>
                <w:b/>
                <w:color w:val="FFFFFF" w:themeColor="background1"/>
                <w:sz w:val="18"/>
                <w:szCs w:val="18"/>
              </w:rPr>
            </w:pPr>
            <w:r w:rsidRPr="000063FC">
              <w:rPr>
                <w:rFonts w:asciiTheme="minorHAnsi" w:hAnsiTheme="minorHAnsi" w:cs="Arial"/>
                <w:b/>
                <w:color w:val="FFFFFF" w:themeColor="background1"/>
                <w:sz w:val="18"/>
                <w:szCs w:val="18"/>
              </w:rPr>
              <w:t>812.239,4</w:t>
            </w:r>
          </w:p>
        </w:tc>
        <w:tc>
          <w:tcPr>
            <w:tcW w:w="1134"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A46A65" w:rsidRPr="000063FC" w:rsidRDefault="00A46A65" w:rsidP="00A46A65">
            <w:pPr>
              <w:spacing w:line="240" w:lineRule="auto"/>
              <w:jc w:val="center"/>
              <w:rPr>
                <w:rFonts w:asciiTheme="minorHAnsi" w:hAnsiTheme="minorHAnsi" w:cs="Arial"/>
                <w:b/>
                <w:color w:val="FFFFFF" w:themeColor="background1"/>
                <w:sz w:val="18"/>
                <w:szCs w:val="18"/>
              </w:rPr>
            </w:pPr>
            <w:r w:rsidRPr="000063FC">
              <w:rPr>
                <w:rFonts w:asciiTheme="minorHAnsi" w:hAnsiTheme="minorHAnsi" w:cs="Arial"/>
                <w:b/>
                <w:color w:val="FFFFFF" w:themeColor="background1"/>
                <w:sz w:val="18"/>
                <w:szCs w:val="18"/>
              </w:rPr>
              <w:t>2.324.277,7</w:t>
            </w:r>
          </w:p>
        </w:tc>
        <w:tc>
          <w:tcPr>
            <w:tcW w:w="992"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A46A65" w:rsidRPr="000063FC" w:rsidRDefault="00A46A65" w:rsidP="00A46A65">
            <w:pPr>
              <w:spacing w:line="240" w:lineRule="auto"/>
              <w:jc w:val="center"/>
              <w:rPr>
                <w:rFonts w:asciiTheme="minorHAnsi" w:hAnsiTheme="minorHAnsi" w:cs="Arial"/>
                <w:b/>
                <w:color w:val="FFFFFF" w:themeColor="background1"/>
                <w:sz w:val="18"/>
                <w:szCs w:val="18"/>
              </w:rPr>
            </w:pPr>
            <w:r w:rsidRPr="000063FC">
              <w:rPr>
                <w:rFonts w:asciiTheme="minorHAnsi" w:hAnsiTheme="minorHAnsi" w:cs="Arial"/>
                <w:b/>
                <w:color w:val="FFFFFF" w:themeColor="background1"/>
                <w:sz w:val="18"/>
                <w:szCs w:val="18"/>
              </w:rPr>
              <w:t>76.359,7</w:t>
            </w:r>
          </w:p>
        </w:tc>
        <w:tc>
          <w:tcPr>
            <w:tcW w:w="992"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A46A65" w:rsidRPr="000063FC" w:rsidRDefault="00A46A65" w:rsidP="00A46A65">
            <w:pPr>
              <w:spacing w:line="240" w:lineRule="auto"/>
              <w:jc w:val="center"/>
              <w:rPr>
                <w:rFonts w:asciiTheme="minorHAnsi" w:hAnsiTheme="minorHAnsi" w:cs="Arial"/>
                <w:b/>
                <w:color w:val="FFFFFF" w:themeColor="background1"/>
                <w:sz w:val="18"/>
                <w:szCs w:val="18"/>
              </w:rPr>
            </w:pPr>
            <w:r w:rsidRPr="000063FC">
              <w:rPr>
                <w:rFonts w:asciiTheme="minorHAnsi" w:hAnsiTheme="minorHAnsi" w:cs="Arial"/>
                <w:b/>
                <w:color w:val="FFFFFF" w:themeColor="background1"/>
                <w:sz w:val="18"/>
                <w:szCs w:val="18"/>
              </w:rPr>
              <w:t>257,9</w:t>
            </w:r>
          </w:p>
        </w:tc>
        <w:tc>
          <w:tcPr>
            <w:tcW w:w="993" w:type="dxa"/>
            <w:tcBorders>
              <w:top w:val="single" w:sz="4" w:space="0" w:color="4BACC6"/>
              <w:left w:val="single" w:sz="4" w:space="0" w:color="FFFFFF"/>
              <w:bottom w:val="single" w:sz="4" w:space="0" w:color="4BACC6"/>
              <w:right w:val="single" w:sz="4" w:space="0" w:color="4BACC6"/>
            </w:tcBorders>
            <w:shd w:val="clear" w:color="auto" w:fill="4BACC6"/>
            <w:noWrap/>
            <w:vAlign w:val="center"/>
          </w:tcPr>
          <w:p w:rsidR="00A46A65" w:rsidRPr="000063FC" w:rsidRDefault="00A46A65" w:rsidP="00A46A65">
            <w:pPr>
              <w:spacing w:line="240" w:lineRule="auto"/>
              <w:jc w:val="center"/>
              <w:rPr>
                <w:rFonts w:asciiTheme="minorHAnsi" w:hAnsiTheme="minorHAnsi" w:cs="Arial"/>
                <w:b/>
                <w:color w:val="FFFFFF" w:themeColor="background1"/>
                <w:sz w:val="18"/>
                <w:szCs w:val="18"/>
              </w:rPr>
            </w:pPr>
            <w:r w:rsidRPr="000063FC">
              <w:rPr>
                <w:rFonts w:asciiTheme="minorHAnsi" w:hAnsiTheme="minorHAnsi" w:cs="Arial"/>
                <w:b/>
                <w:color w:val="FFFFFF" w:themeColor="background1"/>
                <w:sz w:val="18"/>
                <w:szCs w:val="18"/>
              </w:rPr>
              <w:t>187.201,0</w:t>
            </w:r>
          </w:p>
        </w:tc>
      </w:tr>
    </w:tbl>
    <w:p w:rsidR="00A46A65" w:rsidRPr="000063FC" w:rsidRDefault="00A46A65" w:rsidP="00A46A65">
      <w:pPr>
        <w:pStyle w:val="Caption"/>
      </w:pPr>
    </w:p>
    <w:p w:rsidR="00A46A65" w:rsidRPr="000063FC" w:rsidRDefault="00A46A65" w:rsidP="00B33E2F">
      <w:pPr>
        <w:pStyle w:val="Heading6"/>
      </w:pPr>
      <w:bookmarkStart w:id="220" w:name="_Toc251161365"/>
      <w:bookmarkStart w:id="221" w:name="_Toc254010263"/>
      <w:r w:rsidRPr="000063FC">
        <w:t>Tablica 3.7: Projekcija emisije CO</w:t>
      </w:r>
      <w:r w:rsidRPr="000063FC">
        <w:rPr>
          <w:vertAlign w:val="subscript"/>
        </w:rPr>
        <w:t>2</w:t>
      </w:r>
      <w:r w:rsidR="00C5197B" w:rsidRPr="000063FC">
        <w:t xml:space="preserve"> s</w:t>
      </w:r>
      <w:r w:rsidRPr="000063FC">
        <w:t>cenarija s mjerama sektora zgradarstvo</w:t>
      </w:r>
      <w:bookmarkEnd w:id="220"/>
      <w:bookmarkEnd w:id="221"/>
    </w:p>
    <w:tbl>
      <w:tblPr>
        <w:tblW w:w="9072" w:type="dxa"/>
        <w:tblInd w:w="108" w:type="dxa"/>
        <w:tblLayout w:type="fixed"/>
        <w:tblLook w:val="00A0" w:firstRow="1" w:lastRow="0" w:firstColumn="1" w:lastColumn="0" w:noHBand="0" w:noVBand="0"/>
      </w:tblPr>
      <w:tblGrid>
        <w:gridCol w:w="2552"/>
        <w:gridCol w:w="1134"/>
        <w:gridCol w:w="1134"/>
        <w:gridCol w:w="1134"/>
        <w:gridCol w:w="992"/>
        <w:gridCol w:w="851"/>
        <w:gridCol w:w="1275"/>
      </w:tblGrid>
      <w:tr w:rsidR="00A46A65" w:rsidRPr="000063FC" w:rsidTr="00C5197B">
        <w:trPr>
          <w:trHeight w:val="227"/>
        </w:trPr>
        <w:tc>
          <w:tcPr>
            <w:tcW w:w="2552" w:type="dxa"/>
            <w:vMerge w:val="restart"/>
            <w:tcBorders>
              <w:top w:val="single" w:sz="4" w:space="0" w:color="4BACC6"/>
              <w:left w:val="single" w:sz="4" w:space="0" w:color="4BACC6"/>
              <w:bottom w:val="single" w:sz="4" w:space="0" w:color="4BACC6"/>
              <w:right w:val="single" w:sz="4" w:space="0" w:color="FFFFFF"/>
            </w:tcBorders>
            <w:shd w:val="clear" w:color="000000" w:fill="4BACC6"/>
            <w:noWrap/>
            <w:vAlign w:val="center"/>
          </w:tcPr>
          <w:p w:rsidR="00A46A65" w:rsidRPr="000063FC" w:rsidRDefault="00A46A65" w:rsidP="00E8765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KATEGORIJA</w:t>
            </w:r>
          </w:p>
        </w:tc>
        <w:tc>
          <w:tcPr>
            <w:tcW w:w="6520" w:type="dxa"/>
            <w:gridSpan w:val="6"/>
            <w:tcBorders>
              <w:top w:val="single" w:sz="4" w:space="0" w:color="4BACC6"/>
              <w:left w:val="nil"/>
              <w:bottom w:val="single" w:sz="4" w:space="0" w:color="FFFFFF"/>
              <w:right w:val="single" w:sz="4" w:space="0" w:color="4BACC6"/>
            </w:tcBorders>
            <w:shd w:val="clear" w:color="000000" w:fill="4BACC6"/>
            <w:noWrap/>
            <w:vAlign w:val="center"/>
          </w:tcPr>
          <w:p w:rsidR="00A46A65" w:rsidRPr="000063FC" w:rsidRDefault="00A46A65" w:rsidP="00E8765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Emisija t CO</w:t>
            </w:r>
            <w:r w:rsidRPr="000063FC">
              <w:rPr>
                <w:rFonts w:asciiTheme="minorHAnsi" w:hAnsiTheme="minorHAnsi"/>
                <w:b/>
                <w:bCs/>
                <w:color w:val="FFFFFF"/>
                <w:sz w:val="20"/>
                <w:vertAlign w:val="subscript"/>
                <w:lang w:eastAsia="hr-HR"/>
              </w:rPr>
              <w:t>2</w:t>
            </w:r>
            <w:r w:rsidR="00E669C7" w:rsidRPr="000063FC">
              <w:rPr>
                <w:rFonts w:asciiTheme="minorHAnsi" w:hAnsiTheme="minorHAnsi"/>
                <w:b/>
                <w:bCs/>
                <w:color w:val="FFFFFF"/>
                <w:sz w:val="20"/>
                <w:lang w:eastAsia="hr-HR"/>
              </w:rPr>
              <w:t xml:space="preserve"> s</w:t>
            </w:r>
            <w:r w:rsidRPr="000063FC">
              <w:rPr>
                <w:rFonts w:asciiTheme="minorHAnsi" w:hAnsiTheme="minorHAnsi"/>
                <w:b/>
                <w:bCs/>
                <w:color w:val="FFFFFF"/>
                <w:sz w:val="20"/>
                <w:lang w:eastAsia="hr-HR"/>
              </w:rPr>
              <w:t>cenarij</w:t>
            </w:r>
            <w:r w:rsidR="00E669C7" w:rsidRPr="000063FC">
              <w:rPr>
                <w:rFonts w:asciiTheme="minorHAnsi" w:hAnsiTheme="minorHAnsi"/>
                <w:b/>
                <w:bCs/>
                <w:color w:val="FFFFFF"/>
                <w:sz w:val="20"/>
                <w:lang w:eastAsia="hr-HR"/>
              </w:rPr>
              <w:t>a</w:t>
            </w:r>
            <w:r w:rsidRPr="000063FC">
              <w:rPr>
                <w:rFonts w:asciiTheme="minorHAnsi" w:hAnsiTheme="minorHAnsi"/>
                <w:b/>
                <w:bCs/>
                <w:color w:val="FFFFFF"/>
                <w:sz w:val="20"/>
                <w:lang w:eastAsia="hr-HR"/>
              </w:rPr>
              <w:t xml:space="preserve"> s mjerama, 2020.</w:t>
            </w:r>
          </w:p>
        </w:tc>
      </w:tr>
      <w:tr w:rsidR="00A46A65" w:rsidRPr="000063FC" w:rsidTr="00C5197B">
        <w:trPr>
          <w:trHeight w:val="227"/>
        </w:trPr>
        <w:tc>
          <w:tcPr>
            <w:tcW w:w="2552" w:type="dxa"/>
            <w:vMerge/>
            <w:tcBorders>
              <w:top w:val="single" w:sz="4" w:space="0" w:color="4BACC6"/>
              <w:left w:val="single" w:sz="4" w:space="0" w:color="4BACC6"/>
              <w:bottom w:val="single" w:sz="4" w:space="0" w:color="4BACC6"/>
              <w:right w:val="single" w:sz="4" w:space="0" w:color="FFFFFF"/>
            </w:tcBorders>
            <w:vAlign w:val="center"/>
          </w:tcPr>
          <w:p w:rsidR="00A46A65" w:rsidRPr="000063FC" w:rsidRDefault="00A46A65" w:rsidP="00E8765C">
            <w:pPr>
              <w:spacing w:line="240" w:lineRule="auto"/>
              <w:jc w:val="center"/>
              <w:rPr>
                <w:rFonts w:asciiTheme="minorHAnsi" w:hAnsiTheme="minorHAnsi"/>
                <w:b/>
                <w:bCs/>
                <w:color w:val="FFFFFF"/>
                <w:sz w:val="20"/>
                <w:lang w:eastAsia="hr-HR"/>
              </w:rPr>
            </w:pPr>
          </w:p>
        </w:tc>
        <w:tc>
          <w:tcPr>
            <w:tcW w:w="1134" w:type="dxa"/>
            <w:tcBorders>
              <w:top w:val="nil"/>
              <w:left w:val="nil"/>
              <w:bottom w:val="single" w:sz="4" w:space="0" w:color="4BACC6"/>
              <w:right w:val="single" w:sz="4" w:space="0" w:color="FFFFFF"/>
            </w:tcBorders>
            <w:shd w:val="clear" w:color="000000" w:fill="4BACC6"/>
            <w:vAlign w:val="center"/>
          </w:tcPr>
          <w:p w:rsidR="00A46A65" w:rsidRPr="000063FC" w:rsidRDefault="00A46A65" w:rsidP="00E8765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Električna energija</w:t>
            </w:r>
          </w:p>
        </w:tc>
        <w:tc>
          <w:tcPr>
            <w:tcW w:w="1134" w:type="dxa"/>
            <w:tcBorders>
              <w:top w:val="nil"/>
              <w:left w:val="nil"/>
              <w:bottom w:val="single" w:sz="4" w:space="0" w:color="4BACC6"/>
              <w:right w:val="single" w:sz="4" w:space="0" w:color="FFFFFF"/>
            </w:tcBorders>
            <w:shd w:val="clear" w:color="000000" w:fill="4BACC6"/>
            <w:vAlign w:val="center"/>
          </w:tcPr>
          <w:p w:rsidR="00A46A65" w:rsidRPr="000063FC" w:rsidRDefault="00A46A65" w:rsidP="00E8765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Toplinska energija</w:t>
            </w:r>
          </w:p>
        </w:tc>
        <w:tc>
          <w:tcPr>
            <w:tcW w:w="1134" w:type="dxa"/>
            <w:tcBorders>
              <w:top w:val="nil"/>
              <w:left w:val="nil"/>
              <w:bottom w:val="single" w:sz="4" w:space="0" w:color="4BACC6"/>
              <w:right w:val="single" w:sz="4" w:space="0" w:color="FFFFFF"/>
            </w:tcBorders>
            <w:shd w:val="clear" w:color="000000" w:fill="4BACC6"/>
            <w:vAlign w:val="center"/>
          </w:tcPr>
          <w:p w:rsidR="00A46A65" w:rsidRPr="000063FC" w:rsidRDefault="00A46A65" w:rsidP="00E8765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Prirodni plin</w:t>
            </w:r>
          </w:p>
        </w:tc>
        <w:tc>
          <w:tcPr>
            <w:tcW w:w="992" w:type="dxa"/>
            <w:tcBorders>
              <w:top w:val="nil"/>
              <w:left w:val="nil"/>
              <w:bottom w:val="single" w:sz="4" w:space="0" w:color="4BACC6"/>
              <w:right w:val="single" w:sz="4" w:space="0" w:color="FFFFFF"/>
            </w:tcBorders>
            <w:shd w:val="clear" w:color="000000" w:fill="4BACC6"/>
            <w:vAlign w:val="center"/>
          </w:tcPr>
          <w:p w:rsidR="00A46A65" w:rsidRPr="000063FC" w:rsidRDefault="00A46A65" w:rsidP="00E8765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Lož ulje</w:t>
            </w:r>
          </w:p>
        </w:tc>
        <w:tc>
          <w:tcPr>
            <w:tcW w:w="851" w:type="dxa"/>
            <w:tcBorders>
              <w:top w:val="nil"/>
              <w:left w:val="nil"/>
              <w:bottom w:val="single" w:sz="4" w:space="0" w:color="4BACC6"/>
              <w:right w:val="single" w:sz="4" w:space="0" w:color="FFFFFF"/>
            </w:tcBorders>
            <w:shd w:val="clear" w:color="000000" w:fill="4BACC6"/>
            <w:vAlign w:val="center"/>
          </w:tcPr>
          <w:p w:rsidR="00A46A65" w:rsidRPr="000063FC" w:rsidRDefault="00A46A65" w:rsidP="00E8765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UNP</w:t>
            </w:r>
          </w:p>
        </w:tc>
        <w:tc>
          <w:tcPr>
            <w:tcW w:w="1275" w:type="dxa"/>
            <w:tcBorders>
              <w:top w:val="nil"/>
              <w:left w:val="nil"/>
              <w:bottom w:val="single" w:sz="4" w:space="0" w:color="4BACC6"/>
              <w:right w:val="single" w:sz="4" w:space="0" w:color="4BACC6"/>
            </w:tcBorders>
            <w:shd w:val="clear" w:color="000000" w:fill="4BACC6"/>
            <w:vAlign w:val="center"/>
          </w:tcPr>
          <w:p w:rsidR="00A46A65" w:rsidRPr="000063FC" w:rsidRDefault="00A46A65" w:rsidP="00E8765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Ukupno</w:t>
            </w:r>
          </w:p>
        </w:tc>
      </w:tr>
      <w:tr w:rsidR="00A46A65" w:rsidRPr="000063FC" w:rsidTr="00C5197B">
        <w:trPr>
          <w:trHeight w:val="227"/>
        </w:trPr>
        <w:tc>
          <w:tcPr>
            <w:tcW w:w="2552" w:type="dxa"/>
            <w:tcBorders>
              <w:top w:val="nil"/>
              <w:left w:val="single" w:sz="4" w:space="0" w:color="4BACC6"/>
              <w:bottom w:val="single" w:sz="4" w:space="0" w:color="4BACC6"/>
              <w:right w:val="single" w:sz="4" w:space="0" w:color="4BACC6"/>
            </w:tcBorders>
            <w:shd w:val="clear" w:color="000000" w:fill="DBEEF3"/>
            <w:noWrap/>
            <w:vAlign w:val="bottom"/>
          </w:tcPr>
          <w:p w:rsidR="00A46A65" w:rsidRPr="000063FC" w:rsidRDefault="00A46A65" w:rsidP="00E8765C">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STAMBENE I JAVNE ZGRADE U VLASNIŠTVU GRADA</w:t>
            </w:r>
          </w:p>
        </w:tc>
        <w:tc>
          <w:tcPr>
            <w:tcW w:w="1134" w:type="dxa"/>
            <w:tcBorders>
              <w:top w:val="nil"/>
              <w:left w:val="nil"/>
              <w:bottom w:val="single" w:sz="4" w:space="0" w:color="4BACC6"/>
              <w:right w:val="single" w:sz="4" w:space="0" w:color="4BACC6"/>
            </w:tcBorders>
            <w:shd w:val="clear" w:color="000000" w:fill="DBEEF3"/>
            <w:noWrap/>
            <w:vAlign w:val="bottom"/>
          </w:tcPr>
          <w:p w:rsidR="00A46A65" w:rsidRPr="000063FC" w:rsidRDefault="00A46A65" w:rsidP="00E8765C">
            <w:pPr>
              <w:spacing w:line="240" w:lineRule="auto"/>
              <w:rPr>
                <w:rFonts w:asciiTheme="minorHAnsi" w:hAnsiTheme="minorHAnsi"/>
                <w:b/>
                <w:bCs/>
                <w:color w:val="000000"/>
                <w:sz w:val="20"/>
              </w:rPr>
            </w:pPr>
            <w:r w:rsidRPr="000063FC">
              <w:rPr>
                <w:rFonts w:asciiTheme="minorHAnsi" w:hAnsiTheme="minorHAnsi"/>
                <w:b/>
                <w:bCs/>
                <w:color w:val="000000"/>
                <w:sz w:val="20"/>
              </w:rPr>
              <w:t> </w:t>
            </w:r>
          </w:p>
        </w:tc>
        <w:tc>
          <w:tcPr>
            <w:tcW w:w="1134" w:type="dxa"/>
            <w:tcBorders>
              <w:top w:val="nil"/>
              <w:left w:val="nil"/>
              <w:bottom w:val="single" w:sz="4" w:space="0" w:color="4BACC6"/>
              <w:right w:val="single" w:sz="4" w:space="0" w:color="4BACC6"/>
            </w:tcBorders>
            <w:shd w:val="clear" w:color="000000" w:fill="DBEEF3"/>
            <w:noWrap/>
            <w:vAlign w:val="bottom"/>
          </w:tcPr>
          <w:p w:rsidR="00A46A65" w:rsidRPr="000063FC" w:rsidRDefault="00A46A65" w:rsidP="00E8765C">
            <w:pPr>
              <w:spacing w:line="240" w:lineRule="auto"/>
              <w:rPr>
                <w:rFonts w:asciiTheme="minorHAnsi" w:hAnsiTheme="minorHAnsi"/>
                <w:b/>
                <w:bCs/>
                <w:color w:val="000000"/>
                <w:sz w:val="20"/>
              </w:rPr>
            </w:pPr>
            <w:r w:rsidRPr="000063FC">
              <w:rPr>
                <w:rFonts w:asciiTheme="minorHAnsi" w:hAnsiTheme="minorHAnsi"/>
                <w:b/>
                <w:bCs/>
                <w:color w:val="000000"/>
                <w:sz w:val="20"/>
              </w:rPr>
              <w:t> </w:t>
            </w:r>
          </w:p>
        </w:tc>
        <w:tc>
          <w:tcPr>
            <w:tcW w:w="1134" w:type="dxa"/>
            <w:tcBorders>
              <w:top w:val="nil"/>
              <w:left w:val="nil"/>
              <w:bottom w:val="single" w:sz="4" w:space="0" w:color="4BACC6"/>
              <w:right w:val="single" w:sz="4" w:space="0" w:color="4BACC6"/>
            </w:tcBorders>
            <w:shd w:val="clear" w:color="000000" w:fill="DBEEF3"/>
            <w:noWrap/>
            <w:vAlign w:val="bottom"/>
          </w:tcPr>
          <w:p w:rsidR="00A46A65" w:rsidRPr="000063FC" w:rsidRDefault="00A46A65" w:rsidP="00E8765C">
            <w:pPr>
              <w:spacing w:line="240" w:lineRule="auto"/>
              <w:rPr>
                <w:rFonts w:asciiTheme="minorHAnsi" w:hAnsiTheme="minorHAnsi"/>
                <w:b/>
                <w:bCs/>
                <w:color w:val="000000"/>
                <w:sz w:val="20"/>
              </w:rPr>
            </w:pPr>
            <w:r w:rsidRPr="000063FC">
              <w:rPr>
                <w:rFonts w:asciiTheme="minorHAnsi" w:hAnsiTheme="minorHAnsi"/>
                <w:b/>
                <w:bCs/>
                <w:color w:val="000000"/>
                <w:sz w:val="20"/>
              </w:rPr>
              <w:t> </w:t>
            </w:r>
          </w:p>
        </w:tc>
        <w:tc>
          <w:tcPr>
            <w:tcW w:w="992" w:type="dxa"/>
            <w:tcBorders>
              <w:top w:val="nil"/>
              <w:left w:val="nil"/>
              <w:bottom w:val="single" w:sz="4" w:space="0" w:color="4BACC6"/>
              <w:right w:val="single" w:sz="4" w:space="0" w:color="4BACC6"/>
            </w:tcBorders>
            <w:shd w:val="clear" w:color="000000" w:fill="DBEEF3"/>
            <w:noWrap/>
            <w:vAlign w:val="bottom"/>
          </w:tcPr>
          <w:p w:rsidR="00A46A65" w:rsidRPr="000063FC" w:rsidRDefault="00A46A65" w:rsidP="00E8765C">
            <w:pPr>
              <w:spacing w:line="240" w:lineRule="auto"/>
              <w:rPr>
                <w:rFonts w:asciiTheme="minorHAnsi" w:hAnsiTheme="minorHAnsi"/>
                <w:b/>
                <w:bCs/>
                <w:color w:val="000000"/>
                <w:sz w:val="20"/>
              </w:rPr>
            </w:pPr>
            <w:r w:rsidRPr="000063FC">
              <w:rPr>
                <w:rFonts w:asciiTheme="minorHAnsi" w:hAnsiTheme="minorHAnsi"/>
                <w:b/>
                <w:bCs/>
                <w:color w:val="000000"/>
                <w:sz w:val="20"/>
              </w:rPr>
              <w:t> </w:t>
            </w:r>
          </w:p>
        </w:tc>
        <w:tc>
          <w:tcPr>
            <w:tcW w:w="851" w:type="dxa"/>
            <w:tcBorders>
              <w:top w:val="nil"/>
              <w:left w:val="nil"/>
              <w:bottom w:val="single" w:sz="4" w:space="0" w:color="4BACC6"/>
              <w:right w:val="single" w:sz="4" w:space="0" w:color="4BACC6"/>
            </w:tcBorders>
            <w:shd w:val="clear" w:color="000000" w:fill="DBEEF3"/>
            <w:noWrap/>
            <w:vAlign w:val="bottom"/>
          </w:tcPr>
          <w:p w:rsidR="00A46A65" w:rsidRPr="000063FC" w:rsidRDefault="00A46A65" w:rsidP="00E8765C">
            <w:pPr>
              <w:spacing w:line="240" w:lineRule="auto"/>
              <w:rPr>
                <w:rFonts w:asciiTheme="minorHAnsi" w:hAnsiTheme="minorHAnsi"/>
                <w:b/>
                <w:bCs/>
                <w:color w:val="000000"/>
                <w:sz w:val="20"/>
              </w:rPr>
            </w:pPr>
            <w:r w:rsidRPr="000063FC">
              <w:rPr>
                <w:rFonts w:asciiTheme="minorHAnsi" w:hAnsiTheme="minorHAnsi"/>
                <w:b/>
                <w:bCs/>
                <w:color w:val="000000"/>
                <w:sz w:val="20"/>
              </w:rPr>
              <w:t> </w:t>
            </w:r>
          </w:p>
        </w:tc>
        <w:tc>
          <w:tcPr>
            <w:tcW w:w="1275" w:type="dxa"/>
            <w:tcBorders>
              <w:top w:val="nil"/>
              <w:left w:val="nil"/>
              <w:bottom w:val="single" w:sz="4" w:space="0" w:color="4BACC6"/>
              <w:right w:val="single" w:sz="4" w:space="0" w:color="4BACC6"/>
            </w:tcBorders>
            <w:shd w:val="clear" w:color="000000" w:fill="DBEEF3"/>
            <w:noWrap/>
            <w:vAlign w:val="bottom"/>
          </w:tcPr>
          <w:p w:rsidR="00A46A65" w:rsidRPr="000063FC" w:rsidRDefault="00A46A65" w:rsidP="00E8765C">
            <w:pPr>
              <w:spacing w:line="240" w:lineRule="auto"/>
              <w:rPr>
                <w:rFonts w:asciiTheme="minorHAnsi" w:hAnsiTheme="minorHAnsi"/>
                <w:color w:val="000000"/>
                <w:sz w:val="20"/>
              </w:rPr>
            </w:pPr>
            <w:r w:rsidRPr="000063FC">
              <w:rPr>
                <w:rFonts w:asciiTheme="minorHAnsi" w:hAnsiTheme="minorHAnsi"/>
                <w:color w:val="000000"/>
                <w:sz w:val="20"/>
              </w:rPr>
              <w:t> </w:t>
            </w:r>
          </w:p>
        </w:tc>
      </w:tr>
      <w:tr w:rsidR="00A46A65" w:rsidRPr="000063FC" w:rsidTr="00C5197B">
        <w:trPr>
          <w:trHeight w:val="227"/>
        </w:trPr>
        <w:tc>
          <w:tcPr>
            <w:tcW w:w="2552" w:type="dxa"/>
            <w:tcBorders>
              <w:top w:val="nil"/>
              <w:left w:val="single" w:sz="4" w:space="0" w:color="4BACC6"/>
              <w:bottom w:val="single" w:sz="4" w:space="0" w:color="4BACC6"/>
              <w:right w:val="single" w:sz="4" w:space="0" w:color="4BACC6"/>
            </w:tcBorders>
            <w:noWrap/>
            <w:vAlign w:val="bottom"/>
          </w:tcPr>
          <w:p w:rsidR="00A46A65" w:rsidRPr="000063FC" w:rsidRDefault="00A46A65"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ŠKOLSTVO</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6.750,6</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3.577,8</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2.891,8</w:t>
            </w:r>
          </w:p>
        </w:tc>
        <w:tc>
          <w:tcPr>
            <w:tcW w:w="992"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5.564,5</w:t>
            </w:r>
          </w:p>
        </w:tc>
        <w:tc>
          <w:tcPr>
            <w:tcW w:w="851"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275"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18.784,8</w:t>
            </w:r>
          </w:p>
        </w:tc>
      </w:tr>
      <w:tr w:rsidR="00A46A65" w:rsidRPr="000063FC" w:rsidTr="00C5197B">
        <w:trPr>
          <w:trHeight w:val="227"/>
        </w:trPr>
        <w:tc>
          <w:tcPr>
            <w:tcW w:w="2552" w:type="dxa"/>
            <w:tcBorders>
              <w:top w:val="nil"/>
              <w:left w:val="single" w:sz="4" w:space="0" w:color="4BACC6"/>
              <w:bottom w:val="single" w:sz="4" w:space="0" w:color="4BACC6"/>
              <w:right w:val="single" w:sz="4" w:space="0" w:color="4BACC6"/>
            </w:tcBorders>
            <w:noWrap/>
            <w:vAlign w:val="bottom"/>
          </w:tcPr>
          <w:p w:rsidR="00A46A65" w:rsidRPr="000063FC" w:rsidRDefault="00A46A65"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ZDRAVSTVO</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5.467,6</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1.563,7</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1.908,3</w:t>
            </w:r>
          </w:p>
        </w:tc>
        <w:tc>
          <w:tcPr>
            <w:tcW w:w="992"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47,0</w:t>
            </w:r>
          </w:p>
        </w:tc>
        <w:tc>
          <w:tcPr>
            <w:tcW w:w="851"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275"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8.986,7</w:t>
            </w:r>
          </w:p>
        </w:tc>
      </w:tr>
      <w:tr w:rsidR="00A46A65" w:rsidRPr="000063FC" w:rsidTr="00C5197B">
        <w:trPr>
          <w:trHeight w:val="227"/>
        </w:trPr>
        <w:tc>
          <w:tcPr>
            <w:tcW w:w="2552" w:type="dxa"/>
            <w:tcBorders>
              <w:top w:val="nil"/>
              <w:left w:val="single" w:sz="4" w:space="0" w:color="4BACC6"/>
              <w:bottom w:val="single" w:sz="4" w:space="0" w:color="4BACC6"/>
              <w:right w:val="single" w:sz="4" w:space="0" w:color="4BACC6"/>
            </w:tcBorders>
            <w:noWrap/>
            <w:vAlign w:val="bottom"/>
          </w:tcPr>
          <w:p w:rsidR="00A46A65" w:rsidRPr="000063FC" w:rsidRDefault="00A46A65"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UPRAVA</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1.580,0</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478,9</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358,9</w:t>
            </w:r>
          </w:p>
        </w:tc>
        <w:tc>
          <w:tcPr>
            <w:tcW w:w="992"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1.299,9</w:t>
            </w:r>
          </w:p>
        </w:tc>
        <w:tc>
          <w:tcPr>
            <w:tcW w:w="851"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275"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3.717,7</w:t>
            </w:r>
          </w:p>
        </w:tc>
      </w:tr>
      <w:tr w:rsidR="00A46A65" w:rsidRPr="000063FC" w:rsidTr="00C5197B">
        <w:trPr>
          <w:trHeight w:val="227"/>
        </w:trPr>
        <w:tc>
          <w:tcPr>
            <w:tcW w:w="2552" w:type="dxa"/>
            <w:tcBorders>
              <w:top w:val="nil"/>
              <w:left w:val="single" w:sz="4" w:space="0" w:color="4BACC6"/>
              <w:bottom w:val="single" w:sz="4" w:space="0" w:color="4BACC6"/>
              <w:right w:val="single" w:sz="4" w:space="0" w:color="4BACC6"/>
            </w:tcBorders>
            <w:noWrap/>
            <w:vAlign w:val="bottom"/>
          </w:tcPr>
          <w:p w:rsidR="00A46A65" w:rsidRPr="000063FC" w:rsidRDefault="00A46A65"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KULTURA</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1.908,0</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11,7</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1.191,7</w:t>
            </w:r>
          </w:p>
        </w:tc>
        <w:tc>
          <w:tcPr>
            <w:tcW w:w="992"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851"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275"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3.111,3</w:t>
            </w:r>
          </w:p>
        </w:tc>
      </w:tr>
      <w:tr w:rsidR="00A46A65" w:rsidRPr="000063FC" w:rsidTr="00C5197B">
        <w:trPr>
          <w:trHeight w:val="227"/>
        </w:trPr>
        <w:tc>
          <w:tcPr>
            <w:tcW w:w="2552" w:type="dxa"/>
            <w:tcBorders>
              <w:top w:val="nil"/>
              <w:left w:val="single" w:sz="4" w:space="0" w:color="4BACC6"/>
              <w:bottom w:val="single" w:sz="4" w:space="0" w:color="4BACC6"/>
              <w:right w:val="single" w:sz="4" w:space="0" w:color="4BACC6"/>
            </w:tcBorders>
            <w:vAlign w:val="bottom"/>
          </w:tcPr>
          <w:p w:rsidR="00A46A65" w:rsidRPr="000063FC" w:rsidRDefault="00A46A65"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POSLOVNI PROSTORI I</w:t>
            </w:r>
            <w:r w:rsidRPr="000063FC">
              <w:rPr>
                <w:rFonts w:asciiTheme="minorHAnsi" w:hAnsiTheme="minorHAnsi"/>
                <w:color w:val="000000"/>
                <w:sz w:val="20"/>
                <w:lang w:eastAsia="hr-HR"/>
              </w:rPr>
              <w:br/>
              <w:t>STANOVI U VLASNIŠTVU GRADA</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5.043,6</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1.217,7</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1.394,1</w:t>
            </w:r>
          </w:p>
        </w:tc>
        <w:tc>
          <w:tcPr>
            <w:tcW w:w="992"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851"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275"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7.655,4</w:t>
            </w:r>
          </w:p>
        </w:tc>
      </w:tr>
      <w:tr w:rsidR="00A46A65" w:rsidRPr="000063FC" w:rsidTr="00C5197B">
        <w:trPr>
          <w:trHeight w:val="227"/>
        </w:trPr>
        <w:tc>
          <w:tcPr>
            <w:tcW w:w="2552" w:type="dxa"/>
            <w:tcBorders>
              <w:top w:val="nil"/>
              <w:left w:val="single" w:sz="4" w:space="0" w:color="4BACC6"/>
              <w:bottom w:val="single" w:sz="4" w:space="0" w:color="4BACC6"/>
              <w:right w:val="single" w:sz="4" w:space="0" w:color="4BACC6"/>
            </w:tcBorders>
            <w:vAlign w:val="bottom"/>
          </w:tcPr>
          <w:p w:rsidR="00A46A65" w:rsidRPr="000063FC" w:rsidRDefault="00A46A65"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ZGRADE ČLANICA ZAGREBAČKOG HOLDINGA</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18.778,6</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2.607,8</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1.979,0</w:t>
            </w:r>
          </w:p>
        </w:tc>
        <w:tc>
          <w:tcPr>
            <w:tcW w:w="992"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1.474,0</w:t>
            </w:r>
          </w:p>
        </w:tc>
        <w:tc>
          <w:tcPr>
            <w:tcW w:w="851"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58,0</w:t>
            </w:r>
          </w:p>
        </w:tc>
        <w:tc>
          <w:tcPr>
            <w:tcW w:w="1275"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24.897,3</w:t>
            </w:r>
          </w:p>
        </w:tc>
      </w:tr>
      <w:tr w:rsidR="00A46A65" w:rsidRPr="000063FC" w:rsidTr="00C5197B">
        <w:trPr>
          <w:trHeight w:val="227"/>
        </w:trPr>
        <w:tc>
          <w:tcPr>
            <w:tcW w:w="2552" w:type="dxa"/>
            <w:tcBorders>
              <w:top w:val="nil"/>
              <w:left w:val="single" w:sz="4" w:space="0" w:color="4BACC6"/>
              <w:bottom w:val="single" w:sz="4" w:space="0" w:color="4BACC6"/>
              <w:right w:val="single" w:sz="4" w:space="0" w:color="4BACC6"/>
            </w:tcBorders>
            <w:vAlign w:val="bottom"/>
          </w:tcPr>
          <w:p w:rsidR="00A46A65" w:rsidRPr="000063FC" w:rsidRDefault="00A46A65"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UKUPNO:</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39.528,4</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9.457,6</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9.723,8</w:t>
            </w:r>
          </w:p>
        </w:tc>
        <w:tc>
          <w:tcPr>
            <w:tcW w:w="992"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8.385,4</w:t>
            </w:r>
          </w:p>
        </w:tc>
        <w:tc>
          <w:tcPr>
            <w:tcW w:w="851"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58,0</w:t>
            </w:r>
          </w:p>
        </w:tc>
        <w:tc>
          <w:tcPr>
            <w:tcW w:w="1275"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67.153,1</w:t>
            </w:r>
          </w:p>
        </w:tc>
      </w:tr>
      <w:tr w:rsidR="00A46A65" w:rsidRPr="000063FC" w:rsidTr="00C5197B">
        <w:trPr>
          <w:trHeight w:val="227"/>
        </w:trPr>
        <w:tc>
          <w:tcPr>
            <w:tcW w:w="2552" w:type="dxa"/>
            <w:tcBorders>
              <w:top w:val="nil"/>
              <w:left w:val="single" w:sz="4" w:space="0" w:color="4BACC6"/>
              <w:bottom w:val="single" w:sz="4" w:space="0" w:color="4BACC6"/>
              <w:right w:val="single" w:sz="4" w:space="0" w:color="4BACC6"/>
            </w:tcBorders>
            <w:shd w:val="clear" w:color="000000" w:fill="DBEEF3"/>
            <w:vAlign w:val="bottom"/>
          </w:tcPr>
          <w:p w:rsidR="00A46A65" w:rsidRPr="000063FC" w:rsidRDefault="00A46A65" w:rsidP="00E8765C">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ZGRADE KOMERCIJALNIH I USLUŽNIH DJELATNOSTI</w:t>
            </w:r>
          </w:p>
        </w:tc>
        <w:tc>
          <w:tcPr>
            <w:tcW w:w="1134" w:type="dxa"/>
            <w:tcBorders>
              <w:top w:val="nil"/>
              <w:left w:val="nil"/>
              <w:bottom w:val="single" w:sz="4" w:space="0" w:color="4BACC6"/>
              <w:right w:val="single" w:sz="4" w:space="0" w:color="4BACC6"/>
            </w:tcBorders>
            <w:shd w:val="clear" w:color="000000" w:fill="DBEEF3"/>
            <w:vAlign w:val="bottom"/>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bottom"/>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bottom"/>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992" w:type="dxa"/>
            <w:tcBorders>
              <w:top w:val="nil"/>
              <w:left w:val="nil"/>
              <w:bottom w:val="single" w:sz="4" w:space="0" w:color="4BACC6"/>
              <w:right w:val="single" w:sz="4" w:space="0" w:color="4BACC6"/>
            </w:tcBorders>
            <w:shd w:val="clear" w:color="000000" w:fill="DBEEF3"/>
            <w:vAlign w:val="bottom"/>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851" w:type="dxa"/>
            <w:tcBorders>
              <w:top w:val="nil"/>
              <w:left w:val="nil"/>
              <w:bottom w:val="single" w:sz="4" w:space="0" w:color="4BACC6"/>
              <w:right w:val="single" w:sz="4" w:space="0" w:color="4BACC6"/>
            </w:tcBorders>
            <w:shd w:val="clear" w:color="000000" w:fill="DBEEF3"/>
            <w:vAlign w:val="bottom"/>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275" w:type="dxa"/>
            <w:tcBorders>
              <w:top w:val="nil"/>
              <w:left w:val="nil"/>
              <w:bottom w:val="single" w:sz="4" w:space="0" w:color="4BACC6"/>
              <w:right w:val="single" w:sz="4" w:space="0" w:color="4BACC6"/>
            </w:tcBorders>
            <w:shd w:val="clear" w:color="000000" w:fill="DBEEF3"/>
            <w:vAlign w:val="bottom"/>
          </w:tcPr>
          <w:p w:rsidR="00A46A65" w:rsidRPr="000063FC" w:rsidRDefault="00A46A65"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r>
      <w:tr w:rsidR="00A46A65" w:rsidRPr="000063FC" w:rsidTr="00C5197B">
        <w:trPr>
          <w:trHeight w:val="227"/>
        </w:trPr>
        <w:tc>
          <w:tcPr>
            <w:tcW w:w="2552" w:type="dxa"/>
            <w:tcBorders>
              <w:top w:val="nil"/>
              <w:left w:val="single" w:sz="4" w:space="0" w:color="4BACC6"/>
              <w:bottom w:val="single" w:sz="4" w:space="0" w:color="4BACC6"/>
              <w:right w:val="single" w:sz="4" w:space="0" w:color="4BACC6"/>
            </w:tcBorders>
            <w:vAlign w:val="bottom"/>
          </w:tcPr>
          <w:p w:rsidR="00A46A65" w:rsidRPr="000063FC" w:rsidRDefault="00A46A65"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ZGRADE KOMERCIJALNIH I</w:t>
            </w:r>
            <w:r w:rsidRPr="000063FC">
              <w:rPr>
                <w:rFonts w:asciiTheme="minorHAnsi" w:hAnsiTheme="minorHAnsi"/>
                <w:color w:val="000000"/>
                <w:sz w:val="20"/>
                <w:lang w:eastAsia="hr-HR"/>
              </w:rPr>
              <w:br/>
              <w:t>USLUŽNIH DJELATNOSTI</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178.452,0</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121.277,3</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99.912,5</w:t>
            </w:r>
          </w:p>
        </w:tc>
        <w:tc>
          <w:tcPr>
            <w:tcW w:w="992"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851"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275"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399.641,8</w:t>
            </w:r>
          </w:p>
        </w:tc>
      </w:tr>
      <w:tr w:rsidR="00A46A65" w:rsidRPr="000063FC" w:rsidTr="00C5197B">
        <w:trPr>
          <w:trHeight w:val="227"/>
        </w:trPr>
        <w:tc>
          <w:tcPr>
            <w:tcW w:w="2552" w:type="dxa"/>
            <w:tcBorders>
              <w:top w:val="nil"/>
              <w:left w:val="single" w:sz="4" w:space="0" w:color="4BACC6"/>
              <w:bottom w:val="single" w:sz="4" w:space="0" w:color="4BACC6"/>
              <w:right w:val="single" w:sz="4" w:space="0" w:color="4BACC6"/>
            </w:tcBorders>
            <w:shd w:val="clear" w:color="000000" w:fill="DBEEF3"/>
            <w:vAlign w:val="center"/>
          </w:tcPr>
          <w:p w:rsidR="00A46A65" w:rsidRPr="000063FC" w:rsidRDefault="00A46A65" w:rsidP="00E8765C">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STAMBENE ZGRADE - KUĆANSTVA</w:t>
            </w:r>
          </w:p>
        </w:tc>
        <w:tc>
          <w:tcPr>
            <w:tcW w:w="1134" w:type="dxa"/>
            <w:tcBorders>
              <w:top w:val="nil"/>
              <w:left w:val="nil"/>
              <w:bottom w:val="single" w:sz="4" w:space="0" w:color="4BACC6"/>
              <w:right w:val="single" w:sz="4" w:space="0" w:color="4BACC6"/>
            </w:tcBorders>
            <w:shd w:val="clear" w:color="000000" w:fill="DBEEF3"/>
            <w:vAlign w:val="center"/>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center"/>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center"/>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992" w:type="dxa"/>
            <w:tcBorders>
              <w:top w:val="nil"/>
              <w:left w:val="nil"/>
              <w:bottom w:val="single" w:sz="4" w:space="0" w:color="4BACC6"/>
              <w:right w:val="single" w:sz="4" w:space="0" w:color="4BACC6"/>
            </w:tcBorders>
            <w:shd w:val="clear" w:color="000000" w:fill="DBEEF3"/>
            <w:vAlign w:val="center"/>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851" w:type="dxa"/>
            <w:tcBorders>
              <w:top w:val="nil"/>
              <w:left w:val="nil"/>
              <w:bottom w:val="single" w:sz="4" w:space="0" w:color="4BACC6"/>
              <w:right w:val="single" w:sz="4" w:space="0" w:color="4BACC6"/>
            </w:tcBorders>
            <w:shd w:val="clear" w:color="000000" w:fill="DBEEF3"/>
            <w:vAlign w:val="center"/>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275" w:type="dxa"/>
            <w:tcBorders>
              <w:top w:val="nil"/>
              <w:left w:val="nil"/>
              <w:bottom w:val="single" w:sz="4" w:space="0" w:color="4BACC6"/>
              <w:right w:val="single" w:sz="4" w:space="0" w:color="4BACC6"/>
            </w:tcBorders>
            <w:shd w:val="clear" w:color="000000" w:fill="DBEEF3"/>
            <w:vAlign w:val="bottom"/>
          </w:tcPr>
          <w:p w:rsidR="00A46A65" w:rsidRPr="000063FC" w:rsidRDefault="00A46A65"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r>
      <w:tr w:rsidR="00A46A65" w:rsidRPr="000063FC" w:rsidTr="00C5197B">
        <w:trPr>
          <w:trHeight w:val="227"/>
        </w:trPr>
        <w:tc>
          <w:tcPr>
            <w:tcW w:w="2552" w:type="dxa"/>
            <w:tcBorders>
              <w:top w:val="nil"/>
              <w:left w:val="single" w:sz="4" w:space="0" w:color="4BACC6"/>
              <w:bottom w:val="single" w:sz="4" w:space="0" w:color="4BACC6"/>
              <w:right w:val="single" w:sz="4" w:space="0" w:color="4BACC6"/>
            </w:tcBorders>
            <w:vAlign w:val="bottom"/>
          </w:tcPr>
          <w:p w:rsidR="00A46A65" w:rsidRPr="000063FC" w:rsidRDefault="00A46A65"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KUĆANSTVA</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261.839,3</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67.333,9</w:t>
            </w:r>
          </w:p>
        </w:tc>
        <w:tc>
          <w:tcPr>
            <w:tcW w:w="1134"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357.264,6</w:t>
            </w:r>
          </w:p>
        </w:tc>
        <w:tc>
          <w:tcPr>
            <w:tcW w:w="992"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12.669,6</w:t>
            </w:r>
          </w:p>
        </w:tc>
        <w:tc>
          <w:tcPr>
            <w:tcW w:w="851"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275" w:type="dxa"/>
            <w:tcBorders>
              <w:top w:val="nil"/>
              <w:left w:val="nil"/>
              <w:bottom w:val="single" w:sz="4" w:space="0" w:color="4BACC6"/>
              <w:right w:val="single" w:sz="4" w:space="0" w:color="4BACC6"/>
            </w:tcBorders>
            <w:noWrap/>
            <w:vAlign w:val="bottom"/>
          </w:tcPr>
          <w:p w:rsidR="00A46A65" w:rsidRPr="000063FC" w:rsidRDefault="00A46A65"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699.107,4</w:t>
            </w:r>
          </w:p>
        </w:tc>
      </w:tr>
      <w:tr w:rsidR="00A46A65" w:rsidRPr="000063FC" w:rsidTr="00C5197B">
        <w:trPr>
          <w:trHeight w:val="227"/>
        </w:trPr>
        <w:tc>
          <w:tcPr>
            <w:tcW w:w="2552" w:type="dxa"/>
            <w:tcBorders>
              <w:top w:val="nil"/>
              <w:left w:val="single" w:sz="4" w:space="0" w:color="4BACC6"/>
              <w:bottom w:val="single" w:sz="4" w:space="0" w:color="4BACC6"/>
              <w:right w:val="single" w:sz="4" w:space="0" w:color="4BACC6"/>
            </w:tcBorders>
            <w:shd w:val="clear" w:color="000000" w:fill="DBEEF3"/>
            <w:vAlign w:val="bottom"/>
          </w:tcPr>
          <w:p w:rsidR="00A46A65" w:rsidRPr="000063FC" w:rsidRDefault="00A46A65" w:rsidP="00E8765C">
            <w:pPr>
              <w:spacing w:line="240" w:lineRule="auto"/>
              <w:jc w:val="left"/>
              <w:rPr>
                <w:rFonts w:asciiTheme="minorHAnsi" w:hAnsiTheme="minorHAnsi"/>
                <w:b/>
                <w:bCs/>
                <w:color w:val="000000"/>
                <w:sz w:val="20"/>
                <w:lang w:eastAsia="hr-HR"/>
              </w:rPr>
            </w:pPr>
          </w:p>
        </w:tc>
        <w:tc>
          <w:tcPr>
            <w:tcW w:w="1134" w:type="dxa"/>
            <w:tcBorders>
              <w:top w:val="nil"/>
              <w:left w:val="nil"/>
              <w:bottom w:val="single" w:sz="4" w:space="0" w:color="4BACC6"/>
              <w:right w:val="single" w:sz="4" w:space="0" w:color="4BACC6"/>
            </w:tcBorders>
            <w:shd w:val="clear" w:color="000000" w:fill="DBEEF3"/>
            <w:vAlign w:val="bottom"/>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bottom"/>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134" w:type="dxa"/>
            <w:tcBorders>
              <w:top w:val="nil"/>
              <w:left w:val="nil"/>
              <w:bottom w:val="single" w:sz="4" w:space="0" w:color="4BACC6"/>
              <w:right w:val="single" w:sz="4" w:space="0" w:color="4BACC6"/>
            </w:tcBorders>
            <w:shd w:val="clear" w:color="000000" w:fill="DBEEF3"/>
            <w:vAlign w:val="bottom"/>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992" w:type="dxa"/>
            <w:tcBorders>
              <w:top w:val="nil"/>
              <w:left w:val="nil"/>
              <w:bottom w:val="single" w:sz="4" w:space="0" w:color="4BACC6"/>
              <w:right w:val="single" w:sz="4" w:space="0" w:color="4BACC6"/>
            </w:tcBorders>
            <w:shd w:val="clear" w:color="000000" w:fill="DBEEF3"/>
            <w:vAlign w:val="bottom"/>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851" w:type="dxa"/>
            <w:tcBorders>
              <w:top w:val="nil"/>
              <w:left w:val="nil"/>
              <w:bottom w:val="single" w:sz="4" w:space="0" w:color="4BACC6"/>
              <w:right w:val="single" w:sz="4" w:space="0" w:color="4BACC6"/>
            </w:tcBorders>
            <w:shd w:val="clear" w:color="000000" w:fill="DBEEF3"/>
            <w:vAlign w:val="bottom"/>
          </w:tcPr>
          <w:p w:rsidR="00A46A65" w:rsidRPr="000063FC" w:rsidRDefault="00A46A65" w:rsidP="00E8765C">
            <w:pPr>
              <w:spacing w:line="240" w:lineRule="auto"/>
              <w:rPr>
                <w:rFonts w:asciiTheme="minorHAnsi" w:hAnsiTheme="minorHAnsi" w:cs="Arial"/>
                <w:b/>
                <w:bCs/>
                <w:color w:val="000000"/>
                <w:sz w:val="20"/>
              </w:rPr>
            </w:pPr>
            <w:r w:rsidRPr="000063FC">
              <w:rPr>
                <w:rFonts w:asciiTheme="minorHAnsi" w:hAnsiTheme="minorHAnsi" w:cs="Arial"/>
                <w:b/>
                <w:bCs/>
                <w:color w:val="000000"/>
                <w:sz w:val="20"/>
              </w:rPr>
              <w:t> </w:t>
            </w:r>
          </w:p>
        </w:tc>
        <w:tc>
          <w:tcPr>
            <w:tcW w:w="1275" w:type="dxa"/>
            <w:tcBorders>
              <w:top w:val="nil"/>
              <w:left w:val="nil"/>
              <w:bottom w:val="single" w:sz="4" w:space="0" w:color="4BACC6"/>
              <w:right w:val="single" w:sz="4" w:space="0" w:color="4BACC6"/>
            </w:tcBorders>
            <w:shd w:val="clear" w:color="000000" w:fill="DBEEF3"/>
            <w:vAlign w:val="bottom"/>
          </w:tcPr>
          <w:p w:rsidR="00A46A65" w:rsidRPr="000063FC" w:rsidRDefault="00A46A65"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r>
      <w:tr w:rsidR="00A46A65" w:rsidRPr="000063FC" w:rsidTr="00C5197B">
        <w:trPr>
          <w:trHeight w:val="227"/>
        </w:trPr>
        <w:tc>
          <w:tcPr>
            <w:tcW w:w="2552" w:type="dxa"/>
            <w:tcBorders>
              <w:top w:val="single" w:sz="4" w:space="0" w:color="4BACC6"/>
              <w:left w:val="single" w:sz="4" w:space="0" w:color="4BACC6"/>
              <w:bottom w:val="single" w:sz="4" w:space="0" w:color="4BACC6"/>
              <w:right w:val="single" w:sz="4" w:space="0" w:color="FFFFFF"/>
            </w:tcBorders>
            <w:shd w:val="clear" w:color="auto" w:fill="4BACC6"/>
            <w:vAlign w:val="center"/>
          </w:tcPr>
          <w:p w:rsidR="00A46A65" w:rsidRPr="000063FC" w:rsidRDefault="00A46A65" w:rsidP="00E8765C">
            <w:pPr>
              <w:spacing w:line="240" w:lineRule="auto"/>
              <w:jc w:val="center"/>
              <w:rPr>
                <w:rFonts w:asciiTheme="minorHAnsi" w:hAnsiTheme="minorHAnsi"/>
                <w:b/>
                <w:bCs/>
                <w:color w:val="FFFFFF" w:themeColor="background1"/>
                <w:sz w:val="20"/>
                <w:lang w:eastAsia="hr-HR"/>
              </w:rPr>
            </w:pPr>
            <w:r w:rsidRPr="000063FC">
              <w:rPr>
                <w:rFonts w:asciiTheme="minorHAnsi" w:hAnsiTheme="minorHAnsi"/>
                <w:b/>
                <w:bCs/>
                <w:color w:val="FFFFFF" w:themeColor="background1"/>
                <w:sz w:val="20"/>
                <w:lang w:eastAsia="hr-HR"/>
              </w:rPr>
              <w:t>UKUPNO</w:t>
            </w:r>
          </w:p>
        </w:tc>
        <w:tc>
          <w:tcPr>
            <w:tcW w:w="1134"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A46A65" w:rsidRPr="000063FC" w:rsidRDefault="00A46A65"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479.819,7</w:t>
            </w:r>
          </w:p>
        </w:tc>
        <w:tc>
          <w:tcPr>
            <w:tcW w:w="1134"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A46A65" w:rsidRPr="000063FC" w:rsidRDefault="00A46A65"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198.068,8</w:t>
            </w:r>
          </w:p>
        </w:tc>
        <w:tc>
          <w:tcPr>
            <w:tcW w:w="1134"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A46A65" w:rsidRPr="000063FC" w:rsidRDefault="00A46A65"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466.900,9</w:t>
            </w:r>
          </w:p>
        </w:tc>
        <w:tc>
          <w:tcPr>
            <w:tcW w:w="992"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A46A65" w:rsidRPr="000063FC" w:rsidRDefault="00A46A65"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21.055,0</w:t>
            </w:r>
          </w:p>
        </w:tc>
        <w:tc>
          <w:tcPr>
            <w:tcW w:w="851"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A46A65" w:rsidRPr="000063FC" w:rsidRDefault="00A46A65"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58,0</w:t>
            </w:r>
          </w:p>
        </w:tc>
        <w:tc>
          <w:tcPr>
            <w:tcW w:w="1275" w:type="dxa"/>
            <w:tcBorders>
              <w:top w:val="single" w:sz="4" w:space="0" w:color="4BACC6"/>
              <w:left w:val="single" w:sz="4" w:space="0" w:color="FFFFFF"/>
              <w:bottom w:val="single" w:sz="4" w:space="0" w:color="4BACC6"/>
              <w:right w:val="single" w:sz="4" w:space="0" w:color="4BACC6"/>
            </w:tcBorders>
            <w:shd w:val="clear" w:color="auto" w:fill="4BACC6"/>
            <w:noWrap/>
            <w:vAlign w:val="center"/>
          </w:tcPr>
          <w:p w:rsidR="00A46A65" w:rsidRPr="000063FC" w:rsidRDefault="00A46A65"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1.165.902,3</w:t>
            </w:r>
          </w:p>
        </w:tc>
      </w:tr>
    </w:tbl>
    <w:p w:rsidR="00BC62E2" w:rsidRPr="000063FC" w:rsidRDefault="00E8765C">
      <w:pPr>
        <w:tabs>
          <w:tab w:val="clear" w:pos="720"/>
          <w:tab w:val="clear" w:pos="6912"/>
        </w:tabs>
        <w:spacing w:line="240" w:lineRule="auto"/>
        <w:jc w:val="left"/>
        <w:rPr>
          <w:szCs w:val="22"/>
        </w:rPr>
      </w:pPr>
      <w:r w:rsidRPr="000063FC">
        <w:rPr>
          <w:szCs w:val="22"/>
        </w:rPr>
        <w:lastRenderedPageBreak/>
        <w:t>U tablicama 3.8 i 3.9 pri</w:t>
      </w:r>
      <w:r w:rsidR="00C5197B" w:rsidRPr="000063FC">
        <w:rPr>
          <w:szCs w:val="22"/>
        </w:rPr>
        <w:t>kazani su potencijali energetskih ušteda</w:t>
      </w:r>
      <w:r w:rsidRPr="000063FC">
        <w:rPr>
          <w:szCs w:val="22"/>
        </w:rPr>
        <w:t xml:space="preserve"> </w:t>
      </w:r>
      <w:r w:rsidR="00C5197B" w:rsidRPr="000063FC">
        <w:rPr>
          <w:szCs w:val="22"/>
        </w:rPr>
        <w:t xml:space="preserve"> i smanjenja emisija</w:t>
      </w:r>
      <w:r w:rsidRPr="000063FC">
        <w:rPr>
          <w:szCs w:val="22"/>
        </w:rPr>
        <w:t xml:space="preserve"> CO</w:t>
      </w:r>
      <w:r w:rsidRPr="000063FC">
        <w:rPr>
          <w:szCs w:val="22"/>
          <w:vertAlign w:val="subscript"/>
        </w:rPr>
        <w:t>2</w:t>
      </w:r>
      <w:r w:rsidRPr="000063FC">
        <w:rPr>
          <w:szCs w:val="22"/>
        </w:rPr>
        <w:t xml:space="preserve"> podijeljeni po podsektorima, kategorijama i potka</w:t>
      </w:r>
      <w:r w:rsidR="00E669C7" w:rsidRPr="000063FC">
        <w:rPr>
          <w:szCs w:val="22"/>
        </w:rPr>
        <w:t>tegorijama sektora zagradarstvo.</w:t>
      </w:r>
    </w:p>
    <w:p w:rsidR="00E8765C" w:rsidRPr="000063FC" w:rsidRDefault="00E8765C">
      <w:pPr>
        <w:tabs>
          <w:tab w:val="clear" w:pos="720"/>
          <w:tab w:val="clear" w:pos="6912"/>
        </w:tabs>
        <w:spacing w:line="240" w:lineRule="auto"/>
        <w:jc w:val="left"/>
        <w:rPr>
          <w:szCs w:val="22"/>
        </w:rPr>
      </w:pPr>
    </w:p>
    <w:p w:rsidR="00E8765C" w:rsidRPr="000063FC" w:rsidRDefault="00E8765C" w:rsidP="00B33E2F">
      <w:pPr>
        <w:pStyle w:val="Heading6"/>
      </w:pPr>
      <w:bookmarkStart w:id="222" w:name="_Toc254010264"/>
      <w:bookmarkStart w:id="223" w:name="_Toc251161366"/>
      <w:r w:rsidRPr="000063FC">
        <w:t xml:space="preserve">Tablica 3.8: </w:t>
      </w:r>
      <w:r w:rsidR="00E669C7" w:rsidRPr="000063FC">
        <w:t xml:space="preserve">Potencijal energetskih ušteda </w:t>
      </w:r>
      <w:r w:rsidRPr="000063FC">
        <w:t>sektora z</w:t>
      </w:r>
      <w:r w:rsidR="00E669C7" w:rsidRPr="000063FC">
        <w:t>gradarstva</w:t>
      </w:r>
      <w:bookmarkEnd w:id="222"/>
      <w:r w:rsidR="00E669C7" w:rsidRPr="000063FC">
        <w:t xml:space="preserve"> </w:t>
      </w:r>
      <w:r w:rsidRPr="000063FC">
        <w:t xml:space="preserve"> </w:t>
      </w:r>
      <w:bookmarkEnd w:id="223"/>
    </w:p>
    <w:tbl>
      <w:tblPr>
        <w:tblW w:w="9178" w:type="dxa"/>
        <w:tblInd w:w="108" w:type="dxa"/>
        <w:tblLayout w:type="fixed"/>
        <w:tblLook w:val="00A0" w:firstRow="1" w:lastRow="0" w:firstColumn="1" w:lastColumn="0" w:noHBand="0" w:noVBand="0"/>
      </w:tblPr>
      <w:tblGrid>
        <w:gridCol w:w="2800"/>
        <w:gridCol w:w="1134"/>
        <w:gridCol w:w="1275"/>
        <w:gridCol w:w="1134"/>
        <w:gridCol w:w="1134"/>
        <w:gridCol w:w="709"/>
        <w:gridCol w:w="992"/>
      </w:tblGrid>
      <w:tr w:rsidR="00E8765C" w:rsidRPr="000063FC" w:rsidTr="00E8765C">
        <w:trPr>
          <w:trHeight w:val="227"/>
        </w:trPr>
        <w:tc>
          <w:tcPr>
            <w:tcW w:w="2800" w:type="dxa"/>
            <w:vMerge w:val="restart"/>
            <w:tcBorders>
              <w:top w:val="single" w:sz="4" w:space="0" w:color="4BACC6"/>
              <w:left w:val="single" w:sz="4" w:space="0" w:color="4BACC6"/>
              <w:bottom w:val="single" w:sz="4" w:space="0" w:color="4BACC6"/>
              <w:right w:val="single" w:sz="4" w:space="0" w:color="FFFFFF"/>
            </w:tcBorders>
            <w:shd w:val="clear" w:color="000000" w:fill="4BACC6"/>
            <w:noWrap/>
            <w:vAlign w:val="center"/>
          </w:tcPr>
          <w:p w:rsidR="00E8765C" w:rsidRPr="000063FC" w:rsidRDefault="00E8765C" w:rsidP="00E8765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KATEGORIJA</w:t>
            </w:r>
          </w:p>
        </w:tc>
        <w:tc>
          <w:tcPr>
            <w:tcW w:w="6378" w:type="dxa"/>
            <w:gridSpan w:val="6"/>
            <w:tcBorders>
              <w:top w:val="single" w:sz="4" w:space="0" w:color="4BACC6"/>
              <w:left w:val="nil"/>
              <w:bottom w:val="single" w:sz="4" w:space="0" w:color="FFFFFF"/>
              <w:right w:val="single" w:sz="4" w:space="0" w:color="4BACC6"/>
            </w:tcBorders>
            <w:shd w:val="clear" w:color="000000" w:fill="4BACC6"/>
            <w:noWrap/>
            <w:vAlign w:val="center"/>
          </w:tcPr>
          <w:p w:rsidR="00E8765C" w:rsidRPr="000063FC" w:rsidRDefault="00E8765C" w:rsidP="00E8765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Ušteda, MWh</w:t>
            </w:r>
          </w:p>
        </w:tc>
      </w:tr>
      <w:tr w:rsidR="00E8765C" w:rsidRPr="000063FC" w:rsidTr="00E8765C">
        <w:trPr>
          <w:trHeight w:val="227"/>
        </w:trPr>
        <w:tc>
          <w:tcPr>
            <w:tcW w:w="2800" w:type="dxa"/>
            <w:vMerge/>
            <w:tcBorders>
              <w:top w:val="single" w:sz="4" w:space="0" w:color="4BACC6"/>
              <w:left w:val="single" w:sz="4" w:space="0" w:color="4BACC6"/>
              <w:bottom w:val="single" w:sz="4" w:space="0" w:color="4BACC6"/>
              <w:right w:val="single" w:sz="4" w:space="0" w:color="FFFFFF"/>
            </w:tcBorders>
            <w:vAlign w:val="center"/>
          </w:tcPr>
          <w:p w:rsidR="00E8765C" w:rsidRPr="000063FC" w:rsidRDefault="00E8765C" w:rsidP="00E8765C">
            <w:pPr>
              <w:spacing w:line="240" w:lineRule="auto"/>
              <w:jc w:val="center"/>
              <w:rPr>
                <w:rFonts w:asciiTheme="minorHAnsi" w:hAnsiTheme="minorHAnsi"/>
                <w:b/>
                <w:bCs/>
                <w:color w:val="FFFFFF"/>
                <w:sz w:val="20"/>
                <w:lang w:eastAsia="hr-HR"/>
              </w:rPr>
            </w:pPr>
          </w:p>
        </w:tc>
        <w:tc>
          <w:tcPr>
            <w:tcW w:w="1134" w:type="dxa"/>
            <w:tcBorders>
              <w:top w:val="nil"/>
              <w:left w:val="nil"/>
              <w:bottom w:val="single" w:sz="4" w:space="0" w:color="4BACC6"/>
              <w:right w:val="single" w:sz="4" w:space="0" w:color="FFFFFF"/>
            </w:tcBorders>
            <w:shd w:val="clear" w:color="000000" w:fill="4BACC6"/>
            <w:vAlign w:val="center"/>
          </w:tcPr>
          <w:p w:rsidR="00E8765C" w:rsidRPr="000063FC" w:rsidRDefault="00E8765C" w:rsidP="00E8765C">
            <w:pPr>
              <w:spacing w:line="240"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Električna energija</w:t>
            </w:r>
          </w:p>
        </w:tc>
        <w:tc>
          <w:tcPr>
            <w:tcW w:w="1275" w:type="dxa"/>
            <w:tcBorders>
              <w:top w:val="nil"/>
              <w:left w:val="nil"/>
              <w:bottom w:val="single" w:sz="4" w:space="0" w:color="4BACC6"/>
              <w:right w:val="single" w:sz="4" w:space="0" w:color="FFFFFF"/>
            </w:tcBorders>
            <w:shd w:val="clear" w:color="000000" w:fill="4BACC6"/>
            <w:vAlign w:val="center"/>
          </w:tcPr>
          <w:p w:rsidR="00E8765C" w:rsidRPr="000063FC" w:rsidRDefault="00E8765C" w:rsidP="00E8765C">
            <w:pPr>
              <w:spacing w:line="240"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Toplinska energija</w:t>
            </w:r>
          </w:p>
        </w:tc>
        <w:tc>
          <w:tcPr>
            <w:tcW w:w="1134" w:type="dxa"/>
            <w:tcBorders>
              <w:top w:val="nil"/>
              <w:left w:val="nil"/>
              <w:bottom w:val="single" w:sz="4" w:space="0" w:color="4BACC6"/>
              <w:right w:val="single" w:sz="4" w:space="0" w:color="FFFFFF"/>
            </w:tcBorders>
            <w:shd w:val="clear" w:color="000000" w:fill="4BACC6"/>
            <w:vAlign w:val="center"/>
          </w:tcPr>
          <w:p w:rsidR="00E8765C" w:rsidRPr="000063FC" w:rsidRDefault="00E8765C" w:rsidP="00E8765C">
            <w:pPr>
              <w:spacing w:line="240"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Prirodni plin</w:t>
            </w:r>
          </w:p>
        </w:tc>
        <w:tc>
          <w:tcPr>
            <w:tcW w:w="1134" w:type="dxa"/>
            <w:tcBorders>
              <w:top w:val="nil"/>
              <w:left w:val="nil"/>
              <w:bottom w:val="single" w:sz="4" w:space="0" w:color="4BACC6"/>
              <w:right w:val="single" w:sz="4" w:space="0" w:color="FFFFFF"/>
            </w:tcBorders>
            <w:shd w:val="clear" w:color="000000" w:fill="4BACC6"/>
            <w:vAlign w:val="center"/>
          </w:tcPr>
          <w:p w:rsidR="00E8765C" w:rsidRPr="000063FC" w:rsidRDefault="00E8765C" w:rsidP="00E8765C">
            <w:pPr>
              <w:spacing w:line="240"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Lož ulje</w:t>
            </w:r>
          </w:p>
        </w:tc>
        <w:tc>
          <w:tcPr>
            <w:tcW w:w="709" w:type="dxa"/>
            <w:tcBorders>
              <w:top w:val="nil"/>
              <w:left w:val="nil"/>
              <w:bottom w:val="single" w:sz="4" w:space="0" w:color="4BACC6"/>
              <w:right w:val="single" w:sz="4" w:space="0" w:color="FFFFFF"/>
            </w:tcBorders>
            <w:shd w:val="clear" w:color="000000" w:fill="4BACC6"/>
            <w:vAlign w:val="center"/>
          </w:tcPr>
          <w:p w:rsidR="00E8765C" w:rsidRPr="000063FC" w:rsidRDefault="00E8765C" w:rsidP="00E8765C">
            <w:pPr>
              <w:spacing w:line="240"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UNP</w:t>
            </w:r>
          </w:p>
        </w:tc>
        <w:tc>
          <w:tcPr>
            <w:tcW w:w="992" w:type="dxa"/>
            <w:tcBorders>
              <w:top w:val="nil"/>
              <w:left w:val="nil"/>
              <w:bottom w:val="single" w:sz="4" w:space="0" w:color="4BACC6"/>
              <w:right w:val="single" w:sz="4" w:space="0" w:color="4BACC6"/>
            </w:tcBorders>
            <w:shd w:val="clear" w:color="000000" w:fill="4BACC6"/>
            <w:vAlign w:val="center"/>
          </w:tcPr>
          <w:p w:rsidR="00E8765C" w:rsidRPr="000063FC" w:rsidRDefault="00E8765C" w:rsidP="00E8765C">
            <w:pPr>
              <w:spacing w:line="240"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Ogrjev. drvo</w:t>
            </w:r>
          </w:p>
        </w:tc>
      </w:tr>
      <w:tr w:rsidR="00E8765C" w:rsidRPr="000063FC" w:rsidTr="00E8765C">
        <w:trPr>
          <w:trHeight w:val="227"/>
        </w:trPr>
        <w:tc>
          <w:tcPr>
            <w:tcW w:w="2800" w:type="dxa"/>
            <w:tcBorders>
              <w:top w:val="nil"/>
              <w:left w:val="single" w:sz="4" w:space="0" w:color="4BACC6"/>
              <w:bottom w:val="single" w:sz="4" w:space="0" w:color="4BACC6"/>
              <w:right w:val="single" w:sz="4" w:space="0" w:color="4BACC6"/>
            </w:tcBorders>
            <w:shd w:val="clear" w:color="000000" w:fill="DBEEF3"/>
            <w:noWrap/>
            <w:vAlign w:val="bottom"/>
          </w:tcPr>
          <w:p w:rsidR="00E8765C" w:rsidRPr="000063FC" w:rsidRDefault="00E8765C" w:rsidP="00E8765C">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STAMBENE I JAVNE ZGRADE U VLASNIŠTVU GRADA</w:t>
            </w:r>
          </w:p>
        </w:tc>
        <w:tc>
          <w:tcPr>
            <w:tcW w:w="1134" w:type="dxa"/>
            <w:tcBorders>
              <w:top w:val="nil"/>
              <w:left w:val="nil"/>
              <w:bottom w:val="single" w:sz="4" w:space="0" w:color="4BACC6"/>
              <w:right w:val="single" w:sz="4" w:space="0" w:color="4BACC6"/>
            </w:tcBorders>
            <w:shd w:val="clear" w:color="000000" w:fill="DBEEF3"/>
            <w:noWrap/>
            <w:vAlign w:val="bottom"/>
          </w:tcPr>
          <w:p w:rsidR="00E8765C" w:rsidRPr="000063FC" w:rsidRDefault="00E8765C" w:rsidP="00E8765C">
            <w:pPr>
              <w:spacing w:line="240" w:lineRule="auto"/>
              <w:rPr>
                <w:rFonts w:asciiTheme="minorHAnsi" w:hAnsiTheme="minorHAnsi" w:cs="Arial"/>
                <w:b/>
                <w:bCs/>
                <w:color w:val="000000"/>
                <w:sz w:val="20"/>
              </w:rPr>
            </w:pPr>
          </w:p>
        </w:tc>
        <w:tc>
          <w:tcPr>
            <w:tcW w:w="1275" w:type="dxa"/>
            <w:tcBorders>
              <w:top w:val="nil"/>
              <w:left w:val="nil"/>
              <w:bottom w:val="single" w:sz="4" w:space="0" w:color="4BACC6"/>
              <w:right w:val="single" w:sz="4" w:space="0" w:color="4BACC6"/>
            </w:tcBorders>
            <w:shd w:val="clear" w:color="000000" w:fill="DBEEF3"/>
            <w:noWrap/>
            <w:vAlign w:val="bottom"/>
          </w:tcPr>
          <w:p w:rsidR="00E8765C" w:rsidRPr="000063FC" w:rsidRDefault="00E8765C" w:rsidP="00E8765C">
            <w:pPr>
              <w:spacing w:line="240" w:lineRule="auto"/>
              <w:rPr>
                <w:rFonts w:asciiTheme="minorHAnsi" w:hAnsiTheme="minorHAnsi" w:cs="Arial"/>
                <w:b/>
                <w:bCs/>
                <w:color w:val="000000"/>
                <w:sz w:val="20"/>
              </w:rPr>
            </w:pPr>
          </w:p>
        </w:tc>
        <w:tc>
          <w:tcPr>
            <w:tcW w:w="1134" w:type="dxa"/>
            <w:tcBorders>
              <w:top w:val="nil"/>
              <w:left w:val="nil"/>
              <w:bottom w:val="single" w:sz="4" w:space="0" w:color="4BACC6"/>
              <w:right w:val="single" w:sz="4" w:space="0" w:color="4BACC6"/>
            </w:tcBorders>
            <w:shd w:val="clear" w:color="000000" w:fill="DBEEF3"/>
            <w:noWrap/>
            <w:vAlign w:val="bottom"/>
          </w:tcPr>
          <w:p w:rsidR="00E8765C" w:rsidRPr="000063FC" w:rsidRDefault="00E8765C" w:rsidP="00E8765C">
            <w:pPr>
              <w:spacing w:line="240" w:lineRule="auto"/>
              <w:rPr>
                <w:rFonts w:asciiTheme="minorHAnsi" w:hAnsiTheme="minorHAnsi" w:cs="Arial"/>
                <w:b/>
                <w:bCs/>
                <w:color w:val="000000"/>
                <w:sz w:val="20"/>
              </w:rPr>
            </w:pPr>
          </w:p>
        </w:tc>
        <w:tc>
          <w:tcPr>
            <w:tcW w:w="1134" w:type="dxa"/>
            <w:tcBorders>
              <w:top w:val="nil"/>
              <w:left w:val="nil"/>
              <w:bottom w:val="single" w:sz="4" w:space="0" w:color="4BACC6"/>
              <w:right w:val="single" w:sz="4" w:space="0" w:color="4BACC6"/>
            </w:tcBorders>
            <w:shd w:val="clear" w:color="000000" w:fill="DBEEF3"/>
            <w:noWrap/>
            <w:vAlign w:val="bottom"/>
          </w:tcPr>
          <w:p w:rsidR="00E8765C" w:rsidRPr="000063FC" w:rsidRDefault="00E8765C" w:rsidP="00E8765C">
            <w:pPr>
              <w:spacing w:line="240" w:lineRule="auto"/>
              <w:rPr>
                <w:rFonts w:asciiTheme="minorHAnsi" w:hAnsiTheme="minorHAnsi" w:cs="Arial"/>
                <w:b/>
                <w:bCs/>
                <w:color w:val="000000"/>
                <w:sz w:val="20"/>
              </w:rPr>
            </w:pPr>
          </w:p>
        </w:tc>
        <w:tc>
          <w:tcPr>
            <w:tcW w:w="709" w:type="dxa"/>
            <w:tcBorders>
              <w:top w:val="nil"/>
              <w:left w:val="nil"/>
              <w:bottom w:val="single" w:sz="4" w:space="0" w:color="4BACC6"/>
              <w:right w:val="single" w:sz="4" w:space="0" w:color="4BACC6"/>
            </w:tcBorders>
            <w:shd w:val="clear" w:color="000000" w:fill="DBEEF3"/>
            <w:noWrap/>
            <w:vAlign w:val="bottom"/>
          </w:tcPr>
          <w:p w:rsidR="00E8765C" w:rsidRPr="000063FC" w:rsidRDefault="00E8765C" w:rsidP="00E8765C">
            <w:pPr>
              <w:spacing w:line="240" w:lineRule="auto"/>
              <w:rPr>
                <w:rFonts w:asciiTheme="minorHAnsi" w:hAnsiTheme="minorHAnsi" w:cs="Arial"/>
                <w:b/>
                <w:bCs/>
                <w:color w:val="000000"/>
                <w:sz w:val="20"/>
              </w:rPr>
            </w:pPr>
          </w:p>
        </w:tc>
        <w:tc>
          <w:tcPr>
            <w:tcW w:w="992" w:type="dxa"/>
            <w:tcBorders>
              <w:top w:val="nil"/>
              <w:left w:val="nil"/>
              <w:bottom w:val="single" w:sz="4" w:space="0" w:color="4BACC6"/>
              <w:right w:val="single" w:sz="4" w:space="0" w:color="4BACC6"/>
            </w:tcBorders>
            <w:shd w:val="clear" w:color="000000" w:fill="DBEEF3"/>
            <w:noWrap/>
            <w:vAlign w:val="bottom"/>
          </w:tcPr>
          <w:p w:rsidR="00E8765C" w:rsidRPr="000063FC" w:rsidRDefault="00E8765C" w:rsidP="00E8765C">
            <w:pPr>
              <w:spacing w:line="240" w:lineRule="auto"/>
              <w:rPr>
                <w:rFonts w:asciiTheme="minorHAnsi" w:hAnsiTheme="minorHAnsi" w:cs="Arial"/>
                <w:b/>
                <w:bCs/>
                <w:color w:val="000000"/>
                <w:sz w:val="20"/>
              </w:rPr>
            </w:pPr>
          </w:p>
        </w:tc>
      </w:tr>
      <w:tr w:rsidR="00E8765C" w:rsidRPr="000063FC" w:rsidTr="00E8765C">
        <w:trPr>
          <w:trHeight w:val="227"/>
        </w:trPr>
        <w:tc>
          <w:tcPr>
            <w:tcW w:w="2800" w:type="dxa"/>
            <w:tcBorders>
              <w:top w:val="nil"/>
              <w:left w:val="single" w:sz="4" w:space="0" w:color="4BACC6"/>
              <w:bottom w:val="single" w:sz="4" w:space="0" w:color="4BACC6"/>
              <w:right w:val="single" w:sz="4" w:space="0" w:color="4BACC6"/>
            </w:tcBorders>
            <w:noWrap/>
            <w:vAlign w:val="bottom"/>
          </w:tcPr>
          <w:p w:rsidR="00E8765C" w:rsidRPr="000063FC" w:rsidRDefault="00E8765C"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ŠKOLSTVO</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3.755,3</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44.484,0</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35.734,5</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20.534,8</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E8765C" w:rsidRPr="000063FC" w:rsidTr="00E8765C">
        <w:trPr>
          <w:trHeight w:val="227"/>
        </w:trPr>
        <w:tc>
          <w:tcPr>
            <w:tcW w:w="2800" w:type="dxa"/>
            <w:tcBorders>
              <w:top w:val="nil"/>
              <w:left w:val="single" w:sz="4" w:space="0" w:color="4BACC6"/>
              <w:bottom w:val="single" w:sz="4" w:space="0" w:color="4BACC6"/>
              <w:right w:val="single" w:sz="4" w:space="0" w:color="4BACC6"/>
            </w:tcBorders>
            <w:noWrap/>
            <w:vAlign w:val="bottom"/>
          </w:tcPr>
          <w:p w:rsidR="00E8765C" w:rsidRPr="000063FC" w:rsidRDefault="00E8765C"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ZDRAVSTVO</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2.958,8</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38.279,7</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39.850,6</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E8765C" w:rsidRPr="000063FC" w:rsidTr="00E8765C">
        <w:trPr>
          <w:trHeight w:val="227"/>
        </w:trPr>
        <w:tc>
          <w:tcPr>
            <w:tcW w:w="2800" w:type="dxa"/>
            <w:tcBorders>
              <w:top w:val="nil"/>
              <w:left w:val="single" w:sz="4" w:space="0" w:color="4BACC6"/>
              <w:bottom w:val="single" w:sz="4" w:space="0" w:color="4BACC6"/>
              <w:right w:val="single" w:sz="4" w:space="0" w:color="4BACC6"/>
            </w:tcBorders>
            <w:noWrap/>
            <w:vAlign w:val="bottom"/>
          </w:tcPr>
          <w:p w:rsidR="00E8765C" w:rsidRPr="000063FC" w:rsidRDefault="00E8765C"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UPRAVA</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855,0</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5.954,2</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4.435,0</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E8765C" w:rsidRPr="000063FC" w:rsidTr="00E8765C">
        <w:trPr>
          <w:trHeight w:val="227"/>
        </w:trPr>
        <w:tc>
          <w:tcPr>
            <w:tcW w:w="2800" w:type="dxa"/>
            <w:tcBorders>
              <w:top w:val="nil"/>
              <w:left w:val="single" w:sz="4" w:space="0" w:color="4BACC6"/>
              <w:bottom w:val="single" w:sz="4" w:space="0" w:color="4BACC6"/>
              <w:right w:val="single" w:sz="4" w:space="0" w:color="4BACC6"/>
            </w:tcBorders>
            <w:noWrap/>
            <w:vAlign w:val="bottom"/>
          </w:tcPr>
          <w:p w:rsidR="00E8765C" w:rsidRPr="000063FC" w:rsidRDefault="00E8765C"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KULTURA</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1.032,5</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145,1</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14.725,3</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E8765C" w:rsidRPr="000063FC" w:rsidTr="00E8765C">
        <w:trPr>
          <w:trHeight w:val="227"/>
        </w:trPr>
        <w:tc>
          <w:tcPr>
            <w:tcW w:w="2800" w:type="dxa"/>
            <w:tcBorders>
              <w:top w:val="nil"/>
              <w:left w:val="single" w:sz="4" w:space="0" w:color="4BACC6"/>
              <w:bottom w:val="single" w:sz="4" w:space="0" w:color="4BACC6"/>
              <w:right w:val="single" w:sz="4" w:space="0" w:color="4BACC6"/>
            </w:tcBorders>
            <w:vAlign w:val="bottom"/>
          </w:tcPr>
          <w:p w:rsidR="00E8765C" w:rsidRPr="000063FC" w:rsidRDefault="00E8765C"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POSLOVNI PROSTORI I</w:t>
            </w:r>
            <w:r w:rsidRPr="000063FC">
              <w:rPr>
                <w:rFonts w:asciiTheme="minorHAnsi" w:hAnsiTheme="minorHAnsi"/>
                <w:color w:val="000000"/>
                <w:sz w:val="20"/>
                <w:lang w:eastAsia="hr-HR"/>
              </w:rPr>
              <w:br/>
              <w:t>STANOVI U VLASNIŠTVU GRADA</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2.729,4</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15.139,6</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17.227,0</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E8765C" w:rsidRPr="000063FC" w:rsidTr="00E8765C">
        <w:trPr>
          <w:trHeight w:val="227"/>
        </w:trPr>
        <w:tc>
          <w:tcPr>
            <w:tcW w:w="2800" w:type="dxa"/>
            <w:tcBorders>
              <w:top w:val="nil"/>
              <w:left w:val="single" w:sz="4" w:space="0" w:color="4BACC6"/>
              <w:bottom w:val="single" w:sz="4" w:space="0" w:color="4BACC6"/>
              <w:right w:val="single" w:sz="4" w:space="0" w:color="4BACC6"/>
            </w:tcBorders>
            <w:vAlign w:val="bottom"/>
          </w:tcPr>
          <w:p w:rsidR="00E8765C" w:rsidRPr="000063FC" w:rsidRDefault="00E8765C"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ZGRADE ČLANICA ZAGREBAČKOG HOLDINGA</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10.162,0</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32.423,9</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24.454,0</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E8765C" w:rsidRPr="000063FC" w:rsidTr="00E8765C">
        <w:trPr>
          <w:trHeight w:val="227"/>
        </w:trPr>
        <w:tc>
          <w:tcPr>
            <w:tcW w:w="2800" w:type="dxa"/>
            <w:tcBorders>
              <w:top w:val="nil"/>
              <w:left w:val="single" w:sz="4" w:space="0" w:color="4BACC6"/>
              <w:bottom w:val="single" w:sz="4" w:space="0" w:color="4BACC6"/>
              <w:right w:val="single" w:sz="4" w:space="0" w:color="4BACC6"/>
            </w:tcBorders>
            <w:vAlign w:val="bottom"/>
          </w:tcPr>
          <w:p w:rsidR="00E8765C" w:rsidRPr="000063FC" w:rsidRDefault="00E8765C"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UKUPNO:</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21.493,1</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136.426,4</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136.426,4</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20.534,8</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E8765C" w:rsidRPr="000063FC" w:rsidTr="00E8765C">
        <w:trPr>
          <w:trHeight w:val="227"/>
        </w:trPr>
        <w:tc>
          <w:tcPr>
            <w:tcW w:w="2800" w:type="dxa"/>
            <w:tcBorders>
              <w:top w:val="nil"/>
              <w:left w:val="single" w:sz="4" w:space="0" w:color="4BACC6"/>
              <w:bottom w:val="single" w:sz="4" w:space="0" w:color="4BACC6"/>
              <w:right w:val="single" w:sz="4" w:space="0" w:color="4BACC6"/>
            </w:tcBorders>
            <w:shd w:val="clear" w:color="000000" w:fill="DBEEF3"/>
            <w:vAlign w:val="bottom"/>
          </w:tcPr>
          <w:p w:rsidR="00E8765C" w:rsidRPr="000063FC" w:rsidRDefault="00E8765C" w:rsidP="00E8765C">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ZGRADE KOMERCIJALNIH I USLUŽNIH DJELATNOSTI</w:t>
            </w:r>
          </w:p>
        </w:tc>
        <w:tc>
          <w:tcPr>
            <w:tcW w:w="1134"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275"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34"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34"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E8765C" w:rsidRPr="000063FC" w:rsidTr="00E8765C">
        <w:trPr>
          <w:trHeight w:val="227"/>
        </w:trPr>
        <w:tc>
          <w:tcPr>
            <w:tcW w:w="2800" w:type="dxa"/>
            <w:tcBorders>
              <w:top w:val="nil"/>
              <w:left w:val="single" w:sz="4" w:space="0" w:color="4BACC6"/>
              <w:bottom w:val="single" w:sz="4" w:space="0" w:color="4BACC6"/>
              <w:right w:val="single" w:sz="4" w:space="0" w:color="4BACC6"/>
            </w:tcBorders>
            <w:vAlign w:val="bottom"/>
          </w:tcPr>
          <w:p w:rsidR="00E8765C" w:rsidRPr="000063FC" w:rsidRDefault="00E8765C"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ZGRADE KOMERCIJALNIH I</w:t>
            </w:r>
            <w:r w:rsidRPr="000063FC">
              <w:rPr>
                <w:rFonts w:asciiTheme="minorHAnsi" w:hAnsiTheme="minorHAnsi"/>
                <w:color w:val="000000"/>
                <w:sz w:val="20"/>
                <w:lang w:eastAsia="hr-HR"/>
              </w:rPr>
              <w:br/>
              <w:t>USLUŽNIH DJELATNOSTI</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92.561,8</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207.150,5</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207.150,5</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E8765C" w:rsidRPr="000063FC" w:rsidTr="00E8765C">
        <w:trPr>
          <w:trHeight w:val="227"/>
        </w:trPr>
        <w:tc>
          <w:tcPr>
            <w:tcW w:w="2800" w:type="dxa"/>
            <w:tcBorders>
              <w:top w:val="nil"/>
              <w:left w:val="single" w:sz="4" w:space="0" w:color="4BACC6"/>
              <w:bottom w:val="single" w:sz="4" w:space="0" w:color="4BACC6"/>
              <w:right w:val="single" w:sz="4" w:space="0" w:color="4BACC6"/>
            </w:tcBorders>
            <w:shd w:val="clear" w:color="000000" w:fill="DBEEF3"/>
            <w:vAlign w:val="center"/>
          </w:tcPr>
          <w:p w:rsidR="00E8765C" w:rsidRPr="000063FC" w:rsidRDefault="00E8765C" w:rsidP="00E8765C">
            <w:pPr>
              <w:spacing w:line="240" w:lineRule="auto"/>
              <w:jc w:val="left"/>
              <w:rPr>
                <w:rFonts w:asciiTheme="minorHAnsi" w:hAnsiTheme="minorHAnsi"/>
                <w:b/>
                <w:bCs/>
                <w:color w:val="000000"/>
                <w:sz w:val="20"/>
                <w:lang w:eastAsia="hr-HR"/>
              </w:rPr>
            </w:pPr>
            <w:r w:rsidRPr="000063FC">
              <w:rPr>
                <w:rFonts w:asciiTheme="minorHAnsi" w:hAnsiTheme="minorHAnsi"/>
                <w:b/>
                <w:bCs/>
                <w:color w:val="000000"/>
                <w:sz w:val="20"/>
                <w:lang w:eastAsia="hr-HR"/>
              </w:rPr>
              <w:t>STAMBENE ZGRADE - KUĆANSTVA</w:t>
            </w:r>
          </w:p>
        </w:tc>
        <w:tc>
          <w:tcPr>
            <w:tcW w:w="1134"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275"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34"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34"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E8765C" w:rsidRPr="000063FC" w:rsidTr="00E8765C">
        <w:trPr>
          <w:trHeight w:val="227"/>
        </w:trPr>
        <w:tc>
          <w:tcPr>
            <w:tcW w:w="2800" w:type="dxa"/>
            <w:tcBorders>
              <w:top w:val="nil"/>
              <w:left w:val="single" w:sz="4" w:space="0" w:color="4BACC6"/>
              <w:bottom w:val="single" w:sz="4" w:space="0" w:color="4BACC6"/>
              <w:right w:val="single" w:sz="4" w:space="0" w:color="4BACC6"/>
            </w:tcBorders>
            <w:vAlign w:val="bottom"/>
          </w:tcPr>
          <w:p w:rsidR="00E8765C" w:rsidRPr="000063FC" w:rsidRDefault="00E8765C" w:rsidP="00E8765C">
            <w:pPr>
              <w:spacing w:line="240" w:lineRule="auto"/>
              <w:jc w:val="left"/>
              <w:rPr>
                <w:rFonts w:asciiTheme="minorHAnsi" w:hAnsiTheme="minorHAnsi"/>
                <w:color w:val="000000"/>
                <w:sz w:val="20"/>
                <w:lang w:eastAsia="hr-HR"/>
              </w:rPr>
            </w:pPr>
            <w:r w:rsidRPr="000063FC">
              <w:rPr>
                <w:rFonts w:asciiTheme="minorHAnsi" w:hAnsiTheme="minorHAnsi"/>
                <w:color w:val="000000"/>
                <w:sz w:val="20"/>
                <w:lang w:eastAsia="hr-HR"/>
              </w:rPr>
              <w:t>KUĆANSTVA</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197.365,1</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797.330,3</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534.269,3</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166.022,5</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992"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r>
      <w:tr w:rsidR="00E8765C" w:rsidRPr="000063FC" w:rsidTr="00E8765C">
        <w:trPr>
          <w:trHeight w:val="227"/>
        </w:trPr>
        <w:tc>
          <w:tcPr>
            <w:tcW w:w="2800" w:type="dxa"/>
            <w:tcBorders>
              <w:top w:val="single" w:sz="4" w:space="0" w:color="4BACC6"/>
              <w:left w:val="single" w:sz="4" w:space="0" w:color="4BACC6"/>
              <w:bottom w:val="single" w:sz="4" w:space="0" w:color="4BACC6"/>
              <w:right w:val="single" w:sz="4" w:space="0" w:color="FFFFFF"/>
            </w:tcBorders>
            <w:shd w:val="clear" w:color="auto" w:fill="4BACC6"/>
            <w:vAlign w:val="center"/>
          </w:tcPr>
          <w:p w:rsidR="00E8765C" w:rsidRPr="000063FC" w:rsidRDefault="00E8765C" w:rsidP="00E8765C">
            <w:pPr>
              <w:spacing w:line="240" w:lineRule="auto"/>
              <w:jc w:val="center"/>
              <w:rPr>
                <w:rFonts w:asciiTheme="minorHAnsi" w:hAnsiTheme="minorHAnsi"/>
                <w:b/>
                <w:bCs/>
                <w:color w:val="FFFFFF" w:themeColor="background1"/>
                <w:sz w:val="20"/>
                <w:lang w:eastAsia="hr-HR"/>
              </w:rPr>
            </w:pPr>
            <w:r w:rsidRPr="000063FC">
              <w:rPr>
                <w:rFonts w:asciiTheme="minorHAnsi" w:hAnsiTheme="minorHAnsi"/>
                <w:b/>
                <w:bCs/>
                <w:color w:val="FFFFFF" w:themeColor="background1"/>
                <w:sz w:val="20"/>
                <w:lang w:eastAsia="hr-HR"/>
              </w:rPr>
              <w:t>UKUPNO</w:t>
            </w:r>
          </w:p>
        </w:tc>
        <w:tc>
          <w:tcPr>
            <w:tcW w:w="1134"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E8765C" w:rsidRPr="000063FC" w:rsidRDefault="00E8765C"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311.419,9</w:t>
            </w:r>
          </w:p>
        </w:tc>
        <w:tc>
          <w:tcPr>
            <w:tcW w:w="1275"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E8765C" w:rsidRPr="000063FC" w:rsidRDefault="00E8765C"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1.140.907,2</w:t>
            </w:r>
          </w:p>
        </w:tc>
        <w:tc>
          <w:tcPr>
            <w:tcW w:w="1134"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E8765C" w:rsidRPr="000063FC" w:rsidRDefault="00E8765C"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877.846,2</w:t>
            </w:r>
          </w:p>
        </w:tc>
        <w:tc>
          <w:tcPr>
            <w:tcW w:w="1134"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E8765C" w:rsidRPr="000063FC" w:rsidRDefault="00E8765C"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186.557,3</w:t>
            </w:r>
          </w:p>
        </w:tc>
        <w:tc>
          <w:tcPr>
            <w:tcW w:w="709"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E8765C" w:rsidRPr="000063FC" w:rsidRDefault="00E8765C"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0,0</w:t>
            </w:r>
          </w:p>
        </w:tc>
        <w:tc>
          <w:tcPr>
            <w:tcW w:w="992" w:type="dxa"/>
            <w:tcBorders>
              <w:top w:val="single" w:sz="4" w:space="0" w:color="4BACC6"/>
              <w:left w:val="single" w:sz="4" w:space="0" w:color="FFFFFF"/>
              <w:bottom w:val="single" w:sz="4" w:space="0" w:color="4BACC6"/>
              <w:right w:val="single" w:sz="4" w:space="0" w:color="4BACC6"/>
            </w:tcBorders>
            <w:shd w:val="clear" w:color="auto" w:fill="4BACC6"/>
            <w:noWrap/>
            <w:vAlign w:val="center"/>
          </w:tcPr>
          <w:p w:rsidR="00E8765C" w:rsidRPr="000063FC" w:rsidRDefault="00E8765C"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0,0</w:t>
            </w:r>
          </w:p>
        </w:tc>
      </w:tr>
    </w:tbl>
    <w:p w:rsidR="00E8765C" w:rsidRPr="000063FC" w:rsidRDefault="00E8765C" w:rsidP="00E8765C">
      <w:pPr>
        <w:pStyle w:val="Caption"/>
      </w:pPr>
    </w:p>
    <w:p w:rsidR="00E8765C" w:rsidRPr="000063FC" w:rsidRDefault="00E8765C" w:rsidP="00B33E2F">
      <w:pPr>
        <w:pStyle w:val="Heading6"/>
      </w:pPr>
      <w:bookmarkStart w:id="224" w:name="_Toc254010265"/>
      <w:bookmarkStart w:id="225" w:name="_Toc251161367"/>
      <w:r w:rsidRPr="000063FC">
        <w:t>Tablica 3.9: Potencijal smanjenja emisije CO</w:t>
      </w:r>
      <w:r w:rsidRPr="000063FC">
        <w:rPr>
          <w:vertAlign w:val="subscript"/>
        </w:rPr>
        <w:t>2</w:t>
      </w:r>
      <w:r w:rsidRPr="000063FC">
        <w:t xml:space="preserve"> sektora zgradarstvo</w:t>
      </w:r>
      <w:bookmarkEnd w:id="224"/>
      <w:r w:rsidRPr="000063FC">
        <w:t xml:space="preserve"> </w:t>
      </w:r>
      <w:bookmarkEnd w:id="225"/>
    </w:p>
    <w:tbl>
      <w:tblPr>
        <w:tblW w:w="9356" w:type="dxa"/>
        <w:tblInd w:w="108" w:type="dxa"/>
        <w:tblLayout w:type="fixed"/>
        <w:tblLook w:val="00A0" w:firstRow="1" w:lastRow="0" w:firstColumn="1" w:lastColumn="0" w:noHBand="0" w:noVBand="0"/>
      </w:tblPr>
      <w:tblGrid>
        <w:gridCol w:w="2800"/>
        <w:gridCol w:w="1134"/>
        <w:gridCol w:w="1275"/>
        <w:gridCol w:w="1134"/>
        <w:gridCol w:w="1134"/>
        <w:gridCol w:w="709"/>
        <w:gridCol w:w="1170"/>
      </w:tblGrid>
      <w:tr w:rsidR="00E8765C" w:rsidRPr="000063FC" w:rsidTr="00E669C7">
        <w:trPr>
          <w:trHeight w:val="206"/>
        </w:trPr>
        <w:tc>
          <w:tcPr>
            <w:tcW w:w="2800" w:type="dxa"/>
            <w:vMerge w:val="restart"/>
            <w:tcBorders>
              <w:top w:val="single" w:sz="4" w:space="0" w:color="4BACC6"/>
              <w:left w:val="single" w:sz="4" w:space="0" w:color="4BACC6"/>
              <w:bottom w:val="single" w:sz="4" w:space="0" w:color="4BACC6"/>
              <w:right w:val="single" w:sz="4" w:space="0" w:color="FFFFFF"/>
            </w:tcBorders>
            <w:shd w:val="clear" w:color="000000" w:fill="4BACC6"/>
            <w:noWrap/>
            <w:vAlign w:val="center"/>
          </w:tcPr>
          <w:p w:rsidR="00E8765C" w:rsidRPr="000063FC" w:rsidRDefault="00E8765C" w:rsidP="00E8765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KATEGORIJA</w:t>
            </w:r>
          </w:p>
        </w:tc>
        <w:tc>
          <w:tcPr>
            <w:tcW w:w="6556" w:type="dxa"/>
            <w:gridSpan w:val="6"/>
            <w:tcBorders>
              <w:top w:val="single" w:sz="4" w:space="0" w:color="4BACC6"/>
              <w:left w:val="nil"/>
              <w:bottom w:val="single" w:sz="4" w:space="0" w:color="FFFFFF"/>
              <w:right w:val="single" w:sz="4" w:space="0" w:color="4BACC6"/>
            </w:tcBorders>
            <w:shd w:val="clear" w:color="000000" w:fill="4BACC6"/>
            <w:noWrap/>
            <w:vAlign w:val="center"/>
          </w:tcPr>
          <w:p w:rsidR="00E8765C" w:rsidRPr="000063FC" w:rsidRDefault="00E8765C" w:rsidP="00E8765C">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Potencijal smanjenja emisije t CO</w:t>
            </w:r>
            <w:r w:rsidRPr="000063FC">
              <w:rPr>
                <w:rFonts w:asciiTheme="minorHAnsi" w:hAnsiTheme="minorHAnsi"/>
                <w:b/>
                <w:bCs/>
                <w:color w:val="FFFFFF"/>
                <w:sz w:val="20"/>
                <w:vertAlign w:val="subscript"/>
                <w:lang w:eastAsia="hr-HR"/>
              </w:rPr>
              <w:t>2</w:t>
            </w:r>
            <w:r w:rsidRPr="000063FC">
              <w:rPr>
                <w:rFonts w:asciiTheme="minorHAnsi" w:hAnsiTheme="minorHAnsi"/>
                <w:b/>
                <w:bCs/>
                <w:color w:val="FFFFFF"/>
                <w:sz w:val="20"/>
                <w:lang w:eastAsia="hr-HR"/>
              </w:rPr>
              <w:t xml:space="preserve"> </w:t>
            </w:r>
          </w:p>
        </w:tc>
      </w:tr>
      <w:tr w:rsidR="00E8765C" w:rsidRPr="000063FC" w:rsidTr="00E669C7">
        <w:trPr>
          <w:trHeight w:val="390"/>
        </w:trPr>
        <w:tc>
          <w:tcPr>
            <w:tcW w:w="2800" w:type="dxa"/>
            <w:vMerge/>
            <w:tcBorders>
              <w:top w:val="single" w:sz="4" w:space="0" w:color="4BACC6"/>
              <w:left w:val="single" w:sz="4" w:space="0" w:color="4BACC6"/>
              <w:bottom w:val="single" w:sz="4" w:space="0" w:color="4BACC6"/>
              <w:right w:val="single" w:sz="4" w:space="0" w:color="FFFFFF"/>
            </w:tcBorders>
            <w:vAlign w:val="center"/>
          </w:tcPr>
          <w:p w:rsidR="00E8765C" w:rsidRPr="000063FC" w:rsidRDefault="00E8765C" w:rsidP="00E8765C">
            <w:pPr>
              <w:spacing w:line="240" w:lineRule="auto"/>
              <w:jc w:val="center"/>
              <w:rPr>
                <w:rFonts w:asciiTheme="minorHAnsi" w:hAnsiTheme="minorHAnsi" w:cs="Arial"/>
                <w:b/>
                <w:bCs/>
                <w:color w:val="FFFFFF"/>
                <w:sz w:val="20"/>
                <w:lang w:eastAsia="hr-HR"/>
              </w:rPr>
            </w:pPr>
          </w:p>
        </w:tc>
        <w:tc>
          <w:tcPr>
            <w:tcW w:w="1134" w:type="dxa"/>
            <w:tcBorders>
              <w:top w:val="nil"/>
              <w:left w:val="nil"/>
              <w:bottom w:val="single" w:sz="4" w:space="0" w:color="4BACC6"/>
              <w:right w:val="single" w:sz="4" w:space="0" w:color="FFFFFF"/>
            </w:tcBorders>
            <w:shd w:val="clear" w:color="000000" w:fill="4BACC6"/>
            <w:vAlign w:val="center"/>
          </w:tcPr>
          <w:p w:rsidR="00E8765C" w:rsidRPr="000063FC" w:rsidRDefault="00E8765C" w:rsidP="00E8765C">
            <w:pPr>
              <w:spacing w:line="240"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Električna energija</w:t>
            </w:r>
          </w:p>
        </w:tc>
        <w:tc>
          <w:tcPr>
            <w:tcW w:w="1275" w:type="dxa"/>
            <w:tcBorders>
              <w:top w:val="nil"/>
              <w:left w:val="nil"/>
              <w:bottom w:val="single" w:sz="4" w:space="0" w:color="4BACC6"/>
              <w:right w:val="single" w:sz="4" w:space="0" w:color="FFFFFF"/>
            </w:tcBorders>
            <w:shd w:val="clear" w:color="000000" w:fill="4BACC6"/>
            <w:vAlign w:val="center"/>
          </w:tcPr>
          <w:p w:rsidR="00E8765C" w:rsidRPr="000063FC" w:rsidRDefault="00E8765C" w:rsidP="00E8765C">
            <w:pPr>
              <w:spacing w:line="240"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Toplinska energija</w:t>
            </w:r>
          </w:p>
        </w:tc>
        <w:tc>
          <w:tcPr>
            <w:tcW w:w="1134" w:type="dxa"/>
            <w:tcBorders>
              <w:top w:val="nil"/>
              <w:left w:val="nil"/>
              <w:bottom w:val="single" w:sz="4" w:space="0" w:color="4BACC6"/>
              <w:right w:val="single" w:sz="4" w:space="0" w:color="FFFFFF"/>
            </w:tcBorders>
            <w:shd w:val="clear" w:color="000000" w:fill="4BACC6"/>
            <w:vAlign w:val="center"/>
          </w:tcPr>
          <w:p w:rsidR="00E8765C" w:rsidRPr="000063FC" w:rsidRDefault="00E8765C" w:rsidP="00E8765C">
            <w:pPr>
              <w:spacing w:line="240"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Prirodni plin</w:t>
            </w:r>
          </w:p>
        </w:tc>
        <w:tc>
          <w:tcPr>
            <w:tcW w:w="1134" w:type="dxa"/>
            <w:tcBorders>
              <w:top w:val="nil"/>
              <w:left w:val="nil"/>
              <w:bottom w:val="single" w:sz="4" w:space="0" w:color="4BACC6"/>
              <w:right w:val="single" w:sz="4" w:space="0" w:color="FFFFFF"/>
            </w:tcBorders>
            <w:shd w:val="clear" w:color="000000" w:fill="4BACC6"/>
            <w:vAlign w:val="center"/>
          </w:tcPr>
          <w:p w:rsidR="00E8765C" w:rsidRPr="000063FC" w:rsidRDefault="00E8765C" w:rsidP="00E8765C">
            <w:pPr>
              <w:spacing w:line="240"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Lož ulje</w:t>
            </w:r>
          </w:p>
        </w:tc>
        <w:tc>
          <w:tcPr>
            <w:tcW w:w="709" w:type="dxa"/>
            <w:tcBorders>
              <w:top w:val="nil"/>
              <w:left w:val="nil"/>
              <w:bottom w:val="single" w:sz="4" w:space="0" w:color="4BACC6"/>
              <w:right w:val="single" w:sz="4" w:space="0" w:color="FFFFFF"/>
            </w:tcBorders>
            <w:shd w:val="clear" w:color="000000" w:fill="4BACC6"/>
            <w:vAlign w:val="center"/>
          </w:tcPr>
          <w:p w:rsidR="00E8765C" w:rsidRPr="000063FC" w:rsidRDefault="00E8765C" w:rsidP="00E8765C">
            <w:pPr>
              <w:spacing w:line="240"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UNP</w:t>
            </w:r>
          </w:p>
        </w:tc>
        <w:tc>
          <w:tcPr>
            <w:tcW w:w="1170" w:type="dxa"/>
            <w:tcBorders>
              <w:top w:val="nil"/>
              <w:left w:val="nil"/>
              <w:bottom w:val="single" w:sz="4" w:space="0" w:color="4BACC6"/>
              <w:right w:val="single" w:sz="4" w:space="0" w:color="4BACC6"/>
            </w:tcBorders>
            <w:shd w:val="clear" w:color="000000" w:fill="4BACC6"/>
            <w:vAlign w:val="center"/>
          </w:tcPr>
          <w:p w:rsidR="00E8765C" w:rsidRPr="000063FC" w:rsidRDefault="00E8765C" w:rsidP="00E8765C">
            <w:pPr>
              <w:spacing w:line="240" w:lineRule="auto"/>
              <w:jc w:val="center"/>
              <w:rPr>
                <w:rFonts w:asciiTheme="minorHAnsi" w:hAnsiTheme="minorHAnsi" w:cs="Arial"/>
                <w:b/>
                <w:bCs/>
                <w:color w:val="FFFFFF"/>
                <w:sz w:val="20"/>
                <w:lang w:eastAsia="hr-HR"/>
              </w:rPr>
            </w:pPr>
            <w:r w:rsidRPr="000063FC">
              <w:rPr>
                <w:rFonts w:asciiTheme="minorHAnsi" w:hAnsiTheme="minorHAnsi" w:cs="Arial"/>
                <w:b/>
                <w:bCs/>
                <w:color w:val="FFFFFF"/>
                <w:sz w:val="20"/>
                <w:lang w:eastAsia="hr-HR"/>
              </w:rPr>
              <w:t>Ukupno</w:t>
            </w:r>
          </w:p>
        </w:tc>
      </w:tr>
      <w:tr w:rsidR="00E8765C" w:rsidRPr="000063FC" w:rsidTr="00E669C7">
        <w:trPr>
          <w:trHeight w:val="300"/>
        </w:trPr>
        <w:tc>
          <w:tcPr>
            <w:tcW w:w="2800" w:type="dxa"/>
            <w:tcBorders>
              <w:top w:val="nil"/>
              <w:left w:val="single" w:sz="4" w:space="0" w:color="4BACC6"/>
              <w:bottom w:val="single" w:sz="4" w:space="0" w:color="4BACC6"/>
              <w:right w:val="single" w:sz="4" w:space="0" w:color="4BACC6"/>
            </w:tcBorders>
            <w:shd w:val="clear" w:color="000000" w:fill="DBEEF3"/>
            <w:noWrap/>
            <w:vAlign w:val="bottom"/>
          </w:tcPr>
          <w:p w:rsidR="00E8765C" w:rsidRPr="000063FC" w:rsidRDefault="00E8765C" w:rsidP="00426890">
            <w:pPr>
              <w:spacing w:line="240" w:lineRule="auto"/>
              <w:jc w:val="left"/>
              <w:rPr>
                <w:rFonts w:asciiTheme="minorHAnsi" w:hAnsiTheme="minorHAnsi" w:cs="Arial"/>
                <w:b/>
                <w:bCs/>
                <w:color w:val="000000"/>
                <w:sz w:val="20"/>
                <w:lang w:eastAsia="hr-HR"/>
              </w:rPr>
            </w:pPr>
            <w:r w:rsidRPr="000063FC">
              <w:rPr>
                <w:rFonts w:asciiTheme="minorHAnsi" w:hAnsiTheme="minorHAnsi" w:cs="Arial"/>
                <w:b/>
                <w:bCs/>
                <w:color w:val="000000"/>
                <w:sz w:val="20"/>
                <w:lang w:eastAsia="hr-HR"/>
              </w:rPr>
              <w:t>STAMBENE I JAVNE ZGRADE U VLASNIŠTVU GRADA</w:t>
            </w:r>
          </w:p>
        </w:tc>
        <w:tc>
          <w:tcPr>
            <w:tcW w:w="1134" w:type="dxa"/>
            <w:tcBorders>
              <w:top w:val="nil"/>
              <w:left w:val="nil"/>
              <w:bottom w:val="single" w:sz="4" w:space="0" w:color="4BACC6"/>
              <w:right w:val="single" w:sz="4" w:space="0" w:color="4BACC6"/>
            </w:tcBorders>
            <w:shd w:val="clear" w:color="000000" w:fill="DBEEF3"/>
            <w:noWrap/>
            <w:vAlign w:val="bottom"/>
          </w:tcPr>
          <w:p w:rsidR="00E8765C" w:rsidRPr="000063FC" w:rsidRDefault="00E8765C" w:rsidP="00E8765C">
            <w:pPr>
              <w:spacing w:line="240" w:lineRule="auto"/>
              <w:rPr>
                <w:rFonts w:asciiTheme="minorHAnsi" w:hAnsiTheme="minorHAnsi" w:cs="Arial"/>
                <w:b/>
                <w:bCs/>
                <w:color w:val="000000"/>
                <w:sz w:val="20"/>
              </w:rPr>
            </w:pPr>
          </w:p>
        </w:tc>
        <w:tc>
          <w:tcPr>
            <w:tcW w:w="1275" w:type="dxa"/>
            <w:tcBorders>
              <w:top w:val="nil"/>
              <w:left w:val="nil"/>
              <w:bottom w:val="single" w:sz="4" w:space="0" w:color="4BACC6"/>
              <w:right w:val="single" w:sz="4" w:space="0" w:color="4BACC6"/>
            </w:tcBorders>
            <w:shd w:val="clear" w:color="000000" w:fill="DBEEF3"/>
            <w:noWrap/>
            <w:vAlign w:val="bottom"/>
          </w:tcPr>
          <w:p w:rsidR="00E8765C" w:rsidRPr="000063FC" w:rsidRDefault="00E8765C" w:rsidP="00E8765C">
            <w:pPr>
              <w:spacing w:line="240" w:lineRule="auto"/>
              <w:rPr>
                <w:rFonts w:asciiTheme="minorHAnsi" w:hAnsiTheme="minorHAnsi" w:cs="Arial"/>
                <w:b/>
                <w:bCs/>
                <w:color w:val="000000"/>
                <w:sz w:val="20"/>
              </w:rPr>
            </w:pPr>
          </w:p>
        </w:tc>
        <w:tc>
          <w:tcPr>
            <w:tcW w:w="1134" w:type="dxa"/>
            <w:tcBorders>
              <w:top w:val="nil"/>
              <w:left w:val="nil"/>
              <w:bottom w:val="single" w:sz="4" w:space="0" w:color="4BACC6"/>
              <w:right w:val="single" w:sz="4" w:space="0" w:color="4BACC6"/>
            </w:tcBorders>
            <w:shd w:val="clear" w:color="000000" w:fill="DBEEF3"/>
            <w:noWrap/>
            <w:vAlign w:val="bottom"/>
          </w:tcPr>
          <w:p w:rsidR="00E8765C" w:rsidRPr="000063FC" w:rsidRDefault="00E8765C" w:rsidP="00E8765C">
            <w:pPr>
              <w:spacing w:line="240" w:lineRule="auto"/>
              <w:rPr>
                <w:rFonts w:asciiTheme="minorHAnsi" w:hAnsiTheme="minorHAnsi" w:cs="Arial"/>
                <w:b/>
                <w:bCs/>
                <w:color w:val="000000"/>
                <w:sz w:val="20"/>
              </w:rPr>
            </w:pPr>
          </w:p>
        </w:tc>
        <w:tc>
          <w:tcPr>
            <w:tcW w:w="1134" w:type="dxa"/>
            <w:tcBorders>
              <w:top w:val="nil"/>
              <w:left w:val="nil"/>
              <w:bottom w:val="single" w:sz="4" w:space="0" w:color="4BACC6"/>
              <w:right w:val="single" w:sz="4" w:space="0" w:color="4BACC6"/>
            </w:tcBorders>
            <w:shd w:val="clear" w:color="000000" w:fill="DBEEF3"/>
            <w:noWrap/>
            <w:vAlign w:val="bottom"/>
          </w:tcPr>
          <w:p w:rsidR="00E8765C" w:rsidRPr="000063FC" w:rsidRDefault="00E8765C" w:rsidP="00E8765C">
            <w:pPr>
              <w:spacing w:line="240" w:lineRule="auto"/>
              <w:rPr>
                <w:rFonts w:asciiTheme="minorHAnsi" w:hAnsiTheme="minorHAnsi" w:cs="Arial"/>
                <w:b/>
                <w:bCs/>
                <w:color w:val="000000"/>
                <w:sz w:val="20"/>
              </w:rPr>
            </w:pPr>
          </w:p>
        </w:tc>
        <w:tc>
          <w:tcPr>
            <w:tcW w:w="709" w:type="dxa"/>
            <w:tcBorders>
              <w:top w:val="nil"/>
              <w:left w:val="nil"/>
              <w:bottom w:val="single" w:sz="4" w:space="0" w:color="4BACC6"/>
              <w:right w:val="single" w:sz="4" w:space="0" w:color="4BACC6"/>
            </w:tcBorders>
            <w:shd w:val="clear" w:color="000000" w:fill="DBEEF3"/>
            <w:noWrap/>
            <w:vAlign w:val="bottom"/>
          </w:tcPr>
          <w:p w:rsidR="00E8765C" w:rsidRPr="000063FC" w:rsidRDefault="00E8765C" w:rsidP="00E8765C">
            <w:pPr>
              <w:spacing w:line="240" w:lineRule="auto"/>
              <w:rPr>
                <w:rFonts w:asciiTheme="minorHAnsi" w:hAnsiTheme="minorHAnsi" w:cs="Arial"/>
                <w:b/>
                <w:bCs/>
                <w:color w:val="000000"/>
                <w:sz w:val="20"/>
              </w:rPr>
            </w:pPr>
          </w:p>
        </w:tc>
        <w:tc>
          <w:tcPr>
            <w:tcW w:w="1170" w:type="dxa"/>
            <w:tcBorders>
              <w:top w:val="nil"/>
              <w:left w:val="nil"/>
              <w:bottom w:val="single" w:sz="4" w:space="0" w:color="4BACC6"/>
              <w:right w:val="single" w:sz="4" w:space="0" w:color="4BACC6"/>
            </w:tcBorders>
            <w:shd w:val="clear" w:color="000000" w:fill="DBEEF3"/>
            <w:noWrap/>
            <w:vAlign w:val="bottom"/>
          </w:tcPr>
          <w:p w:rsidR="00E8765C" w:rsidRPr="000063FC" w:rsidRDefault="00E8765C" w:rsidP="00E8765C">
            <w:pPr>
              <w:spacing w:line="240" w:lineRule="auto"/>
              <w:rPr>
                <w:rFonts w:asciiTheme="minorHAnsi" w:hAnsiTheme="minorHAnsi" w:cs="Arial"/>
                <w:color w:val="000000"/>
                <w:sz w:val="20"/>
              </w:rPr>
            </w:pPr>
          </w:p>
        </w:tc>
      </w:tr>
      <w:tr w:rsidR="00E8765C" w:rsidRPr="000063FC" w:rsidTr="00E669C7">
        <w:trPr>
          <w:trHeight w:hRule="exact" w:val="255"/>
        </w:trPr>
        <w:tc>
          <w:tcPr>
            <w:tcW w:w="2800" w:type="dxa"/>
            <w:tcBorders>
              <w:top w:val="nil"/>
              <w:left w:val="single" w:sz="4" w:space="0" w:color="4BACC6"/>
              <w:bottom w:val="single" w:sz="4" w:space="0" w:color="4BACC6"/>
              <w:right w:val="single" w:sz="4" w:space="0" w:color="4BACC6"/>
            </w:tcBorders>
            <w:noWrap/>
            <w:vAlign w:val="bottom"/>
          </w:tcPr>
          <w:p w:rsidR="00E8765C" w:rsidRPr="000063FC" w:rsidRDefault="00E8765C" w:rsidP="00426890">
            <w:pPr>
              <w:spacing w:line="240" w:lineRule="auto"/>
              <w:jc w:val="left"/>
              <w:rPr>
                <w:rFonts w:asciiTheme="minorHAnsi" w:hAnsiTheme="minorHAnsi" w:cs="Arial"/>
                <w:color w:val="000000"/>
                <w:sz w:val="20"/>
                <w:lang w:eastAsia="hr-HR"/>
              </w:rPr>
            </w:pPr>
            <w:r w:rsidRPr="000063FC">
              <w:rPr>
                <w:rFonts w:asciiTheme="minorHAnsi" w:hAnsiTheme="minorHAnsi" w:cs="Arial"/>
                <w:color w:val="000000"/>
                <w:sz w:val="20"/>
                <w:lang w:eastAsia="hr-HR"/>
              </w:rPr>
              <w:t>ŠKOLSTVO</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1.213,0</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10.847,6</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7.178,3</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5.662,2</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70"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24.901,1</w:t>
            </w:r>
          </w:p>
        </w:tc>
      </w:tr>
      <w:tr w:rsidR="00E8765C" w:rsidRPr="000063FC" w:rsidTr="00E669C7">
        <w:trPr>
          <w:trHeight w:hRule="exact" w:val="255"/>
        </w:trPr>
        <w:tc>
          <w:tcPr>
            <w:tcW w:w="2800" w:type="dxa"/>
            <w:tcBorders>
              <w:top w:val="nil"/>
              <w:left w:val="single" w:sz="4" w:space="0" w:color="4BACC6"/>
              <w:bottom w:val="single" w:sz="4" w:space="0" w:color="4BACC6"/>
              <w:right w:val="single" w:sz="4" w:space="0" w:color="4BACC6"/>
            </w:tcBorders>
            <w:noWrap/>
            <w:vAlign w:val="bottom"/>
          </w:tcPr>
          <w:p w:rsidR="00E8765C" w:rsidRPr="000063FC" w:rsidRDefault="00E8765C" w:rsidP="00426890">
            <w:pPr>
              <w:spacing w:line="240" w:lineRule="auto"/>
              <w:jc w:val="left"/>
              <w:rPr>
                <w:rFonts w:asciiTheme="minorHAnsi" w:hAnsiTheme="minorHAnsi" w:cs="Arial"/>
                <w:color w:val="000000"/>
                <w:sz w:val="20"/>
                <w:lang w:eastAsia="hr-HR"/>
              </w:rPr>
            </w:pPr>
            <w:r w:rsidRPr="000063FC">
              <w:rPr>
                <w:rFonts w:asciiTheme="minorHAnsi" w:hAnsiTheme="minorHAnsi" w:cs="Arial"/>
                <w:color w:val="000000"/>
                <w:sz w:val="20"/>
                <w:lang w:eastAsia="hr-HR"/>
              </w:rPr>
              <w:t>ZDRAVSTVO</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955,7</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9.334,7</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8.005,2</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70"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18.295,6</w:t>
            </w:r>
          </w:p>
        </w:tc>
      </w:tr>
      <w:tr w:rsidR="00E8765C" w:rsidRPr="000063FC" w:rsidTr="00E669C7">
        <w:trPr>
          <w:trHeight w:hRule="exact" w:val="255"/>
        </w:trPr>
        <w:tc>
          <w:tcPr>
            <w:tcW w:w="2800" w:type="dxa"/>
            <w:tcBorders>
              <w:top w:val="nil"/>
              <w:left w:val="single" w:sz="4" w:space="0" w:color="4BACC6"/>
              <w:bottom w:val="single" w:sz="4" w:space="0" w:color="4BACC6"/>
              <w:right w:val="single" w:sz="4" w:space="0" w:color="4BACC6"/>
            </w:tcBorders>
            <w:noWrap/>
            <w:vAlign w:val="bottom"/>
          </w:tcPr>
          <w:p w:rsidR="00E8765C" w:rsidRPr="000063FC" w:rsidRDefault="00E8765C" w:rsidP="00426890">
            <w:pPr>
              <w:spacing w:line="240" w:lineRule="auto"/>
              <w:jc w:val="left"/>
              <w:rPr>
                <w:rFonts w:asciiTheme="minorHAnsi" w:hAnsiTheme="minorHAnsi" w:cs="Arial"/>
                <w:color w:val="000000"/>
                <w:sz w:val="20"/>
                <w:lang w:eastAsia="hr-HR"/>
              </w:rPr>
            </w:pPr>
            <w:r w:rsidRPr="000063FC">
              <w:rPr>
                <w:rFonts w:asciiTheme="minorHAnsi" w:hAnsiTheme="minorHAnsi" w:cs="Arial"/>
                <w:color w:val="000000"/>
                <w:sz w:val="20"/>
                <w:lang w:eastAsia="hr-HR"/>
              </w:rPr>
              <w:t>UPRAVA</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276,2</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1.452,0</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890,9</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70"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2.619,0</w:t>
            </w:r>
          </w:p>
        </w:tc>
      </w:tr>
      <w:tr w:rsidR="00E8765C" w:rsidRPr="000063FC" w:rsidTr="00E669C7">
        <w:trPr>
          <w:trHeight w:hRule="exact" w:val="255"/>
        </w:trPr>
        <w:tc>
          <w:tcPr>
            <w:tcW w:w="2800" w:type="dxa"/>
            <w:tcBorders>
              <w:top w:val="nil"/>
              <w:left w:val="single" w:sz="4" w:space="0" w:color="4BACC6"/>
              <w:bottom w:val="single" w:sz="4" w:space="0" w:color="4BACC6"/>
              <w:right w:val="single" w:sz="4" w:space="0" w:color="4BACC6"/>
            </w:tcBorders>
            <w:noWrap/>
            <w:vAlign w:val="bottom"/>
          </w:tcPr>
          <w:p w:rsidR="00E8765C" w:rsidRPr="000063FC" w:rsidRDefault="00E8765C" w:rsidP="00426890">
            <w:pPr>
              <w:spacing w:line="240" w:lineRule="auto"/>
              <w:jc w:val="left"/>
              <w:rPr>
                <w:rFonts w:asciiTheme="minorHAnsi" w:hAnsiTheme="minorHAnsi" w:cs="Arial"/>
                <w:color w:val="000000"/>
                <w:sz w:val="20"/>
                <w:lang w:eastAsia="hr-HR"/>
              </w:rPr>
            </w:pPr>
            <w:r w:rsidRPr="000063FC">
              <w:rPr>
                <w:rFonts w:asciiTheme="minorHAnsi" w:hAnsiTheme="minorHAnsi" w:cs="Arial"/>
                <w:color w:val="000000"/>
                <w:sz w:val="20"/>
                <w:lang w:eastAsia="hr-HR"/>
              </w:rPr>
              <w:t>KULTURA</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333,5</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35,4</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2.958,0</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70"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3.326,9</w:t>
            </w:r>
          </w:p>
        </w:tc>
      </w:tr>
      <w:tr w:rsidR="00E8765C" w:rsidRPr="000063FC" w:rsidTr="00E669C7">
        <w:trPr>
          <w:trHeight w:val="454"/>
        </w:trPr>
        <w:tc>
          <w:tcPr>
            <w:tcW w:w="2800" w:type="dxa"/>
            <w:tcBorders>
              <w:top w:val="nil"/>
              <w:left w:val="single" w:sz="4" w:space="0" w:color="4BACC6"/>
              <w:bottom w:val="single" w:sz="4" w:space="0" w:color="4BACC6"/>
              <w:right w:val="single" w:sz="4" w:space="0" w:color="4BACC6"/>
            </w:tcBorders>
            <w:vAlign w:val="bottom"/>
          </w:tcPr>
          <w:p w:rsidR="00E8765C" w:rsidRPr="000063FC" w:rsidRDefault="00E8765C" w:rsidP="00426890">
            <w:pPr>
              <w:spacing w:line="240" w:lineRule="auto"/>
              <w:jc w:val="left"/>
              <w:rPr>
                <w:rFonts w:asciiTheme="minorHAnsi" w:hAnsiTheme="minorHAnsi" w:cs="Arial"/>
                <w:color w:val="000000"/>
                <w:sz w:val="20"/>
                <w:lang w:eastAsia="hr-HR"/>
              </w:rPr>
            </w:pPr>
            <w:r w:rsidRPr="000063FC">
              <w:rPr>
                <w:rFonts w:asciiTheme="minorHAnsi" w:hAnsiTheme="minorHAnsi" w:cs="Arial"/>
                <w:color w:val="000000"/>
                <w:sz w:val="20"/>
                <w:lang w:eastAsia="hr-HR"/>
              </w:rPr>
              <w:t>POSLOVNI PROSTORI I</w:t>
            </w:r>
            <w:r w:rsidRPr="000063FC">
              <w:rPr>
                <w:rFonts w:asciiTheme="minorHAnsi" w:hAnsiTheme="minorHAnsi" w:cs="Arial"/>
                <w:color w:val="000000"/>
                <w:sz w:val="20"/>
                <w:lang w:eastAsia="hr-HR"/>
              </w:rPr>
              <w:br/>
              <w:t>STANOVI U VLASNIŠTVU GRADA</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881,6</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3.691,9</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3.460,6</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70"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8.034,0</w:t>
            </w:r>
          </w:p>
        </w:tc>
      </w:tr>
      <w:tr w:rsidR="00E8765C" w:rsidRPr="000063FC" w:rsidTr="00E669C7">
        <w:trPr>
          <w:trHeight w:val="300"/>
        </w:trPr>
        <w:tc>
          <w:tcPr>
            <w:tcW w:w="2800" w:type="dxa"/>
            <w:tcBorders>
              <w:top w:val="nil"/>
              <w:left w:val="single" w:sz="4" w:space="0" w:color="4BACC6"/>
              <w:bottom w:val="single" w:sz="4" w:space="0" w:color="4BACC6"/>
              <w:right w:val="single" w:sz="4" w:space="0" w:color="4BACC6"/>
            </w:tcBorders>
            <w:vAlign w:val="bottom"/>
          </w:tcPr>
          <w:p w:rsidR="00E8765C" w:rsidRPr="000063FC" w:rsidRDefault="00E8765C" w:rsidP="00426890">
            <w:pPr>
              <w:spacing w:line="240" w:lineRule="auto"/>
              <w:jc w:val="left"/>
              <w:rPr>
                <w:rFonts w:asciiTheme="minorHAnsi" w:hAnsiTheme="minorHAnsi" w:cs="Arial"/>
                <w:color w:val="000000"/>
                <w:sz w:val="20"/>
                <w:lang w:eastAsia="hr-HR"/>
              </w:rPr>
            </w:pPr>
            <w:r w:rsidRPr="000063FC">
              <w:rPr>
                <w:rFonts w:asciiTheme="minorHAnsi" w:hAnsiTheme="minorHAnsi" w:cs="Arial"/>
                <w:color w:val="000000"/>
                <w:sz w:val="20"/>
                <w:lang w:eastAsia="hr-HR"/>
              </w:rPr>
              <w:t>ZGRADE ČLANICA ZAGREBAČKOG HOLDINGA</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3.282,3</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7.906,7</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4.912,3</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70"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16.101,4</w:t>
            </w:r>
          </w:p>
        </w:tc>
      </w:tr>
      <w:tr w:rsidR="00E8765C" w:rsidRPr="000063FC" w:rsidTr="00E669C7">
        <w:trPr>
          <w:trHeight w:hRule="exact" w:val="255"/>
        </w:trPr>
        <w:tc>
          <w:tcPr>
            <w:tcW w:w="2800" w:type="dxa"/>
            <w:tcBorders>
              <w:top w:val="nil"/>
              <w:left w:val="single" w:sz="4" w:space="0" w:color="4BACC6"/>
              <w:bottom w:val="single" w:sz="4" w:space="0" w:color="4BACC6"/>
              <w:right w:val="single" w:sz="4" w:space="0" w:color="4BACC6"/>
            </w:tcBorders>
            <w:vAlign w:val="bottom"/>
          </w:tcPr>
          <w:p w:rsidR="00E8765C" w:rsidRPr="000063FC" w:rsidRDefault="00E8765C" w:rsidP="00426890">
            <w:pPr>
              <w:spacing w:line="240" w:lineRule="auto"/>
              <w:jc w:val="left"/>
              <w:rPr>
                <w:rFonts w:asciiTheme="minorHAnsi" w:hAnsiTheme="minorHAnsi" w:cs="Arial"/>
                <w:color w:val="000000"/>
                <w:sz w:val="20"/>
                <w:lang w:eastAsia="hr-HR"/>
              </w:rPr>
            </w:pPr>
            <w:r w:rsidRPr="000063FC">
              <w:rPr>
                <w:rFonts w:asciiTheme="minorHAnsi" w:hAnsiTheme="minorHAnsi" w:cs="Arial"/>
                <w:color w:val="000000"/>
                <w:sz w:val="20"/>
                <w:lang w:eastAsia="hr-HR"/>
              </w:rPr>
              <w:t>UKUPNO:</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6.942,3</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33.268,3</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27.405,3</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5.662,2</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70"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73.278,0</w:t>
            </w:r>
          </w:p>
        </w:tc>
      </w:tr>
      <w:tr w:rsidR="00E8765C" w:rsidRPr="000063FC" w:rsidTr="00E669C7">
        <w:trPr>
          <w:trHeight w:val="489"/>
        </w:trPr>
        <w:tc>
          <w:tcPr>
            <w:tcW w:w="2800" w:type="dxa"/>
            <w:tcBorders>
              <w:top w:val="nil"/>
              <w:left w:val="single" w:sz="4" w:space="0" w:color="4BACC6"/>
              <w:bottom w:val="single" w:sz="4" w:space="0" w:color="4BACC6"/>
              <w:right w:val="single" w:sz="4" w:space="0" w:color="4BACC6"/>
            </w:tcBorders>
            <w:shd w:val="clear" w:color="000000" w:fill="DBEEF3"/>
            <w:vAlign w:val="bottom"/>
          </w:tcPr>
          <w:p w:rsidR="00E8765C" w:rsidRPr="000063FC" w:rsidRDefault="00E8765C" w:rsidP="00426890">
            <w:pPr>
              <w:spacing w:line="240" w:lineRule="auto"/>
              <w:jc w:val="left"/>
              <w:rPr>
                <w:rFonts w:asciiTheme="minorHAnsi" w:hAnsiTheme="minorHAnsi" w:cs="Arial"/>
                <w:b/>
                <w:bCs/>
                <w:color w:val="000000"/>
                <w:sz w:val="20"/>
                <w:lang w:eastAsia="hr-HR"/>
              </w:rPr>
            </w:pPr>
            <w:r w:rsidRPr="000063FC">
              <w:rPr>
                <w:rFonts w:asciiTheme="minorHAnsi" w:hAnsiTheme="minorHAnsi" w:cs="Arial"/>
                <w:b/>
                <w:bCs/>
                <w:color w:val="000000"/>
                <w:sz w:val="20"/>
                <w:lang w:eastAsia="hr-HR"/>
              </w:rPr>
              <w:t>ZGRADE KOMERCIJALNIH I USLUŽNIH DJELATNOSTI</w:t>
            </w:r>
          </w:p>
        </w:tc>
        <w:tc>
          <w:tcPr>
            <w:tcW w:w="1134"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c>
          <w:tcPr>
            <w:tcW w:w="1275"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c>
          <w:tcPr>
            <w:tcW w:w="1134"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c>
          <w:tcPr>
            <w:tcW w:w="1134"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c>
          <w:tcPr>
            <w:tcW w:w="709"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c>
          <w:tcPr>
            <w:tcW w:w="1170"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r>
      <w:tr w:rsidR="00E8765C" w:rsidRPr="000063FC" w:rsidTr="00E669C7">
        <w:trPr>
          <w:trHeight w:val="287"/>
        </w:trPr>
        <w:tc>
          <w:tcPr>
            <w:tcW w:w="2800" w:type="dxa"/>
            <w:tcBorders>
              <w:top w:val="nil"/>
              <w:left w:val="single" w:sz="4" w:space="0" w:color="4BACC6"/>
              <w:bottom w:val="single" w:sz="4" w:space="0" w:color="4BACC6"/>
              <w:right w:val="single" w:sz="4" w:space="0" w:color="4BACC6"/>
            </w:tcBorders>
            <w:vAlign w:val="bottom"/>
          </w:tcPr>
          <w:p w:rsidR="00E8765C" w:rsidRPr="000063FC" w:rsidRDefault="00E8765C" w:rsidP="00426890">
            <w:pPr>
              <w:spacing w:line="240" w:lineRule="auto"/>
              <w:jc w:val="left"/>
              <w:rPr>
                <w:rFonts w:asciiTheme="minorHAnsi" w:hAnsiTheme="minorHAnsi" w:cs="Arial"/>
                <w:color w:val="000000"/>
                <w:sz w:val="20"/>
                <w:lang w:eastAsia="hr-HR"/>
              </w:rPr>
            </w:pPr>
            <w:r w:rsidRPr="000063FC">
              <w:rPr>
                <w:rFonts w:asciiTheme="minorHAnsi" w:hAnsiTheme="minorHAnsi" w:cs="Arial"/>
                <w:color w:val="000000"/>
                <w:sz w:val="20"/>
                <w:lang w:eastAsia="hr-HR"/>
              </w:rPr>
              <w:t>ZGRADE KOMERCIJALNIH I</w:t>
            </w:r>
            <w:r w:rsidRPr="000063FC">
              <w:rPr>
                <w:rFonts w:asciiTheme="minorHAnsi" w:hAnsiTheme="minorHAnsi" w:cs="Arial"/>
                <w:color w:val="000000"/>
                <w:sz w:val="20"/>
                <w:lang w:eastAsia="hr-HR"/>
              </w:rPr>
              <w:br/>
              <w:t>USLUŽNIH DJELATNOSTI</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29.897,5</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50.514,7</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41.612,4</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70"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122.024,6</w:t>
            </w:r>
          </w:p>
        </w:tc>
      </w:tr>
      <w:tr w:rsidR="00E8765C" w:rsidRPr="000063FC" w:rsidTr="00E669C7">
        <w:trPr>
          <w:trHeight w:val="300"/>
        </w:trPr>
        <w:tc>
          <w:tcPr>
            <w:tcW w:w="2800" w:type="dxa"/>
            <w:tcBorders>
              <w:top w:val="nil"/>
              <w:left w:val="single" w:sz="4" w:space="0" w:color="4BACC6"/>
              <w:bottom w:val="single" w:sz="4" w:space="0" w:color="4BACC6"/>
              <w:right w:val="single" w:sz="4" w:space="0" w:color="4BACC6"/>
            </w:tcBorders>
            <w:shd w:val="clear" w:color="000000" w:fill="DBEEF3"/>
            <w:vAlign w:val="center"/>
          </w:tcPr>
          <w:p w:rsidR="00E8765C" w:rsidRPr="000063FC" w:rsidRDefault="00E8765C" w:rsidP="00426890">
            <w:pPr>
              <w:spacing w:line="240" w:lineRule="auto"/>
              <w:jc w:val="left"/>
              <w:rPr>
                <w:rFonts w:asciiTheme="minorHAnsi" w:hAnsiTheme="minorHAnsi" w:cs="Arial"/>
                <w:b/>
                <w:bCs/>
                <w:color w:val="000000"/>
                <w:sz w:val="20"/>
                <w:lang w:eastAsia="hr-HR"/>
              </w:rPr>
            </w:pPr>
            <w:r w:rsidRPr="000063FC">
              <w:rPr>
                <w:rFonts w:asciiTheme="minorHAnsi" w:hAnsiTheme="minorHAnsi" w:cs="Arial"/>
                <w:b/>
                <w:bCs/>
                <w:color w:val="000000"/>
                <w:sz w:val="20"/>
                <w:lang w:eastAsia="hr-HR"/>
              </w:rPr>
              <w:t>STAMBENE ZGRADE - KUĆANSTVA</w:t>
            </w:r>
          </w:p>
        </w:tc>
        <w:tc>
          <w:tcPr>
            <w:tcW w:w="1134"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c>
          <w:tcPr>
            <w:tcW w:w="1275"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c>
          <w:tcPr>
            <w:tcW w:w="1134"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c>
          <w:tcPr>
            <w:tcW w:w="1134"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c>
          <w:tcPr>
            <w:tcW w:w="709"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c>
          <w:tcPr>
            <w:tcW w:w="1170" w:type="dxa"/>
            <w:tcBorders>
              <w:top w:val="nil"/>
              <w:left w:val="nil"/>
              <w:bottom w:val="single" w:sz="4" w:space="0" w:color="4BACC6"/>
              <w:right w:val="single" w:sz="4" w:space="0" w:color="4BACC6"/>
            </w:tcBorders>
            <w:shd w:val="clear" w:color="000000" w:fill="DBEEF3"/>
            <w:vAlign w:val="bottom"/>
          </w:tcPr>
          <w:p w:rsidR="00E8765C" w:rsidRPr="000063FC" w:rsidRDefault="00E8765C" w:rsidP="00E8765C">
            <w:pPr>
              <w:spacing w:line="240" w:lineRule="auto"/>
              <w:rPr>
                <w:rFonts w:asciiTheme="minorHAnsi" w:hAnsiTheme="minorHAnsi" w:cs="Arial"/>
                <w:color w:val="000000"/>
                <w:sz w:val="20"/>
              </w:rPr>
            </w:pPr>
            <w:r w:rsidRPr="000063FC">
              <w:rPr>
                <w:rFonts w:asciiTheme="minorHAnsi" w:hAnsiTheme="minorHAnsi" w:cs="Arial"/>
                <w:color w:val="000000"/>
                <w:sz w:val="20"/>
              </w:rPr>
              <w:t> </w:t>
            </w:r>
          </w:p>
        </w:tc>
      </w:tr>
      <w:tr w:rsidR="00E8765C" w:rsidRPr="000063FC" w:rsidTr="00E669C7">
        <w:trPr>
          <w:trHeight w:hRule="exact" w:val="255"/>
        </w:trPr>
        <w:tc>
          <w:tcPr>
            <w:tcW w:w="2800" w:type="dxa"/>
            <w:tcBorders>
              <w:top w:val="nil"/>
              <w:left w:val="single" w:sz="4" w:space="0" w:color="4BACC6"/>
              <w:bottom w:val="single" w:sz="4" w:space="0" w:color="4BACC6"/>
              <w:right w:val="single" w:sz="4" w:space="0" w:color="4BACC6"/>
            </w:tcBorders>
            <w:vAlign w:val="bottom"/>
          </w:tcPr>
          <w:p w:rsidR="00E8765C" w:rsidRPr="000063FC" w:rsidRDefault="00E8765C" w:rsidP="00426890">
            <w:pPr>
              <w:spacing w:line="240" w:lineRule="auto"/>
              <w:jc w:val="left"/>
              <w:rPr>
                <w:rFonts w:asciiTheme="minorHAnsi" w:hAnsiTheme="minorHAnsi" w:cs="Arial"/>
                <w:color w:val="000000"/>
                <w:sz w:val="20"/>
                <w:lang w:eastAsia="hr-HR"/>
              </w:rPr>
            </w:pPr>
            <w:r w:rsidRPr="000063FC">
              <w:rPr>
                <w:rFonts w:asciiTheme="minorHAnsi" w:hAnsiTheme="minorHAnsi" w:cs="Arial"/>
                <w:color w:val="000000"/>
                <w:sz w:val="20"/>
                <w:lang w:eastAsia="hr-HR"/>
              </w:rPr>
              <w:t>KUĆANSTVA</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63.748,9</w:t>
            </w:r>
          </w:p>
        </w:tc>
        <w:tc>
          <w:tcPr>
            <w:tcW w:w="1275"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194.433,1</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107.324,0</w:t>
            </w:r>
          </w:p>
        </w:tc>
        <w:tc>
          <w:tcPr>
            <w:tcW w:w="1134"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45.778,2</w:t>
            </w:r>
          </w:p>
        </w:tc>
        <w:tc>
          <w:tcPr>
            <w:tcW w:w="709"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0,0</w:t>
            </w:r>
          </w:p>
        </w:tc>
        <w:tc>
          <w:tcPr>
            <w:tcW w:w="1170" w:type="dxa"/>
            <w:tcBorders>
              <w:top w:val="nil"/>
              <w:left w:val="nil"/>
              <w:bottom w:val="single" w:sz="4" w:space="0" w:color="4BACC6"/>
              <w:right w:val="single" w:sz="4" w:space="0" w:color="4BACC6"/>
            </w:tcBorders>
            <w:noWrap/>
            <w:vAlign w:val="bottom"/>
          </w:tcPr>
          <w:p w:rsidR="00E8765C" w:rsidRPr="000063FC" w:rsidRDefault="00E8765C" w:rsidP="00E8765C">
            <w:pPr>
              <w:spacing w:line="240" w:lineRule="auto"/>
              <w:jc w:val="right"/>
              <w:rPr>
                <w:rFonts w:asciiTheme="minorHAnsi" w:hAnsiTheme="minorHAnsi" w:cs="Arial"/>
                <w:color w:val="000000"/>
                <w:sz w:val="20"/>
              </w:rPr>
            </w:pPr>
            <w:r w:rsidRPr="000063FC">
              <w:rPr>
                <w:rFonts w:asciiTheme="minorHAnsi" w:hAnsiTheme="minorHAnsi" w:cs="Arial"/>
                <w:color w:val="000000"/>
                <w:sz w:val="20"/>
              </w:rPr>
              <w:t>411.284,2</w:t>
            </w:r>
          </w:p>
        </w:tc>
      </w:tr>
      <w:tr w:rsidR="00E8765C" w:rsidRPr="000063FC" w:rsidTr="00E669C7">
        <w:trPr>
          <w:trHeight w:val="390"/>
        </w:trPr>
        <w:tc>
          <w:tcPr>
            <w:tcW w:w="2800" w:type="dxa"/>
            <w:tcBorders>
              <w:top w:val="single" w:sz="4" w:space="0" w:color="4BACC6"/>
              <w:left w:val="single" w:sz="4" w:space="0" w:color="4BACC6"/>
              <w:bottom w:val="single" w:sz="4" w:space="0" w:color="4BACC6"/>
              <w:right w:val="single" w:sz="4" w:space="0" w:color="FFFFFF"/>
            </w:tcBorders>
            <w:shd w:val="clear" w:color="auto" w:fill="4BACC6"/>
            <w:vAlign w:val="center"/>
          </w:tcPr>
          <w:p w:rsidR="00E8765C" w:rsidRPr="000063FC" w:rsidRDefault="00E8765C" w:rsidP="00E8765C">
            <w:pPr>
              <w:spacing w:line="240" w:lineRule="auto"/>
              <w:jc w:val="center"/>
              <w:rPr>
                <w:rFonts w:asciiTheme="minorHAnsi" w:hAnsiTheme="minorHAnsi" w:cs="Arial"/>
                <w:b/>
                <w:bCs/>
                <w:color w:val="FFFFFF" w:themeColor="background1"/>
                <w:sz w:val="20"/>
                <w:lang w:eastAsia="hr-HR"/>
              </w:rPr>
            </w:pPr>
            <w:r w:rsidRPr="000063FC">
              <w:rPr>
                <w:rFonts w:asciiTheme="minorHAnsi" w:hAnsiTheme="minorHAnsi" w:cs="Arial"/>
                <w:b/>
                <w:bCs/>
                <w:color w:val="FFFFFF" w:themeColor="background1"/>
                <w:sz w:val="20"/>
                <w:lang w:eastAsia="hr-HR"/>
              </w:rPr>
              <w:t>UKUPNO</w:t>
            </w:r>
          </w:p>
        </w:tc>
        <w:tc>
          <w:tcPr>
            <w:tcW w:w="1134"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E8765C" w:rsidRPr="000063FC" w:rsidRDefault="00E8765C"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100.588,6</w:t>
            </w:r>
          </w:p>
        </w:tc>
        <w:tc>
          <w:tcPr>
            <w:tcW w:w="1275"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E8765C" w:rsidRPr="000063FC" w:rsidRDefault="00E8765C"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278.216,1</w:t>
            </w:r>
          </w:p>
        </w:tc>
        <w:tc>
          <w:tcPr>
            <w:tcW w:w="1134"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E8765C" w:rsidRPr="000063FC" w:rsidRDefault="00E8765C"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176.341,7</w:t>
            </w:r>
          </w:p>
        </w:tc>
        <w:tc>
          <w:tcPr>
            <w:tcW w:w="1134"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E8765C" w:rsidRPr="000063FC" w:rsidRDefault="00E8765C"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51.440,3</w:t>
            </w:r>
          </w:p>
        </w:tc>
        <w:tc>
          <w:tcPr>
            <w:tcW w:w="709" w:type="dxa"/>
            <w:tcBorders>
              <w:top w:val="single" w:sz="4" w:space="0" w:color="4BACC6"/>
              <w:left w:val="single" w:sz="4" w:space="0" w:color="FFFFFF"/>
              <w:bottom w:val="single" w:sz="4" w:space="0" w:color="4BACC6"/>
              <w:right w:val="single" w:sz="4" w:space="0" w:color="FFFFFF"/>
            </w:tcBorders>
            <w:shd w:val="clear" w:color="auto" w:fill="4BACC6"/>
            <w:noWrap/>
            <w:vAlign w:val="center"/>
          </w:tcPr>
          <w:p w:rsidR="00E8765C" w:rsidRPr="000063FC" w:rsidRDefault="00E8765C"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0,0</w:t>
            </w:r>
          </w:p>
        </w:tc>
        <w:tc>
          <w:tcPr>
            <w:tcW w:w="1170" w:type="dxa"/>
            <w:tcBorders>
              <w:top w:val="single" w:sz="4" w:space="0" w:color="4BACC6"/>
              <w:left w:val="single" w:sz="4" w:space="0" w:color="FFFFFF"/>
              <w:bottom w:val="single" w:sz="4" w:space="0" w:color="4BACC6"/>
              <w:right w:val="single" w:sz="4" w:space="0" w:color="4BACC6"/>
            </w:tcBorders>
            <w:shd w:val="clear" w:color="auto" w:fill="4BACC6"/>
            <w:noWrap/>
            <w:vAlign w:val="center"/>
          </w:tcPr>
          <w:p w:rsidR="00E8765C" w:rsidRPr="000063FC" w:rsidRDefault="00E8765C" w:rsidP="00E8765C">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606.586,8</w:t>
            </w:r>
          </w:p>
        </w:tc>
      </w:tr>
    </w:tbl>
    <w:p w:rsidR="00E8765C" w:rsidRPr="000063FC" w:rsidRDefault="00E8765C" w:rsidP="00E8765C">
      <w:pPr>
        <w:spacing w:line="276" w:lineRule="auto"/>
      </w:pPr>
      <w:r w:rsidRPr="000063FC">
        <w:lastRenderedPageBreak/>
        <w:t>Ukupan potenc</w:t>
      </w:r>
      <w:r w:rsidR="00E669C7" w:rsidRPr="000063FC">
        <w:t>ijal smanjenja emisija sektora z</w:t>
      </w:r>
      <w:r w:rsidRPr="000063FC">
        <w:t>gradarstvo iznosi 606.586,8 t CO</w:t>
      </w:r>
      <w:r w:rsidRPr="000063FC">
        <w:rPr>
          <w:vertAlign w:val="subscript"/>
        </w:rPr>
        <w:t>2</w:t>
      </w:r>
      <w:r w:rsidRPr="000063FC">
        <w:t>. Stambeni sektor doprinosi</w:t>
      </w:r>
      <w:r w:rsidR="00E669C7" w:rsidRPr="000063FC">
        <w:t xml:space="preserve"> ukupnom potencijalu s</w:t>
      </w:r>
      <w:r w:rsidRPr="000063FC">
        <w:t xml:space="preserve"> 67,8</w:t>
      </w:r>
      <w:r w:rsidR="00E669C7" w:rsidRPr="000063FC">
        <w:t>% (</w:t>
      </w:r>
      <w:r w:rsidRPr="000063FC">
        <w:rPr>
          <w:color w:val="000000"/>
          <w:lang w:eastAsia="hr-HR"/>
        </w:rPr>
        <w:t xml:space="preserve">411.284,2 </w:t>
      </w:r>
      <w:r w:rsidRPr="000063FC">
        <w:t>t CO</w:t>
      </w:r>
      <w:r w:rsidRPr="000063FC">
        <w:rPr>
          <w:vertAlign w:val="subscript"/>
        </w:rPr>
        <w:t>2</w:t>
      </w:r>
      <w:r w:rsidR="00E669C7" w:rsidRPr="000063FC">
        <w:t>)</w:t>
      </w:r>
      <w:r w:rsidRPr="000063FC">
        <w:t xml:space="preserve">, </w:t>
      </w:r>
      <w:r w:rsidR="00E669C7" w:rsidRPr="000063FC">
        <w:t>sektor komercijalnih i uslužnih</w:t>
      </w:r>
      <w:r w:rsidRPr="000063FC">
        <w:t xml:space="preserve"> djelatnosti </w:t>
      </w:r>
      <w:r w:rsidR="00E669C7" w:rsidRPr="000063FC">
        <w:t>s</w:t>
      </w:r>
      <w:r w:rsidRPr="000063FC">
        <w:t xml:space="preserve"> 20,1</w:t>
      </w:r>
      <w:r w:rsidR="00E669C7" w:rsidRPr="000063FC">
        <w:t>% (</w:t>
      </w:r>
      <w:r w:rsidRPr="000063FC">
        <w:rPr>
          <w:color w:val="000000"/>
          <w:lang w:eastAsia="hr-HR"/>
        </w:rPr>
        <w:t>122.024,6</w:t>
      </w:r>
      <w:r w:rsidRPr="000063FC">
        <w:t xml:space="preserve"> </w:t>
      </w:r>
      <w:r w:rsidR="00E669C7" w:rsidRPr="000063FC">
        <w:t>t CO</w:t>
      </w:r>
      <w:r w:rsidR="00E669C7" w:rsidRPr="000063FC">
        <w:rPr>
          <w:vertAlign w:val="subscript"/>
        </w:rPr>
        <w:t>2</w:t>
      </w:r>
      <w:r w:rsidR="00E669C7" w:rsidRPr="000063FC">
        <w:t xml:space="preserve">) </w:t>
      </w:r>
      <w:r w:rsidRPr="000063FC">
        <w:t xml:space="preserve">dok ostatak od </w:t>
      </w:r>
      <w:r w:rsidRPr="000063FC">
        <w:rPr>
          <w:color w:val="000000"/>
          <w:lang w:eastAsia="hr-HR"/>
        </w:rPr>
        <w:t>73.278,0</w:t>
      </w:r>
      <w:r w:rsidRPr="000063FC">
        <w:t xml:space="preserve"> t CO</w:t>
      </w:r>
      <w:r w:rsidRPr="000063FC">
        <w:rPr>
          <w:vertAlign w:val="subscript"/>
        </w:rPr>
        <w:t>2</w:t>
      </w:r>
      <w:r w:rsidRPr="000063FC">
        <w:t xml:space="preserve"> </w:t>
      </w:r>
      <w:r w:rsidR="00E669C7" w:rsidRPr="000063FC">
        <w:t>otpada na zgrade</w:t>
      </w:r>
      <w:r w:rsidRPr="000063FC">
        <w:t xml:space="preserve"> u vlasništvu Grada (slika </w:t>
      </w:r>
      <w:r w:rsidR="00426890" w:rsidRPr="000063FC">
        <w:t>3.2)</w:t>
      </w:r>
      <w:r w:rsidRPr="000063FC">
        <w:t xml:space="preserve">. </w:t>
      </w:r>
    </w:p>
    <w:p w:rsidR="00E8765C" w:rsidRPr="000063FC" w:rsidRDefault="00E8765C">
      <w:pPr>
        <w:tabs>
          <w:tab w:val="clear" w:pos="720"/>
          <w:tab w:val="clear" w:pos="6912"/>
        </w:tabs>
        <w:spacing w:line="240" w:lineRule="auto"/>
        <w:jc w:val="left"/>
        <w:rPr>
          <w:szCs w:val="22"/>
        </w:rPr>
      </w:pPr>
    </w:p>
    <w:p w:rsidR="00E8765C" w:rsidRPr="000063FC" w:rsidRDefault="00BD7626" w:rsidP="00426890">
      <w:pPr>
        <w:tabs>
          <w:tab w:val="clear" w:pos="720"/>
          <w:tab w:val="clear" w:pos="6912"/>
        </w:tabs>
        <w:spacing w:line="240" w:lineRule="auto"/>
        <w:jc w:val="center"/>
        <w:rPr>
          <w:szCs w:val="22"/>
        </w:rPr>
      </w:pPr>
      <w:r w:rsidRPr="000063FC">
        <w:rPr>
          <w:noProof/>
          <w:szCs w:val="22"/>
          <w:lang w:eastAsia="hr-HR"/>
        </w:rPr>
        <w:drawing>
          <wp:inline distT="0" distB="0" distL="0" distR="0">
            <wp:extent cx="4803116" cy="2139351"/>
            <wp:effectExtent l="19050" t="0" r="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26890" w:rsidRPr="000063FC" w:rsidRDefault="00426890" w:rsidP="00426890">
      <w:pPr>
        <w:pStyle w:val="Heading7"/>
      </w:pPr>
      <w:bookmarkStart w:id="226" w:name="_Toc251161809"/>
      <w:bookmarkStart w:id="227" w:name="_Toc254010301"/>
      <w:r w:rsidRPr="000063FC">
        <w:t>Slika 3.2: Raspodjela potencijala smanjenja emisije CO</w:t>
      </w:r>
      <w:r w:rsidRPr="000063FC">
        <w:rPr>
          <w:vertAlign w:val="subscript"/>
        </w:rPr>
        <w:t>2</w:t>
      </w:r>
      <w:r w:rsidRPr="000063FC">
        <w:t xml:space="preserve"> sektora zgradarstvo Grada Zagreba</w:t>
      </w:r>
      <w:bookmarkEnd w:id="226"/>
      <w:bookmarkEnd w:id="227"/>
    </w:p>
    <w:p w:rsidR="00E8765C" w:rsidRPr="000063FC" w:rsidRDefault="00E8765C">
      <w:pPr>
        <w:tabs>
          <w:tab w:val="clear" w:pos="720"/>
          <w:tab w:val="clear" w:pos="6912"/>
        </w:tabs>
        <w:spacing w:line="240" w:lineRule="auto"/>
        <w:jc w:val="left"/>
        <w:rPr>
          <w:szCs w:val="22"/>
        </w:rPr>
      </w:pPr>
    </w:p>
    <w:p w:rsidR="00E669C7" w:rsidRPr="000063FC" w:rsidRDefault="00426890" w:rsidP="00E669C7">
      <w:r w:rsidRPr="000063FC">
        <w:t>Na slici 3.3 prikazan</w:t>
      </w:r>
      <w:r w:rsidR="00E669C7" w:rsidRPr="000063FC">
        <w:t>a</w:t>
      </w:r>
      <w:r w:rsidRPr="000063FC">
        <w:t xml:space="preserve"> je </w:t>
      </w:r>
      <w:r w:rsidR="00E669C7" w:rsidRPr="000063FC">
        <w:t xml:space="preserve">raspodjela </w:t>
      </w:r>
      <w:r w:rsidRPr="000063FC">
        <w:t xml:space="preserve">potencijala smanjenja emisija </w:t>
      </w:r>
      <w:r w:rsidR="00E669C7" w:rsidRPr="000063FC">
        <w:t>CO</w:t>
      </w:r>
      <w:r w:rsidR="00E669C7" w:rsidRPr="000063FC">
        <w:rPr>
          <w:vertAlign w:val="subscript"/>
        </w:rPr>
        <w:t>2</w:t>
      </w:r>
      <w:r w:rsidR="00E669C7" w:rsidRPr="000063FC">
        <w:t xml:space="preserve"> po potkategorijama unutar </w:t>
      </w:r>
      <w:r w:rsidRPr="000063FC">
        <w:t>podsektor</w:t>
      </w:r>
      <w:r w:rsidR="00E669C7" w:rsidRPr="000063FC">
        <w:t>a</w:t>
      </w:r>
      <w:r w:rsidRPr="000063FC">
        <w:t xml:space="preserve"> </w:t>
      </w:r>
      <w:r w:rsidR="00E669C7" w:rsidRPr="000063FC">
        <w:t>zgrada</w:t>
      </w:r>
      <w:r w:rsidRPr="000063FC">
        <w:t xml:space="preserve"> u vlasništvu Grada, dok je na slici 3.4 prikazan</w:t>
      </w:r>
      <w:r w:rsidR="00E669C7" w:rsidRPr="000063FC">
        <w:t>a</w:t>
      </w:r>
      <w:r w:rsidRPr="000063FC">
        <w:t xml:space="preserve"> </w:t>
      </w:r>
      <w:r w:rsidR="00E669C7" w:rsidRPr="000063FC">
        <w:t>raspodjela potencijala smanjenja emisije CO</w:t>
      </w:r>
      <w:r w:rsidR="00E669C7" w:rsidRPr="000063FC">
        <w:rPr>
          <w:vertAlign w:val="subscript"/>
        </w:rPr>
        <w:t>2</w:t>
      </w:r>
      <w:r w:rsidR="00E669C7" w:rsidRPr="000063FC">
        <w:t xml:space="preserve"> (%) sektora zgradarstvo prema podsektorima, kategorijama i potkategorijama</w:t>
      </w:r>
    </w:p>
    <w:p w:rsidR="00426890" w:rsidRPr="000063FC" w:rsidRDefault="00426890" w:rsidP="00426890">
      <w:pPr>
        <w:spacing w:line="276" w:lineRule="auto"/>
        <w:rPr>
          <w:szCs w:val="22"/>
        </w:rPr>
      </w:pPr>
    </w:p>
    <w:p w:rsidR="00426890" w:rsidRPr="000063FC" w:rsidRDefault="00426890" w:rsidP="00426890">
      <w:pPr>
        <w:spacing w:line="276" w:lineRule="auto"/>
        <w:jc w:val="center"/>
        <w:rPr>
          <w:szCs w:val="22"/>
        </w:rPr>
      </w:pPr>
      <w:r w:rsidRPr="000063FC">
        <w:rPr>
          <w:noProof/>
          <w:szCs w:val="22"/>
          <w:lang w:eastAsia="hr-HR"/>
        </w:rPr>
        <w:drawing>
          <wp:inline distT="0" distB="0" distL="0" distR="0">
            <wp:extent cx="3949101" cy="2294627"/>
            <wp:effectExtent l="19050" t="0" r="0"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26890" w:rsidRPr="000063FC" w:rsidRDefault="00426890" w:rsidP="00426890">
      <w:pPr>
        <w:pStyle w:val="Heading7"/>
      </w:pPr>
      <w:bookmarkStart w:id="228" w:name="_Toc251161810"/>
      <w:bookmarkStart w:id="229" w:name="_Toc254010302"/>
      <w:r w:rsidRPr="000063FC">
        <w:t>Slika 3.3: Raspodjela potencijala smanjenja emisije CO</w:t>
      </w:r>
      <w:r w:rsidRPr="000063FC">
        <w:rPr>
          <w:vertAlign w:val="subscript"/>
        </w:rPr>
        <w:t>2</w:t>
      </w:r>
      <w:r w:rsidRPr="000063FC">
        <w:t xml:space="preserve"> podsektora stambene i javne zgrade u vlasništvu Grada</w:t>
      </w:r>
      <w:bookmarkEnd w:id="228"/>
      <w:bookmarkEnd w:id="229"/>
    </w:p>
    <w:p w:rsidR="00426890" w:rsidRPr="000063FC" w:rsidRDefault="00426890" w:rsidP="00426890">
      <w:pPr>
        <w:spacing w:line="276" w:lineRule="auto"/>
        <w:jc w:val="center"/>
        <w:rPr>
          <w:szCs w:val="22"/>
          <w:highlight w:val="yellow"/>
        </w:rPr>
      </w:pPr>
    </w:p>
    <w:p w:rsidR="00426890" w:rsidRPr="000063FC" w:rsidRDefault="00426890" w:rsidP="00426890">
      <w:pPr>
        <w:spacing w:line="276" w:lineRule="auto"/>
        <w:rPr>
          <w:szCs w:val="22"/>
        </w:rPr>
      </w:pPr>
      <w:r w:rsidRPr="000063FC">
        <w:rPr>
          <w:szCs w:val="22"/>
        </w:rPr>
        <w:t xml:space="preserve">Ukupan potencijal smanjenja emisija </w:t>
      </w:r>
      <w:r w:rsidR="00E669C7" w:rsidRPr="000063FC">
        <w:rPr>
          <w:szCs w:val="22"/>
        </w:rPr>
        <w:t>pod</w:t>
      </w:r>
      <w:r w:rsidRPr="000063FC">
        <w:rPr>
          <w:szCs w:val="22"/>
        </w:rPr>
        <w:t xml:space="preserve">sektora </w:t>
      </w:r>
      <w:r w:rsidR="00E669C7" w:rsidRPr="000063FC">
        <w:rPr>
          <w:szCs w:val="22"/>
        </w:rPr>
        <w:t>zgrada</w:t>
      </w:r>
      <w:r w:rsidRPr="000063FC">
        <w:rPr>
          <w:szCs w:val="22"/>
        </w:rPr>
        <w:t xml:space="preserve"> u vlasništvu Grada iznosi 73.278,0 t CO</w:t>
      </w:r>
      <w:r w:rsidRPr="000063FC">
        <w:rPr>
          <w:szCs w:val="22"/>
          <w:vertAlign w:val="subscript"/>
        </w:rPr>
        <w:t>2</w:t>
      </w:r>
      <w:r w:rsidR="00E669C7" w:rsidRPr="000063FC">
        <w:rPr>
          <w:szCs w:val="22"/>
        </w:rPr>
        <w:t xml:space="preserve">. </w:t>
      </w:r>
      <w:r w:rsidR="000063FC" w:rsidRPr="000063FC">
        <w:rPr>
          <w:szCs w:val="22"/>
        </w:rPr>
        <w:t>Potkategorija</w:t>
      </w:r>
      <w:r w:rsidR="00E669C7" w:rsidRPr="000063FC">
        <w:rPr>
          <w:szCs w:val="22"/>
        </w:rPr>
        <w:t xml:space="preserve"> š</w:t>
      </w:r>
      <w:r w:rsidRPr="000063FC">
        <w:rPr>
          <w:szCs w:val="22"/>
        </w:rPr>
        <w:t xml:space="preserve">kolstvo </w:t>
      </w:r>
      <w:r w:rsidR="00E669C7" w:rsidRPr="000063FC">
        <w:rPr>
          <w:szCs w:val="22"/>
        </w:rPr>
        <w:t>doprinosi ukupnom potencijalu s</w:t>
      </w:r>
      <w:r w:rsidRPr="000063FC">
        <w:rPr>
          <w:szCs w:val="22"/>
        </w:rPr>
        <w:t xml:space="preserve"> 34,0%, što iznosi </w:t>
      </w:r>
      <w:r w:rsidRPr="000063FC">
        <w:rPr>
          <w:color w:val="000000"/>
          <w:szCs w:val="22"/>
        </w:rPr>
        <w:t>24.901,1</w:t>
      </w:r>
      <w:r w:rsidRPr="000063FC">
        <w:rPr>
          <w:color w:val="000000"/>
          <w:szCs w:val="22"/>
          <w:lang w:eastAsia="hr-HR"/>
        </w:rPr>
        <w:t xml:space="preserve"> </w:t>
      </w:r>
      <w:r w:rsidRPr="000063FC">
        <w:rPr>
          <w:szCs w:val="22"/>
        </w:rPr>
        <w:t>t CO</w:t>
      </w:r>
      <w:r w:rsidRPr="000063FC">
        <w:rPr>
          <w:szCs w:val="22"/>
          <w:vertAlign w:val="subscript"/>
        </w:rPr>
        <w:t>2</w:t>
      </w:r>
      <w:r w:rsidR="00E669C7" w:rsidRPr="000063FC">
        <w:rPr>
          <w:szCs w:val="22"/>
        </w:rPr>
        <w:t>, z</w:t>
      </w:r>
      <w:r w:rsidRPr="000063FC">
        <w:rPr>
          <w:szCs w:val="22"/>
        </w:rPr>
        <w:t xml:space="preserve">dravstvo </w:t>
      </w:r>
      <w:r w:rsidR="00E669C7" w:rsidRPr="000063FC">
        <w:rPr>
          <w:szCs w:val="22"/>
        </w:rPr>
        <w:t>s</w:t>
      </w:r>
      <w:r w:rsidRPr="000063FC">
        <w:rPr>
          <w:szCs w:val="22"/>
        </w:rPr>
        <w:t xml:space="preserve"> 25,0% što u t CO</w:t>
      </w:r>
      <w:r w:rsidRPr="000063FC">
        <w:rPr>
          <w:szCs w:val="22"/>
          <w:vertAlign w:val="subscript"/>
        </w:rPr>
        <w:t>2</w:t>
      </w:r>
      <w:r w:rsidRPr="000063FC">
        <w:rPr>
          <w:szCs w:val="22"/>
        </w:rPr>
        <w:t xml:space="preserve"> iznosi </w:t>
      </w:r>
      <w:r w:rsidR="008E6DE8" w:rsidRPr="000063FC">
        <w:rPr>
          <w:color w:val="000000"/>
          <w:szCs w:val="22"/>
        </w:rPr>
        <w:t xml:space="preserve">18.295,6, zgrade podružnica Zagrebačkog holdinga </w:t>
      </w:r>
      <w:r w:rsidRPr="000063FC">
        <w:rPr>
          <w:color w:val="000000"/>
          <w:szCs w:val="22"/>
        </w:rPr>
        <w:t xml:space="preserve">s udjelom od 22,0% </w:t>
      </w:r>
      <w:r w:rsidRPr="000063FC">
        <w:rPr>
          <w:szCs w:val="22"/>
        </w:rPr>
        <w:t xml:space="preserve">dok </w:t>
      </w:r>
      <w:r w:rsidR="008E6DE8" w:rsidRPr="000063FC">
        <w:rPr>
          <w:szCs w:val="22"/>
        </w:rPr>
        <w:t xml:space="preserve">je udio </w:t>
      </w:r>
      <w:r w:rsidRPr="000063FC">
        <w:rPr>
          <w:szCs w:val="22"/>
        </w:rPr>
        <w:t>ostali</w:t>
      </w:r>
      <w:r w:rsidR="008E6DE8" w:rsidRPr="000063FC">
        <w:rPr>
          <w:szCs w:val="22"/>
        </w:rPr>
        <w:t xml:space="preserve">h </w:t>
      </w:r>
      <w:r w:rsidR="000063FC" w:rsidRPr="000063FC">
        <w:rPr>
          <w:szCs w:val="22"/>
        </w:rPr>
        <w:t>potkategorija</w:t>
      </w:r>
      <w:r w:rsidRPr="000063FC">
        <w:rPr>
          <w:szCs w:val="22"/>
        </w:rPr>
        <w:t xml:space="preserve"> 19,1%. </w:t>
      </w:r>
    </w:p>
    <w:p w:rsidR="00426890" w:rsidRPr="000063FC" w:rsidRDefault="00426890" w:rsidP="00426890">
      <w:pPr>
        <w:spacing w:line="276" w:lineRule="auto"/>
        <w:rPr>
          <w:szCs w:val="22"/>
        </w:rPr>
      </w:pPr>
      <w:r w:rsidRPr="000063FC">
        <w:rPr>
          <w:szCs w:val="22"/>
        </w:rPr>
        <w:br w:type="page"/>
      </w:r>
    </w:p>
    <w:p w:rsidR="00426890" w:rsidRPr="000063FC" w:rsidRDefault="00426890" w:rsidP="00426890">
      <w:pPr>
        <w:spacing w:line="276" w:lineRule="auto"/>
        <w:jc w:val="center"/>
        <w:rPr>
          <w:szCs w:val="22"/>
        </w:rPr>
      </w:pPr>
      <w:r w:rsidRPr="000063FC">
        <w:rPr>
          <w:noProof/>
          <w:szCs w:val="22"/>
          <w:lang w:eastAsia="hr-HR"/>
        </w:rPr>
        <w:lastRenderedPageBreak/>
        <w:drawing>
          <wp:inline distT="0" distB="0" distL="0" distR="0">
            <wp:extent cx="5493229" cy="2260121"/>
            <wp:effectExtent l="19050" t="0" r="0" b="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26890" w:rsidRPr="000063FC" w:rsidRDefault="00426890" w:rsidP="00426890">
      <w:pPr>
        <w:pStyle w:val="Heading7"/>
      </w:pPr>
      <w:bookmarkStart w:id="230" w:name="_Toc251161811"/>
      <w:bookmarkStart w:id="231" w:name="_Toc254010303"/>
      <w:r w:rsidRPr="000063FC">
        <w:t>Slika 3.4: Raspodjela potencijala smanjenja emisije CO</w:t>
      </w:r>
      <w:r w:rsidRPr="000063FC">
        <w:rPr>
          <w:vertAlign w:val="subscript"/>
        </w:rPr>
        <w:t>2</w:t>
      </w:r>
      <w:r w:rsidRPr="000063FC">
        <w:t xml:space="preserve"> (%) sektora zgradarstvo prema podsektorima</w:t>
      </w:r>
      <w:bookmarkEnd w:id="230"/>
      <w:r w:rsidRPr="000063FC">
        <w:t>, kategorijama i potkategorijama</w:t>
      </w:r>
      <w:bookmarkEnd w:id="231"/>
    </w:p>
    <w:p w:rsidR="00426890" w:rsidRPr="000063FC" w:rsidRDefault="00426890" w:rsidP="00426890">
      <w:pPr>
        <w:spacing w:line="276" w:lineRule="auto"/>
        <w:rPr>
          <w:szCs w:val="22"/>
          <w:highlight w:val="yellow"/>
        </w:rPr>
      </w:pPr>
    </w:p>
    <w:p w:rsidR="00426890" w:rsidRPr="000063FC" w:rsidRDefault="008E6DE8" w:rsidP="00426890">
      <w:pPr>
        <w:spacing w:line="276" w:lineRule="auto"/>
        <w:rPr>
          <w:szCs w:val="22"/>
        </w:rPr>
      </w:pPr>
      <w:r w:rsidRPr="000063FC">
        <w:rPr>
          <w:szCs w:val="22"/>
        </w:rPr>
        <w:t>Podsektori kućanstva i z</w:t>
      </w:r>
      <w:r w:rsidR="00426890" w:rsidRPr="000063FC">
        <w:rPr>
          <w:szCs w:val="22"/>
        </w:rPr>
        <w:t>grade komercijalnih i us</w:t>
      </w:r>
      <w:r w:rsidRPr="000063FC">
        <w:rPr>
          <w:szCs w:val="22"/>
        </w:rPr>
        <w:t xml:space="preserve">lužnih djelatnosti </w:t>
      </w:r>
      <w:r w:rsidR="00032E38">
        <w:rPr>
          <w:szCs w:val="22"/>
        </w:rPr>
        <w:t>imaju domin</w:t>
      </w:r>
      <w:r w:rsidR="00426890" w:rsidRPr="000063FC">
        <w:rPr>
          <w:szCs w:val="22"/>
        </w:rPr>
        <w:t>a</w:t>
      </w:r>
      <w:r w:rsidR="00032E38">
        <w:rPr>
          <w:szCs w:val="22"/>
        </w:rPr>
        <w:t>ntan utjecaj na</w:t>
      </w:r>
      <w:r w:rsidR="00426890" w:rsidRPr="000063FC">
        <w:rPr>
          <w:szCs w:val="22"/>
        </w:rPr>
        <w:t xml:space="preserve"> </w:t>
      </w:r>
      <w:r w:rsidRPr="000063FC">
        <w:rPr>
          <w:szCs w:val="22"/>
        </w:rPr>
        <w:t>potencijal</w:t>
      </w:r>
      <w:r w:rsidR="00426890" w:rsidRPr="000063FC">
        <w:rPr>
          <w:szCs w:val="22"/>
        </w:rPr>
        <w:t xml:space="preserve"> smanjenja te zajedno </w:t>
      </w:r>
      <w:r w:rsidRPr="000063FC">
        <w:rPr>
          <w:szCs w:val="22"/>
        </w:rPr>
        <w:t>doprinose s</w:t>
      </w:r>
      <w:r w:rsidR="00426890" w:rsidRPr="000063FC">
        <w:rPr>
          <w:szCs w:val="22"/>
        </w:rPr>
        <w:t xml:space="preserve"> 87,9% odnosno 533.308,8 t CO</w:t>
      </w:r>
      <w:r w:rsidR="00426890" w:rsidRPr="000063FC">
        <w:rPr>
          <w:szCs w:val="22"/>
          <w:vertAlign w:val="subscript"/>
        </w:rPr>
        <w:t>2</w:t>
      </w:r>
      <w:r w:rsidR="00426890" w:rsidRPr="000063FC">
        <w:rPr>
          <w:szCs w:val="22"/>
        </w:rPr>
        <w:t xml:space="preserve">. </w:t>
      </w:r>
    </w:p>
    <w:p w:rsidR="00426890" w:rsidRPr="000063FC" w:rsidRDefault="00426890" w:rsidP="00426890">
      <w:pPr>
        <w:spacing w:line="276" w:lineRule="auto"/>
        <w:rPr>
          <w:szCs w:val="22"/>
        </w:rPr>
      </w:pPr>
    </w:p>
    <w:p w:rsidR="00426890" w:rsidRPr="000063FC" w:rsidRDefault="00426890" w:rsidP="00426890">
      <w:pPr>
        <w:spacing w:line="276" w:lineRule="auto"/>
        <w:rPr>
          <w:szCs w:val="22"/>
        </w:rPr>
      </w:pPr>
      <w:r w:rsidRPr="000063FC">
        <w:rPr>
          <w:szCs w:val="22"/>
        </w:rPr>
        <w:t xml:space="preserve">Usporedbom scenarija bez mjera sa scenarijem s mjerama može se zaključiti da je emisija </w:t>
      </w:r>
      <w:r w:rsidR="008E6DE8" w:rsidRPr="000063FC">
        <w:rPr>
          <w:szCs w:val="22"/>
        </w:rPr>
        <w:t>CO</w:t>
      </w:r>
      <w:r w:rsidR="008E6DE8" w:rsidRPr="000063FC">
        <w:rPr>
          <w:szCs w:val="22"/>
          <w:vertAlign w:val="subscript"/>
        </w:rPr>
        <w:t>2</w:t>
      </w:r>
      <w:r w:rsidR="008E6DE8" w:rsidRPr="000063FC">
        <w:rPr>
          <w:szCs w:val="22"/>
        </w:rPr>
        <w:t xml:space="preserve"> </w:t>
      </w:r>
      <w:r w:rsidRPr="000063FC">
        <w:rPr>
          <w:szCs w:val="22"/>
        </w:rPr>
        <w:t xml:space="preserve">scenarija s mjerama za 34,2% manja. Uspoređujući emisiju scenarija s mjerama s emisijom </w:t>
      </w:r>
      <w:r w:rsidR="008E6DE8" w:rsidRPr="000063FC">
        <w:rPr>
          <w:szCs w:val="22"/>
        </w:rPr>
        <w:t xml:space="preserve">iz </w:t>
      </w:r>
      <w:r w:rsidRPr="000063FC">
        <w:rPr>
          <w:szCs w:val="22"/>
        </w:rPr>
        <w:t>2008. godine proizlazi da je ista manja za 32,7% od emisije 2008. godine. Ukupne emisije i potrošnje energije oba scenarija uz usporedbu sa emisijom 2008. godine prikazan</w:t>
      </w:r>
      <w:r w:rsidR="00032E38">
        <w:rPr>
          <w:szCs w:val="22"/>
        </w:rPr>
        <w:t>e su</w:t>
      </w:r>
      <w:r w:rsidRPr="000063FC">
        <w:rPr>
          <w:szCs w:val="22"/>
        </w:rPr>
        <w:t xml:space="preserve"> u tablici 3.10 i na slici </w:t>
      </w:r>
      <w:r w:rsidR="00BD7626" w:rsidRPr="000063FC">
        <w:rPr>
          <w:szCs w:val="22"/>
        </w:rPr>
        <w:t>3.5</w:t>
      </w:r>
      <w:r w:rsidRPr="000063FC">
        <w:rPr>
          <w:szCs w:val="22"/>
        </w:rPr>
        <w:t xml:space="preserve">.  </w:t>
      </w:r>
    </w:p>
    <w:p w:rsidR="00426890" w:rsidRPr="000063FC" w:rsidRDefault="00426890" w:rsidP="00426890">
      <w:pPr>
        <w:spacing w:line="276" w:lineRule="auto"/>
        <w:rPr>
          <w:szCs w:val="22"/>
        </w:rPr>
      </w:pPr>
    </w:p>
    <w:p w:rsidR="00426890" w:rsidRDefault="00426890" w:rsidP="00B33E2F">
      <w:pPr>
        <w:pStyle w:val="Heading6"/>
      </w:pPr>
      <w:bookmarkStart w:id="232" w:name="_Toc251161368"/>
      <w:bookmarkStart w:id="233" w:name="_Toc254010266"/>
      <w:r w:rsidRPr="000063FC">
        <w:t xml:space="preserve">Tablica </w:t>
      </w:r>
      <w:r w:rsidR="00BD7626" w:rsidRPr="000063FC">
        <w:t>3.10</w:t>
      </w:r>
      <w:r w:rsidRPr="000063FC">
        <w:t>: Projekcije sektora zgradarstvo po scenarijima</w:t>
      </w:r>
      <w:bookmarkEnd w:id="232"/>
      <w:bookmarkEnd w:id="233"/>
    </w:p>
    <w:tbl>
      <w:tblPr>
        <w:tblW w:w="9138" w:type="dxa"/>
        <w:tblInd w:w="108" w:type="dxa"/>
        <w:tblLook w:val="00A0" w:firstRow="1" w:lastRow="0" w:firstColumn="1" w:lastColumn="0" w:noHBand="0" w:noVBand="0"/>
      </w:tblPr>
      <w:tblGrid>
        <w:gridCol w:w="1255"/>
        <w:gridCol w:w="1496"/>
        <w:gridCol w:w="1444"/>
        <w:gridCol w:w="1001"/>
        <w:gridCol w:w="1479"/>
        <w:gridCol w:w="1505"/>
        <w:gridCol w:w="958"/>
      </w:tblGrid>
      <w:tr w:rsidR="00704ED5" w:rsidRPr="00B1678B" w:rsidTr="00704ED5">
        <w:trPr>
          <w:trHeight w:val="266"/>
        </w:trPr>
        <w:tc>
          <w:tcPr>
            <w:tcW w:w="1255" w:type="dxa"/>
            <w:vMerge w:val="restart"/>
            <w:tcBorders>
              <w:top w:val="single" w:sz="4" w:space="0" w:color="4BACC6"/>
              <w:left w:val="single" w:sz="4" w:space="0" w:color="4BACC6"/>
              <w:bottom w:val="single" w:sz="4" w:space="0" w:color="4BACC6"/>
              <w:right w:val="single" w:sz="4" w:space="0" w:color="FFFFFF"/>
            </w:tcBorders>
            <w:shd w:val="clear" w:color="000000" w:fill="4BACC6"/>
            <w:vAlign w:val="center"/>
          </w:tcPr>
          <w:p w:rsidR="00704ED5" w:rsidRPr="00C956D8" w:rsidRDefault="00704ED5" w:rsidP="00704ED5">
            <w:pPr>
              <w:jc w:val="center"/>
              <w:rPr>
                <w:b/>
                <w:bCs/>
                <w:color w:val="FFFFFF"/>
                <w:sz w:val="20"/>
                <w:lang w:eastAsia="hr-HR"/>
              </w:rPr>
            </w:pPr>
            <w:r w:rsidRPr="00C956D8">
              <w:rPr>
                <w:b/>
                <w:bCs/>
                <w:color w:val="FFFFFF"/>
                <w:sz w:val="20"/>
                <w:lang w:eastAsia="hr-HR"/>
              </w:rPr>
              <w:t>Scenarij</w:t>
            </w:r>
          </w:p>
        </w:tc>
        <w:tc>
          <w:tcPr>
            <w:tcW w:w="2940" w:type="dxa"/>
            <w:gridSpan w:val="2"/>
            <w:tcBorders>
              <w:top w:val="single" w:sz="4" w:space="0" w:color="4BACC6"/>
              <w:left w:val="nil"/>
              <w:bottom w:val="single" w:sz="4" w:space="0" w:color="FFFFFF"/>
              <w:right w:val="single" w:sz="4" w:space="0" w:color="FFFFFF"/>
            </w:tcBorders>
            <w:shd w:val="clear" w:color="000000" w:fill="4BACC6"/>
            <w:noWrap/>
            <w:vAlign w:val="center"/>
          </w:tcPr>
          <w:p w:rsidR="00704ED5" w:rsidRPr="00C956D8" w:rsidRDefault="00704ED5" w:rsidP="00704ED5">
            <w:pPr>
              <w:jc w:val="center"/>
              <w:rPr>
                <w:b/>
                <w:bCs/>
                <w:color w:val="FFFFFF"/>
                <w:sz w:val="20"/>
                <w:lang w:eastAsia="hr-HR"/>
              </w:rPr>
            </w:pPr>
            <w:r w:rsidRPr="00C956D8">
              <w:rPr>
                <w:b/>
                <w:bCs/>
                <w:color w:val="FFFFFF"/>
                <w:sz w:val="20"/>
                <w:lang w:eastAsia="hr-HR"/>
              </w:rPr>
              <w:t>Potrošnja energije, MWh</w:t>
            </w:r>
          </w:p>
        </w:tc>
        <w:tc>
          <w:tcPr>
            <w:tcW w:w="1001" w:type="dxa"/>
            <w:vMerge w:val="restart"/>
            <w:tcBorders>
              <w:top w:val="single" w:sz="4" w:space="0" w:color="4BACC6"/>
              <w:left w:val="single" w:sz="4" w:space="0" w:color="FFFFFF"/>
              <w:bottom w:val="single" w:sz="4" w:space="0" w:color="4BACC6"/>
              <w:right w:val="single" w:sz="4" w:space="0" w:color="FFFFFF"/>
            </w:tcBorders>
            <w:shd w:val="clear" w:color="000000" w:fill="4BACC6"/>
            <w:vAlign w:val="center"/>
          </w:tcPr>
          <w:p w:rsidR="00704ED5" w:rsidRPr="00C956D8" w:rsidRDefault="00704ED5" w:rsidP="00704ED5">
            <w:pPr>
              <w:jc w:val="center"/>
              <w:rPr>
                <w:b/>
                <w:bCs/>
                <w:color w:val="FFFFFF"/>
                <w:sz w:val="20"/>
                <w:lang w:eastAsia="hr-HR"/>
              </w:rPr>
            </w:pPr>
            <w:r w:rsidRPr="00C956D8">
              <w:rPr>
                <w:b/>
                <w:bCs/>
                <w:color w:val="FFFFFF"/>
                <w:sz w:val="20"/>
                <w:lang w:eastAsia="hr-HR"/>
              </w:rPr>
              <w:t>% u odnosu na 2008</w:t>
            </w:r>
          </w:p>
        </w:tc>
        <w:tc>
          <w:tcPr>
            <w:tcW w:w="2984" w:type="dxa"/>
            <w:gridSpan w:val="2"/>
            <w:tcBorders>
              <w:top w:val="single" w:sz="4" w:space="0" w:color="4BACC6"/>
              <w:left w:val="nil"/>
              <w:bottom w:val="single" w:sz="4" w:space="0" w:color="FFFFFF"/>
              <w:right w:val="single" w:sz="4" w:space="0" w:color="FFFFFF"/>
            </w:tcBorders>
            <w:shd w:val="clear" w:color="000000" w:fill="4BACC6"/>
            <w:noWrap/>
            <w:vAlign w:val="center"/>
          </w:tcPr>
          <w:p w:rsidR="00704ED5" w:rsidRPr="00C956D8" w:rsidRDefault="00704ED5" w:rsidP="00704ED5">
            <w:pPr>
              <w:jc w:val="center"/>
              <w:rPr>
                <w:b/>
                <w:bCs/>
                <w:color w:val="FFFFFF"/>
                <w:sz w:val="20"/>
                <w:lang w:eastAsia="hr-HR"/>
              </w:rPr>
            </w:pPr>
            <w:r w:rsidRPr="00C956D8">
              <w:rPr>
                <w:b/>
                <w:bCs/>
                <w:color w:val="FFFFFF"/>
                <w:sz w:val="20"/>
                <w:lang w:eastAsia="hr-HR"/>
              </w:rPr>
              <w:t>Emisija t CO</w:t>
            </w:r>
            <w:r w:rsidRPr="000D65D1">
              <w:rPr>
                <w:b/>
                <w:bCs/>
                <w:color w:val="FFFFFF"/>
                <w:sz w:val="20"/>
                <w:vertAlign w:val="subscript"/>
                <w:lang w:eastAsia="hr-HR"/>
              </w:rPr>
              <w:t>2</w:t>
            </w:r>
          </w:p>
        </w:tc>
        <w:tc>
          <w:tcPr>
            <w:tcW w:w="958" w:type="dxa"/>
            <w:vMerge w:val="restart"/>
            <w:tcBorders>
              <w:top w:val="single" w:sz="4" w:space="0" w:color="4BACC6"/>
              <w:left w:val="single" w:sz="4" w:space="0" w:color="FFFFFF"/>
              <w:bottom w:val="single" w:sz="4" w:space="0" w:color="4BACC6"/>
              <w:right w:val="single" w:sz="4" w:space="0" w:color="4BACC6"/>
            </w:tcBorders>
            <w:shd w:val="clear" w:color="000000" w:fill="4BACC6"/>
            <w:vAlign w:val="center"/>
          </w:tcPr>
          <w:p w:rsidR="00704ED5" w:rsidRPr="00C956D8" w:rsidRDefault="00704ED5" w:rsidP="00704ED5">
            <w:pPr>
              <w:jc w:val="center"/>
              <w:rPr>
                <w:b/>
                <w:bCs/>
                <w:color w:val="FFFFFF"/>
                <w:sz w:val="20"/>
                <w:lang w:eastAsia="hr-HR"/>
              </w:rPr>
            </w:pPr>
            <w:r w:rsidRPr="00C956D8">
              <w:rPr>
                <w:b/>
                <w:bCs/>
                <w:color w:val="FFFFFF"/>
                <w:sz w:val="20"/>
                <w:lang w:eastAsia="hr-HR"/>
              </w:rPr>
              <w:t>%u odnosu na 2008</w:t>
            </w:r>
          </w:p>
        </w:tc>
      </w:tr>
      <w:tr w:rsidR="00704ED5" w:rsidRPr="00B1678B" w:rsidTr="00704ED5">
        <w:trPr>
          <w:trHeight w:val="141"/>
        </w:trPr>
        <w:tc>
          <w:tcPr>
            <w:tcW w:w="1255" w:type="dxa"/>
            <w:vMerge/>
            <w:tcBorders>
              <w:top w:val="single" w:sz="4" w:space="0" w:color="4BACC6"/>
              <w:left w:val="single" w:sz="4" w:space="0" w:color="4BACC6"/>
              <w:bottom w:val="single" w:sz="4" w:space="0" w:color="4BACC6"/>
              <w:right w:val="single" w:sz="4" w:space="0" w:color="FFFFFF"/>
            </w:tcBorders>
            <w:vAlign w:val="center"/>
          </w:tcPr>
          <w:p w:rsidR="00704ED5" w:rsidRPr="00C956D8" w:rsidRDefault="00704ED5" w:rsidP="00704ED5">
            <w:pPr>
              <w:rPr>
                <w:b/>
                <w:bCs/>
                <w:color w:val="FFFFFF"/>
                <w:sz w:val="20"/>
                <w:lang w:eastAsia="hr-HR"/>
              </w:rPr>
            </w:pPr>
          </w:p>
        </w:tc>
        <w:tc>
          <w:tcPr>
            <w:tcW w:w="1496" w:type="dxa"/>
            <w:tcBorders>
              <w:top w:val="nil"/>
              <w:left w:val="nil"/>
              <w:bottom w:val="single" w:sz="4" w:space="0" w:color="4BACC6"/>
              <w:right w:val="single" w:sz="4" w:space="0" w:color="FFFFFF"/>
            </w:tcBorders>
            <w:shd w:val="clear" w:color="000000" w:fill="4BACC6"/>
            <w:noWrap/>
            <w:vAlign w:val="center"/>
          </w:tcPr>
          <w:p w:rsidR="00704ED5" w:rsidRPr="00C956D8" w:rsidRDefault="00704ED5" w:rsidP="00704ED5">
            <w:pPr>
              <w:jc w:val="center"/>
              <w:rPr>
                <w:b/>
                <w:bCs/>
                <w:color w:val="FFFFFF"/>
                <w:sz w:val="20"/>
                <w:lang w:eastAsia="hr-HR"/>
              </w:rPr>
            </w:pPr>
            <w:r w:rsidRPr="00C956D8">
              <w:rPr>
                <w:b/>
                <w:bCs/>
                <w:color w:val="FFFFFF"/>
                <w:sz w:val="20"/>
                <w:lang w:eastAsia="hr-HR"/>
              </w:rPr>
              <w:t>2008</w:t>
            </w:r>
          </w:p>
        </w:tc>
        <w:tc>
          <w:tcPr>
            <w:tcW w:w="1444" w:type="dxa"/>
            <w:tcBorders>
              <w:top w:val="nil"/>
              <w:left w:val="nil"/>
              <w:bottom w:val="single" w:sz="4" w:space="0" w:color="4BACC6"/>
              <w:right w:val="single" w:sz="4" w:space="0" w:color="FFFFFF"/>
            </w:tcBorders>
            <w:shd w:val="clear" w:color="000000" w:fill="4BACC6"/>
            <w:noWrap/>
            <w:vAlign w:val="center"/>
          </w:tcPr>
          <w:p w:rsidR="00704ED5" w:rsidRPr="00C956D8" w:rsidRDefault="00704ED5" w:rsidP="00704ED5">
            <w:pPr>
              <w:jc w:val="center"/>
              <w:rPr>
                <w:b/>
                <w:bCs/>
                <w:color w:val="FFFFFF"/>
                <w:sz w:val="20"/>
                <w:lang w:eastAsia="hr-HR"/>
              </w:rPr>
            </w:pPr>
            <w:r w:rsidRPr="00C956D8">
              <w:rPr>
                <w:b/>
                <w:bCs/>
                <w:color w:val="FFFFFF"/>
                <w:sz w:val="20"/>
                <w:lang w:eastAsia="hr-HR"/>
              </w:rPr>
              <w:t>2020</w:t>
            </w:r>
          </w:p>
        </w:tc>
        <w:tc>
          <w:tcPr>
            <w:tcW w:w="1001" w:type="dxa"/>
            <w:vMerge/>
            <w:tcBorders>
              <w:top w:val="single" w:sz="4" w:space="0" w:color="4BACC6"/>
              <w:left w:val="single" w:sz="4" w:space="0" w:color="FFFFFF"/>
              <w:bottom w:val="single" w:sz="4" w:space="0" w:color="4BACC6"/>
              <w:right w:val="single" w:sz="4" w:space="0" w:color="FFFFFF"/>
            </w:tcBorders>
            <w:vAlign w:val="center"/>
          </w:tcPr>
          <w:p w:rsidR="00704ED5" w:rsidRPr="00C956D8" w:rsidRDefault="00704ED5" w:rsidP="00704ED5">
            <w:pPr>
              <w:rPr>
                <w:b/>
                <w:bCs/>
                <w:color w:val="FFFFFF"/>
                <w:sz w:val="20"/>
                <w:lang w:eastAsia="hr-HR"/>
              </w:rPr>
            </w:pPr>
          </w:p>
        </w:tc>
        <w:tc>
          <w:tcPr>
            <w:tcW w:w="1479" w:type="dxa"/>
            <w:tcBorders>
              <w:top w:val="nil"/>
              <w:left w:val="nil"/>
              <w:bottom w:val="single" w:sz="4" w:space="0" w:color="4BACC6"/>
              <w:right w:val="single" w:sz="4" w:space="0" w:color="FFFFFF"/>
            </w:tcBorders>
            <w:shd w:val="clear" w:color="000000" w:fill="4BACC6"/>
            <w:noWrap/>
            <w:vAlign w:val="center"/>
          </w:tcPr>
          <w:p w:rsidR="00704ED5" w:rsidRPr="00C956D8" w:rsidRDefault="00704ED5" w:rsidP="00704ED5">
            <w:pPr>
              <w:jc w:val="center"/>
              <w:rPr>
                <w:b/>
                <w:bCs/>
                <w:color w:val="FFFFFF"/>
                <w:sz w:val="20"/>
                <w:lang w:eastAsia="hr-HR"/>
              </w:rPr>
            </w:pPr>
            <w:r w:rsidRPr="00C956D8">
              <w:rPr>
                <w:b/>
                <w:bCs/>
                <w:color w:val="FFFFFF"/>
                <w:sz w:val="20"/>
                <w:lang w:eastAsia="hr-HR"/>
              </w:rPr>
              <w:t>2008</w:t>
            </w:r>
          </w:p>
        </w:tc>
        <w:tc>
          <w:tcPr>
            <w:tcW w:w="1505" w:type="dxa"/>
            <w:tcBorders>
              <w:top w:val="nil"/>
              <w:left w:val="nil"/>
              <w:bottom w:val="single" w:sz="4" w:space="0" w:color="4BACC6"/>
              <w:right w:val="single" w:sz="4" w:space="0" w:color="FFFFFF"/>
            </w:tcBorders>
            <w:shd w:val="clear" w:color="000000" w:fill="4BACC6"/>
            <w:noWrap/>
            <w:vAlign w:val="center"/>
          </w:tcPr>
          <w:p w:rsidR="00704ED5" w:rsidRPr="00C956D8" w:rsidRDefault="00704ED5" w:rsidP="00704ED5">
            <w:pPr>
              <w:jc w:val="center"/>
              <w:rPr>
                <w:b/>
                <w:bCs/>
                <w:color w:val="FFFFFF"/>
                <w:sz w:val="20"/>
                <w:lang w:eastAsia="hr-HR"/>
              </w:rPr>
            </w:pPr>
            <w:r w:rsidRPr="00C956D8">
              <w:rPr>
                <w:b/>
                <w:bCs/>
                <w:color w:val="FFFFFF"/>
                <w:sz w:val="20"/>
                <w:lang w:eastAsia="hr-HR"/>
              </w:rPr>
              <w:t>2020</w:t>
            </w:r>
          </w:p>
        </w:tc>
        <w:tc>
          <w:tcPr>
            <w:tcW w:w="958" w:type="dxa"/>
            <w:vMerge/>
            <w:tcBorders>
              <w:top w:val="single" w:sz="4" w:space="0" w:color="4BACC6"/>
              <w:left w:val="single" w:sz="4" w:space="0" w:color="FFFFFF"/>
              <w:bottom w:val="single" w:sz="4" w:space="0" w:color="4BACC6"/>
              <w:right w:val="single" w:sz="4" w:space="0" w:color="4BACC6"/>
            </w:tcBorders>
            <w:vAlign w:val="center"/>
          </w:tcPr>
          <w:p w:rsidR="00704ED5" w:rsidRPr="00C956D8" w:rsidRDefault="00704ED5" w:rsidP="00704ED5">
            <w:pPr>
              <w:rPr>
                <w:b/>
                <w:bCs/>
                <w:color w:val="FFFFFF"/>
                <w:sz w:val="20"/>
                <w:lang w:eastAsia="hr-HR"/>
              </w:rPr>
            </w:pPr>
          </w:p>
        </w:tc>
      </w:tr>
      <w:tr w:rsidR="00704ED5" w:rsidRPr="00B1678B" w:rsidTr="00704ED5">
        <w:trPr>
          <w:trHeight w:val="440"/>
        </w:trPr>
        <w:tc>
          <w:tcPr>
            <w:tcW w:w="1255" w:type="dxa"/>
            <w:tcBorders>
              <w:top w:val="nil"/>
              <w:left w:val="single" w:sz="4" w:space="0" w:color="4BACC6"/>
              <w:bottom w:val="single" w:sz="4" w:space="0" w:color="4BACC6"/>
              <w:right w:val="single" w:sz="4" w:space="0" w:color="4BACC6"/>
            </w:tcBorders>
            <w:noWrap/>
            <w:vAlign w:val="bottom"/>
          </w:tcPr>
          <w:p w:rsidR="00704ED5" w:rsidRPr="00C956D8" w:rsidRDefault="00704ED5" w:rsidP="00704ED5">
            <w:pPr>
              <w:rPr>
                <w:color w:val="000000"/>
                <w:sz w:val="20"/>
                <w:lang w:eastAsia="hr-HR"/>
              </w:rPr>
            </w:pPr>
            <w:r>
              <w:rPr>
                <w:color w:val="000000"/>
                <w:sz w:val="20"/>
                <w:lang w:eastAsia="hr-HR"/>
              </w:rPr>
              <w:t>S</w:t>
            </w:r>
            <w:r w:rsidRPr="00C956D8">
              <w:rPr>
                <w:color w:val="000000"/>
                <w:sz w:val="20"/>
                <w:lang w:eastAsia="hr-HR"/>
              </w:rPr>
              <w:t>cenarij</w:t>
            </w:r>
            <w:r>
              <w:rPr>
                <w:color w:val="000000"/>
                <w:sz w:val="20"/>
                <w:lang w:eastAsia="hr-HR"/>
              </w:rPr>
              <w:t xml:space="preserve"> bez mjera</w:t>
            </w:r>
          </w:p>
        </w:tc>
        <w:tc>
          <w:tcPr>
            <w:tcW w:w="1496" w:type="dxa"/>
            <w:tcBorders>
              <w:top w:val="nil"/>
              <w:left w:val="nil"/>
              <w:bottom w:val="single" w:sz="4" w:space="0" w:color="4BACC6"/>
              <w:right w:val="single" w:sz="4" w:space="0" w:color="4BACC6"/>
            </w:tcBorders>
            <w:noWrap/>
            <w:vAlign w:val="center"/>
          </w:tcPr>
          <w:p w:rsidR="00704ED5" w:rsidRPr="00B621DA" w:rsidRDefault="00704ED5" w:rsidP="00704ED5">
            <w:pPr>
              <w:jc w:val="center"/>
              <w:rPr>
                <w:rFonts w:cs="Arial"/>
                <w:color w:val="000000"/>
                <w:sz w:val="18"/>
                <w:szCs w:val="18"/>
              </w:rPr>
            </w:pPr>
            <w:r w:rsidRPr="00B621DA">
              <w:rPr>
                <w:rFonts w:cs="Arial"/>
                <w:color w:val="000000"/>
                <w:sz w:val="18"/>
                <w:szCs w:val="18"/>
              </w:rPr>
              <w:t>7.436.864,09</w:t>
            </w:r>
          </w:p>
        </w:tc>
        <w:tc>
          <w:tcPr>
            <w:tcW w:w="1444" w:type="dxa"/>
            <w:tcBorders>
              <w:top w:val="nil"/>
              <w:left w:val="nil"/>
              <w:bottom w:val="single" w:sz="4" w:space="0" w:color="4BACC6"/>
              <w:right w:val="single" w:sz="4" w:space="0" w:color="4BACC6"/>
            </w:tcBorders>
            <w:noWrap/>
            <w:vAlign w:val="center"/>
          </w:tcPr>
          <w:p w:rsidR="00704ED5" w:rsidRPr="00B621DA" w:rsidRDefault="00704ED5" w:rsidP="00704ED5">
            <w:pPr>
              <w:jc w:val="center"/>
              <w:rPr>
                <w:rFonts w:cs="Arial"/>
                <w:color w:val="000000"/>
                <w:sz w:val="18"/>
                <w:szCs w:val="18"/>
              </w:rPr>
            </w:pPr>
            <w:r w:rsidRPr="00B621DA">
              <w:rPr>
                <w:rFonts w:cs="Arial"/>
                <w:color w:val="000000"/>
                <w:sz w:val="18"/>
                <w:szCs w:val="18"/>
              </w:rPr>
              <w:t>7.590.396,09</w:t>
            </w:r>
          </w:p>
        </w:tc>
        <w:tc>
          <w:tcPr>
            <w:tcW w:w="1001" w:type="dxa"/>
            <w:tcBorders>
              <w:top w:val="nil"/>
              <w:left w:val="nil"/>
              <w:bottom w:val="single" w:sz="4" w:space="0" w:color="4BACC6"/>
              <w:right w:val="single" w:sz="4" w:space="0" w:color="4BACC6"/>
            </w:tcBorders>
            <w:noWrap/>
            <w:vAlign w:val="center"/>
          </w:tcPr>
          <w:p w:rsidR="00704ED5" w:rsidRPr="00B621DA" w:rsidRDefault="00704ED5" w:rsidP="00704ED5">
            <w:pPr>
              <w:jc w:val="center"/>
              <w:rPr>
                <w:rFonts w:cs="Arial"/>
                <w:color w:val="000000"/>
                <w:sz w:val="18"/>
                <w:szCs w:val="18"/>
              </w:rPr>
            </w:pPr>
            <w:r w:rsidRPr="00B621DA">
              <w:rPr>
                <w:rFonts w:cs="Arial"/>
                <w:color w:val="000000"/>
                <w:sz w:val="18"/>
                <w:szCs w:val="18"/>
              </w:rPr>
              <w:t>2,06</w:t>
            </w:r>
          </w:p>
        </w:tc>
        <w:tc>
          <w:tcPr>
            <w:tcW w:w="1479" w:type="dxa"/>
            <w:tcBorders>
              <w:top w:val="nil"/>
              <w:left w:val="nil"/>
              <w:bottom w:val="single" w:sz="4" w:space="0" w:color="4BACC6"/>
              <w:right w:val="single" w:sz="4" w:space="0" w:color="4BACC6"/>
            </w:tcBorders>
            <w:noWrap/>
            <w:vAlign w:val="center"/>
          </w:tcPr>
          <w:p w:rsidR="00704ED5" w:rsidRPr="00B621DA" w:rsidRDefault="00704ED5" w:rsidP="00704ED5">
            <w:pPr>
              <w:jc w:val="center"/>
              <w:rPr>
                <w:rFonts w:cs="Arial"/>
                <w:color w:val="000000"/>
                <w:sz w:val="18"/>
                <w:szCs w:val="18"/>
              </w:rPr>
            </w:pPr>
            <w:r w:rsidRPr="00B621DA">
              <w:rPr>
                <w:rFonts w:cs="Arial"/>
                <w:color w:val="000000"/>
                <w:sz w:val="18"/>
                <w:szCs w:val="18"/>
              </w:rPr>
              <w:t>1.759.432,26</w:t>
            </w:r>
          </w:p>
        </w:tc>
        <w:tc>
          <w:tcPr>
            <w:tcW w:w="1505" w:type="dxa"/>
            <w:tcBorders>
              <w:top w:val="nil"/>
              <w:left w:val="nil"/>
              <w:bottom w:val="single" w:sz="4" w:space="0" w:color="4BACC6"/>
              <w:right w:val="single" w:sz="4" w:space="0" w:color="4BACC6"/>
            </w:tcBorders>
            <w:noWrap/>
            <w:vAlign w:val="center"/>
          </w:tcPr>
          <w:p w:rsidR="00704ED5" w:rsidRPr="00B621DA" w:rsidRDefault="00704ED5" w:rsidP="00704ED5">
            <w:pPr>
              <w:jc w:val="center"/>
              <w:rPr>
                <w:rFonts w:cs="Arial"/>
                <w:color w:val="000000"/>
                <w:sz w:val="18"/>
                <w:szCs w:val="18"/>
              </w:rPr>
            </w:pPr>
            <w:r w:rsidRPr="00B621DA">
              <w:rPr>
                <w:rFonts w:cs="Arial"/>
                <w:color w:val="000000"/>
                <w:sz w:val="18"/>
                <w:szCs w:val="18"/>
              </w:rPr>
              <w:t>1.799.993,95</w:t>
            </w:r>
          </w:p>
        </w:tc>
        <w:tc>
          <w:tcPr>
            <w:tcW w:w="958" w:type="dxa"/>
            <w:tcBorders>
              <w:top w:val="nil"/>
              <w:left w:val="nil"/>
              <w:bottom w:val="single" w:sz="4" w:space="0" w:color="4BACC6"/>
              <w:right w:val="single" w:sz="4" w:space="0" w:color="4BACC6"/>
            </w:tcBorders>
            <w:noWrap/>
            <w:vAlign w:val="center"/>
          </w:tcPr>
          <w:p w:rsidR="00704ED5" w:rsidRPr="00B621DA" w:rsidRDefault="00704ED5" w:rsidP="00704ED5">
            <w:pPr>
              <w:jc w:val="center"/>
              <w:rPr>
                <w:rFonts w:cs="Arial"/>
                <w:color w:val="000000"/>
                <w:sz w:val="18"/>
                <w:szCs w:val="18"/>
              </w:rPr>
            </w:pPr>
            <w:r w:rsidRPr="00B621DA">
              <w:rPr>
                <w:rFonts w:cs="Arial"/>
                <w:color w:val="000000"/>
                <w:sz w:val="18"/>
                <w:szCs w:val="18"/>
              </w:rPr>
              <w:t>2,31</w:t>
            </w:r>
          </w:p>
        </w:tc>
      </w:tr>
      <w:tr w:rsidR="00704ED5" w:rsidRPr="00A61BD1" w:rsidTr="00704ED5">
        <w:trPr>
          <w:trHeight w:val="300"/>
        </w:trPr>
        <w:tc>
          <w:tcPr>
            <w:tcW w:w="1255" w:type="dxa"/>
            <w:tcBorders>
              <w:top w:val="nil"/>
              <w:left w:val="single" w:sz="4" w:space="0" w:color="4BACC6"/>
              <w:bottom w:val="single" w:sz="4" w:space="0" w:color="4BACC6"/>
              <w:right w:val="single" w:sz="4" w:space="0" w:color="4BACC6"/>
            </w:tcBorders>
            <w:noWrap/>
            <w:vAlign w:val="bottom"/>
          </w:tcPr>
          <w:p w:rsidR="00704ED5" w:rsidRPr="00A61BD1" w:rsidRDefault="00704ED5" w:rsidP="00704ED5">
            <w:pPr>
              <w:rPr>
                <w:color w:val="000000"/>
                <w:sz w:val="20"/>
                <w:lang w:eastAsia="hr-HR"/>
              </w:rPr>
            </w:pPr>
            <w:r w:rsidRPr="00A61BD1">
              <w:rPr>
                <w:color w:val="000000"/>
                <w:sz w:val="20"/>
                <w:lang w:eastAsia="hr-HR"/>
              </w:rPr>
              <w:t>Scenarij s mjerama</w:t>
            </w:r>
          </w:p>
        </w:tc>
        <w:tc>
          <w:tcPr>
            <w:tcW w:w="1496" w:type="dxa"/>
            <w:tcBorders>
              <w:top w:val="nil"/>
              <w:left w:val="nil"/>
              <w:bottom w:val="single" w:sz="4" w:space="0" w:color="4BACC6"/>
              <w:right w:val="single" w:sz="4" w:space="0" w:color="4BACC6"/>
            </w:tcBorders>
            <w:noWrap/>
            <w:vAlign w:val="center"/>
          </w:tcPr>
          <w:p w:rsidR="00704ED5" w:rsidRPr="00B621DA" w:rsidRDefault="00704ED5" w:rsidP="00704ED5">
            <w:pPr>
              <w:jc w:val="center"/>
              <w:rPr>
                <w:rFonts w:cs="Arial"/>
                <w:color w:val="000000"/>
                <w:sz w:val="18"/>
                <w:szCs w:val="18"/>
              </w:rPr>
            </w:pPr>
            <w:r w:rsidRPr="00B621DA">
              <w:rPr>
                <w:rFonts w:cs="Arial"/>
                <w:color w:val="000000"/>
                <w:sz w:val="18"/>
                <w:szCs w:val="18"/>
              </w:rPr>
              <w:t>7.436.864,09</w:t>
            </w:r>
          </w:p>
        </w:tc>
        <w:tc>
          <w:tcPr>
            <w:tcW w:w="1444" w:type="dxa"/>
            <w:tcBorders>
              <w:top w:val="nil"/>
              <w:left w:val="nil"/>
              <w:bottom w:val="single" w:sz="4" w:space="0" w:color="4BACC6"/>
              <w:right w:val="single" w:sz="4" w:space="0" w:color="4BACC6"/>
            </w:tcBorders>
            <w:noWrap/>
            <w:vAlign w:val="center"/>
          </w:tcPr>
          <w:p w:rsidR="00704ED5" w:rsidRPr="00B621DA" w:rsidRDefault="00704ED5" w:rsidP="00704ED5">
            <w:pPr>
              <w:jc w:val="center"/>
              <w:rPr>
                <w:rFonts w:cs="Arial"/>
                <w:color w:val="000000"/>
                <w:sz w:val="18"/>
                <w:szCs w:val="18"/>
              </w:rPr>
            </w:pPr>
            <w:r w:rsidRPr="00B621DA">
              <w:rPr>
                <w:rFonts w:cs="Arial"/>
                <w:color w:val="000000"/>
                <w:sz w:val="18"/>
                <w:szCs w:val="18"/>
              </w:rPr>
              <w:t>5.073.665,46</w:t>
            </w:r>
          </w:p>
        </w:tc>
        <w:tc>
          <w:tcPr>
            <w:tcW w:w="1001" w:type="dxa"/>
            <w:tcBorders>
              <w:top w:val="nil"/>
              <w:left w:val="nil"/>
              <w:bottom w:val="single" w:sz="4" w:space="0" w:color="4BACC6"/>
              <w:right w:val="single" w:sz="4" w:space="0" w:color="4BACC6"/>
            </w:tcBorders>
            <w:noWrap/>
            <w:vAlign w:val="center"/>
          </w:tcPr>
          <w:p w:rsidR="00704ED5" w:rsidRPr="00B621DA" w:rsidRDefault="00704ED5" w:rsidP="00704ED5">
            <w:pPr>
              <w:jc w:val="center"/>
              <w:rPr>
                <w:rFonts w:cs="Arial"/>
                <w:color w:val="000000"/>
                <w:sz w:val="18"/>
                <w:szCs w:val="18"/>
              </w:rPr>
            </w:pPr>
            <w:r w:rsidRPr="00B621DA">
              <w:rPr>
                <w:rFonts w:cs="Arial"/>
                <w:color w:val="000000"/>
                <w:sz w:val="18"/>
                <w:szCs w:val="18"/>
              </w:rPr>
              <w:t>-31,78</w:t>
            </w:r>
          </w:p>
        </w:tc>
        <w:tc>
          <w:tcPr>
            <w:tcW w:w="1479" w:type="dxa"/>
            <w:tcBorders>
              <w:top w:val="nil"/>
              <w:left w:val="nil"/>
              <w:bottom w:val="single" w:sz="4" w:space="0" w:color="4BACC6"/>
              <w:right w:val="single" w:sz="4" w:space="0" w:color="4BACC6"/>
            </w:tcBorders>
            <w:noWrap/>
            <w:vAlign w:val="center"/>
          </w:tcPr>
          <w:p w:rsidR="00704ED5" w:rsidRPr="00B621DA" w:rsidRDefault="00704ED5" w:rsidP="00704ED5">
            <w:pPr>
              <w:jc w:val="center"/>
              <w:rPr>
                <w:rFonts w:cs="Arial"/>
                <w:color w:val="000000"/>
                <w:sz w:val="18"/>
                <w:szCs w:val="18"/>
              </w:rPr>
            </w:pPr>
            <w:r w:rsidRPr="00B621DA">
              <w:rPr>
                <w:rFonts w:cs="Arial"/>
                <w:color w:val="000000"/>
                <w:sz w:val="18"/>
                <w:szCs w:val="18"/>
              </w:rPr>
              <w:t>1.759.432,26</w:t>
            </w:r>
          </w:p>
        </w:tc>
        <w:tc>
          <w:tcPr>
            <w:tcW w:w="1505" w:type="dxa"/>
            <w:tcBorders>
              <w:top w:val="nil"/>
              <w:left w:val="nil"/>
              <w:bottom w:val="single" w:sz="4" w:space="0" w:color="4BACC6"/>
              <w:right w:val="single" w:sz="4" w:space="0" w:color="4BACC6"/>
            </w:tcBorders>
            <w:noWrap/>
            <w:vAlign w:val="center"/>
          </w:tcPr>
          <w:p w:rsidR="00704ED5" w:rsidRPr="00B621DA" w:rsidRDefault="00704ED5" w:rsidP="00704ED5">
            <w:pPr>
              <w:jc w:val="center"/>
              <w:rPr>
                <w:rFonts w:cs="Arial"/>
                <w:color w:val="000000"/>
                <w:sz w:val="18"/>
                <w:szCs w:val="18"/>
              </w:rPr>
            </w:pPr>
            <w:r w:rsidRPr="00B621DA">
              <w:rPr>
                <w:rFonts w:cs="Arial"/>
                <w:color w:val="000000"/>
                <w:sz w:val="18"/>
                <w:szCs w:val="18"/>
              </w:rPr>
              <w:t>1.193.407,15</w:t>
            </w:r>
          </w:p>
        </w:tc>
        <w:tc>
          <w:tcPr>
            <w:tcW w:w="958" w:type="dxa"/>
            <w:tcBorders>
              <w:top w:val="nil"/>
              <w:left w:val="nil"/>
              <w:bottom w:val="single" w:sz="4" w:space="0" w:color="4BACC6"/>
              <w:right w:val="single" w:sz="4" w:space="0" w:color="4BACC6"/>
            </w:tcBorders>
            <w:noWrap/>
            <w:vAlign w:val="center"/>
          </w:tcPr>
          <w:p w:rsidR="00704ED5" w:rsidRPr="00B621DA" w:rsidRDefault="00704ED5" w:rsidP="00704ED5">
            <w:pPr>
              <w:jc w:val="center"/>
              <w:rPr>
                <w:rFonts w:cs="Arial"/>
                <w:color w:val="000000"/>
                <w:sz w:val="18"/>
                <w:szCs w:val="18"/>
              </w:rPr>
            </w:pPr>
            <w:r w:rsidRPr="00B621DA">
              <w:rPr>
                <w:rFonts w:cs="Arial"/>
                <w:color w:val="000000"/>
                <w:sz w:val="18"/>
                <w:szCs w:val="18"/>
              </w:rPr>
              <w:t>-32,17</w:t>
            </w:r>
          </w:p>
        </w:tc>
      </w:tr>
    </w:tbl>
    <w:p w:rsidR="00704ED5" w:rsidRDefault="00704ED5" w:rsidP="00704ED5"/>
    <w:p w:rsidR="00704ED5" w:rsidRPr="00704ED5" w:rsidRDefault="00704ED5" w:rsidP="00704ED5">
      <w:pPr>
        <w:jc w:val="center"/>
      </w:pPr>
      <w:bookmarkStart w:id="234" w:name="_Toc251161812"/>
      <w:r w:rsidRPr="00704ED5">
        <w:rPr>
          <w:noProof/>
          <w:lang w:eastAsia="hr-HR"/>
        </w:rPr>
        <w:lastRenderedPageBreak/>
        <w:drawing>
          <wp:inline distT="0" distB="0" distL="0" distR="0">
            <wp:extent cx="4981575" cy="3105150"/>
            <wp:effectExtent l="0" t="0" r="0" b="0"/>
            <wp:docPr id="3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26890" w:rsidRPr="000063FC" w:rsidRDefault="00426890" w:rsidP="00BD7626">
      <w:pPr>
        <w:pStyle w:val="Heading7"/>
      </w:pPr>
      <w:bookmarkStart w:id="235" w:name="_Toc254010304"/>
      <w:r w:rsidRPr="000063FC">
        <w:t xml:space="preserve">Slika </w:t>
      </w:r>
      <w:r w:rsidR="00BD7626" w:rsidRPr="000063FC">
        <w:t>3.5</w:t>
      </w:r>
      <w:r w:rsidR="008E6DE8" w:rsidRPr="000063FC">
        <w:t>: Usporedba projekcija emisija CO</w:t>
      </w:r>
      <w:r w:rsidR="008E6DE8" w:rsidRPr="000063FC">
        <w:rPr>
          <w:vertAlign w:val="subscript"/>
        </w:rPr>
        <w:t>2</w:t>
      </w:r>
      <w:r w:rsidR="008E6DE8" w:rsidRPr="000063FC">
        <w:t xml:space="preserve"> </w:t>
      </w:r>
      <w:r w:rsidR="00032E38">
        <w:t>u</w:t>
      </w:r>
      <w:r w:rsidR="008E6DE8" w:rsidRPr="000063FC">
        <w:t xml:space="preserve"> 2020. godini </w:t>
      </w:r>
      <w:r w:rsidRPr="000063FC">
        <w:t xml:space="preserve">s emisijom </w:t>
      </w:r>
      <w:r w:rsidR="008E6DE8" w:rsidRPr="000063FC">
        <w:t>u 2008. godini</w:t>
      </w:r>
      <w:r w:rsidRPr="000063FC">
        <w:t xml:space="preserve"> sektora zgradarstvo</w:t>
      </w:r>
      <w:bookmarkEnd w:id="234"/>
      <w:bookmarkEnd w:id="235"/>
    </w:p>
    <w:p w:rsidR="00E8765C" w:rsidRPr="000063FC" w:rsidRDefault="00E8765C" w:rsidP="00426890">
      <w:pPr>
        <w:tabs>
          <w:tab w:val="clear" w:pos="720"/>
          <w:tab w:val="clear" w:pos="6912"/>
        </w:tabs>
        <w:spacing w:line="240" w:lineRule="auto"/>
        <w:jc w:val="left"/>
      </w:pPr>
    </w:p>
    <w:p w:rsidR="00BD7626" w:rsidRPr="000063FC" w:rsidRDefault="00BD7626" w:rsidP="00BD7626">
      <w:pPr>
        <w:pStyle w:val="Heading2"/>
      </w:pPr>
      <w:bookmarkStart w:id="236" w:name="_Toc254010199"/>
      <w:r w:rsidRPr="000063FC">
        <w:t>PROJEKCIJA EMISIJA CO</w:t>
      </w:r>
      <w:r w:rsidRPr="000063FC">
        <w:rPr>
          <w:vertAlign w:val="subscript"/>
        </w:rPr>
        <w:t>2</w:t>
      </w:r>
      <w:r w:rsidRPr="000063FC">
        <w:t xml:space="preserve"> SEKTORA PROMET</w:t>
      </w:r>
      <w:bookmarkEnd w:id="236"/>
    </w:p>
    <w:p w:rsidR="00BD7626" w:rsidRPr="000063FC" w:rsidRDefault="00BD7626" w:rsidP="0003555A">
      <w:pPr>
        <w:spacing w:line="276" w:lineRule="auto"/>
      </w:pPr>
      <w:r w:rsidRPr="000063FC">
        <w:t xml:space="preserve">Scenarij bez mjera za sektor prometa izrađen je uz pretpostavku da će do 2015. godine </w:t>
      </w:r>
      <w:r w:rsidR="008E6DE8" w:rsidRPr="000063FC">
        <w:t xml:space="preserve">broj </w:t>
      </w:r>
      <w:r w:rsidRPr="000063FC">
        <w:t>stanovnika po vozilu dostići razinu od 2,1 što predstavlja prosječnu razinu u 2008. godini za zemlje Europsk</w:t>
      </w:r>
      <w:r w:rsidR="008E6DE8" w:rsidRPr="000063FC">
        <w:t>e Unije, dok će taj broj</w:t>
      </w:r>
      <w:r w:rsidRPr="000063FC">
        <w:t xml:space="preserve">  u 2020. godini iznositi 2.0 stanovnika/vozilu</w:t>
      </w:r>
      <w:r w:rsidRPr="000063FC">
        <w:rPr>
          <w:rStyle w:val="FootnoteReference"/>
        </w:rPr>
        <w:footnoteReference w:id="26"/>
      </w:r>
      <w:r w:rsidRPr="000063FC">
        <w:t>. Broj stanovnika Grad</w:t>
      </w:r>
      <w:r w:rsidR="008E6DE8" w:rsidRPr="000063FC">
        <w:t xml:space="preserve">a Zagreba u 2020. godini procijenjen je </w:t>
      </w:r>
      <w:r w:rsidRPr="000063FC">
        <w:t xml:space="preserve">obzirom na broj stanovnika u 2008. godini (788.850) od strane Odjela za statistiku Grada Zagreba </w:t>
      </w:r>
      <w:r w:rsidR="008E6DE8" w:rsidRPr="000063FC">
        <w:t xml:space="preserve">na </w:t>
      </w:r>
      <w:r w:rsidRPr="000063FC">
        <w:t>807.274</w:t>
      </w:r>
      <w:r w:rsidR="008E6DE8" w:rsidRPr="000063FC">
        <w:t>.</w:t>
      </w:r>
    </w:p>
    <w:p w:rsidR="00BD7626" w:rsidRPr="000063FC" w:rsidRDefault="00BD7626" w:rsidP="0003555A">
      <w:pPr>
        <w:spacing w:line="276" w:lineRule="auto"/>
      </w:pPr>
    </w:p>
    <w:p w:rsidR="00BD7626" w:rsidRPr="000063FC" w:rsidRDefault="00BD7626" w:rsidP="0003555A">
      <w:pPr>
        <w:spacing w:line="276" w:lineRule="auto"/>
      </w:pPr>
      <w:r w:rsidRPr="000063FC">
        <w:t xml:space="preserve">S obzirom na udio osobnih </w:t>
      </w:r>
      <w:r w:rsidR="008E6DE8" w:rsidRPr="000063FC">
        <w:t>vozila u 2008. godini i prognozu</w:t>
      </w:r>
      <w:r w:rsidRPr="000063FC">
        <w:t xml:space="preserve"> porasta </w:t>
      </w:r>
      <w:r w:rsidR="008E6DE8" w:rsidRPr="000063FC">
        <w:t>broja stanovnika Grada u 2020. g</w:t>
      </w:r>
      <w:r w:rsidRPr="000063FC">
        <w:t xml:space="preserve">odini, ukupan broj cestovnih vozila (tablica </w:t>
      </w:r>
      <w:r w:rsidR="0003555A" w:rsidRPr="000063FC">
        <w:t>3.11</w:t>
      </w:r>
      <w:r w:rsidRPr="000063FC">
        <w:t>) procijenjen je na 497.366.</w:t>
      </w:r>
    </w:p>
    <w:p w:rsidR="00BD7626" w:rsidRPr="000063FC" w:rsidRDefault="00BD7626" w:rsidP="00BD7626">
      <w:pPr>
        <w:spacing w:line="280" w:lineRule="exact"/>
      </w:pPr>
    </w:p>
    <w:p w:rsidR="00BD7626" w:rsidRPr="000063FC" w:rsidRDefault="00BD7626" w:rsidP="00B33E2F">
      <w:pPr>
        <w:pStyle w:val="Heading6"/>
      </w:pPr>
      <w:bookmarkStart w:id="237" w:name="_Toc251161355"/>
      <w:bookmarkStart w:id="238" w:name="_Toc254010267"/>
      <w:r w:rsidRPr="000063FC">
        <w:t xml:space="preserve">Tablica </w:t>
      </w:r>
      <w:r w:rsidR="0003555A" w:rsidRPr="000063FC">
        <w:t>3.11</w:t>
      </w:r>
      <w:r w:rsidRPr="000063FC">
        <w:t xml:space="preserve">: Procjena </w:t>
      </w:r>
      <w:r w:rsidR="008E6DE8" w:rsidRPr="000063FC">
        <w:t xml:space="preserve">porasta ukupnog </w:t>
      </w:r>
      <w:r w:rsidRPr="000063FC">
        <w:t xml:space="preserve">broja </w:t>
      </w:r>
      <w:r w:rsidR="00E80DFF" w:rsidRPr="000063FC">
        <w:t xml:space="preserve">cestovnih </w:t>
      </w:r>
      <w:r w:rsidRPr="000063FC">
        <w:t>vozila</w:t>
      </w:r>
      <w:bookmarkEnd w:id="237"/>
      <w:r w:rsidR="00E80DFF" w:rsidRPr="000063FC">
        <w:t xml:space="preserve"> u 2020. godini</w:t>
      </w:r>
      <w:bookmarkEnd w:id="238"/>
    </w:p>
    <w:tbl>
      <w:tblPr>
        <w:tblW w:w="9072" w:type="dxa"/>
        <w:tblInd w:w="108" w:type="dxa"/>
        <w:tblLook w:val="00A0" w:firstRow="1" w:lastRow="0" w:firstColumn="1" w:lastColumn="0" w:noHBand="0" w:noVBand="0"/>
      </w:tblPr>
      <w:tblGrid>
        <w:gridCol w:w="3354"/>
        <w:gridCol w:w="1737"/>
        <w:gridCol w:w="2244"/>
        <w:gridCol w:w="1737"/>
      </w:tblGrid>
      <w:tr w:rsidR="00BD7626" w:rsidRPr="000063FC" w:rsidTr="0003555A">
        <w:trPr>
          <w:trHeight w:val="227"/>
        </w:trPr>
        <w:tc>
          <w:tcPr>
            <w:tcW w:w="3354" w:type="dxa"/>
            <w:tcBorders>
              <w:top w:val="single" w:sz="4" w:space="0" w:color="4BACC6"/>
              <w:left w:val="single" w:sz="4" w:space="0" w:color="4BACC6"/>
              <w:bottom w:val="single" w:sz="4" w:space="0" w:color="4BACC6"/>
              <w:right w:val="single" w:sz="4" w:space="0" w:color="FFFFFF"/>
            </w:tcBorders>
            <w:shd w:val="clear" w:color="000000" w:fill="4BACC6"/>
            <w:noWrap/>
            <w:vAlign w:val="center"/>
          </w:tcPr>
          <w:p w:rsidR="00BD7626" w:rsidRPr="000063FC" w:rsidRDefault="00BD7626" w:rsidP="0003555A">
            <w:pPr>
              <w:spacing w:line="240" w:lineRule="auto"/>
              <w:jc w:val="center"/>
              <w:rPr>
                <w:b/>
                <w:bCs/>
                <w:color w:val="FFFFFF"/>
                <w:sz w:val="20"/>
                <w:lang w:eastAsia="hr-HR"/>
              </w:rPr>
            </w:pPr>
          </w:p>
        </w:tc>
        <w:tc>
          <w:tcPr>
            <w:tcW w:w="1737" w:type="dxa"/>
            <w:tcBorders>
              <w:top w:val="single" w:sz="4" w:space="0" w:color="4BACC6"/>
              <w:left w:val="nil"/>
              <w:bottom w:val="single" w:sz="4" w:space="0" w:color="4BACC6"/>
              <w:right w:val="single" w:sz="4" w:space="0" w:color="FFFFFF"/>
            </w:tcBorders>
            <w:shd w:val="clear" w:color="000000" w:fill="4BACC6"/>
            <w:vAlign w:val="center"/>
          </w:tcPr>
          <w:p w:rsidR="00BD7626" w:rsidRPr="000063FC" w:rsidRDefault="008E6DE8" w:rsidP="0003555A">
            <w:pPr>
              <w:spacing w:line="240" w:lineRule="auto"/>
              <w:jc w:val="center"/>
              <w:rPr>
                <w:b/>
                <w:bCs/>
                <w:color w:val="FFFFFF"/>
                <w:sz w:val="20"/>
                <w:lang w:eastAsia="hr-HR"/>
              </w:rPr>
            </w:pPr>
            <w:r w:rsidRPr="000063FC">
              <w:rPr>
                <w:b/>
                <w:bCs/>
                <w:color w:val="FFFFFF"/>
                <w:sz w:val="20"/>
                <w:lang w:eastAsia="hr-HR"/>
              </w:rPr>
              <w:t>B</w:t>
            </w:r>
            <w:r w:rsidR="00BD7626" w:rsidRPr="000063FC">
              <w:rPr>
                <w:b/>
                <w:bCs/>
                <w:color w:val="FFFFFF"/>
                <w:sz w:val="20"/>
                <w:lang w:eastAsia="hr-HR"/>
              </w:rPr>
              <w:t>roj vozila 2008</w:t>
            </w:r>
          </w:p>
        </w:tc>
        <w:tc>
          <w:tcPr>
            <w:tcW w:w="2244" w:type="dxa"/>
            <w:tcBorders>
              <w:top w:val="single" w:sz="4" w:space="0" w:color="4BACC6"/>
              <w:left w:val="nil"/>
              <w:bottom w:val="single" w:sz="4" w:space="0" w:color="4BACC6"/>
              <w:right w:val="single" w:sz="4" w:space="0" w:color="FFFFFF"/>
            </w:tcBorders>
            <w:shd w:val="clear" w:color="000000" w:fill="4BACC6"/>
            <w:vAlign w:val="center"/>
          </w:tcPr>
          <w:p w:rsidR="00BD7626" w:rsidRPr="000063FC" w:rsidRDefault="008E6DE8" w:rsidP="0003555A">
            <w:pPr>
              <w:spacing w:line="240" w:lineRule="auto"/>
              <w:jc w:val="center"/>
              <w:rPr>
                <w:b/>
                <w:bCs/>
                <w:color w:val="FFFFFF"/>
                <w:sz w:val="20"/>
                <w:lang w:eastAsia="hr-HR"/>
              </w:rPr>
            </w:pPr>
            <w:r w:rsidRPr="000063FC">
              <w:rPr>
                <w:b/>
                <w:bCs/>
                <w:color w:val="FFFFFF"/>
                <w:sz w:val="20"/>
                <w:lang w:eastAsia="hr-HR"/>
              </w:rPr>
              <w:t>U</w:t>
            </w:r>
            <w:r w:rsidR="00BD7626" w:rsidRPr="000063FC">
              <w:rPr>
                <w:b/>
                <w:bCs/>
                <w:color w:val="FFFFFF"/>
                <w:sz w:val="20"/>
                <w:lang w:eastAsia="hr-HR"/>
              </w:rPr>
              <w:t>dio pojedine vrste vozila u 2008</w:t>
            </w:r>
          </w:p>
        </w:tc>
        <w:tc>
          <w:tcPr>
            <w:tcW w:w="1737" w:type="dxa"/>
            <w:tcBorders>
              <w:top w:val="single" w:sz="4" w:space="0" w:color="4BACC6"/>
              <w:left w:val="nil"/>
              <w:bottom w:val="single" w:sz="4" w:space="0" w:color="4BACC6"/>
              <w:right w:val="single" w:sz="4" w:space="0" w:color="4BACC6"/>
            </w:tcBorders>
            <w:shd w:val="clear" w:color="000000" w:fill="4BACC6"/>
            <w:vAlign w:val="center"/>
          </w:tcPr>
          <w:p w:rsidR="00BD7626" w:rsidRPr="000063FC" w:rsidRDefault="008E6DE8" w:rsidP="0003555A">
            <w:pPr>
              <w:spacing w:line="240" w:lineRule="auto"/>
              <w:jc w:val="center"/>
              <w:rPr>
                <w:b/>
                <w:bCs/>
                <w:color w:val="FFFFFF"/>
                <w:sz w:val="20"/>
                <w:lang w:eastAsia="hr-HR"/>
              </w:rPr>
            </w:pPr>
            <w:r w:rsidRPr="000063FC">
              <w:rPr>
                <w:b/>
                <w:bCs/>
                <w:color w:val="FFFFFF"/>
                <w:sz w:val="20"/>
                <w:lang w:eastAsia="hr-HR"/>
              </w:rPr>
              <w:t>P</w:t>
            </w:r>
            <w:r w:rsidR="00BD7626" w:rsidRPr="000063FC">
              <w:rPr>
                <w:b/>
                <w:bCs/>
                <w:color w:val="FFFFFF"/>
                <w:sz w:val="20"/>
                <w:lang w:eastAsia="hr-HR"/>
              </w:rPr>
              <w:t>rojekcija vozila u 2020.</w:t>
            </w:r>
          </w:p>
        </w:tc>
      </w:tr>
      <w:tr w:rsidR="00BD7626" w:rsidRPr="000063FC" w:rsidTr="0003555A">
        <w:trPr>
          <w:trHeight w:val="227"/>
        </w:trPr>
        <w:tc>
          <w:tcPr>
            <w:tcW w:w="3354"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rPr>
                <w:color w:val="000000"/>
                <w:sz w:val="20"/>
                <w:lang w:eastAsia="hr-HR"/>
              </w:rPr>
            </w:pPr>
            <w:r w:rsidRPr="000063FC">
              <w:rPr>
                <w:color w:val="000000"/>
                <w:sz w:val="20"/>
                <w:lang w:eastAsia="hr-HR"/>
              </w:rPr>
              <w:t>Osobna vozila</w:t>
            </w:r>
          </w:p>
        </w:tc>
        <w:tc>
          <w:tcPr>
            <w:tcW w:w="1737" w:type="dxa"/>
            <w:tcBorders>
              <w:top w:val="nil"/>
              <w:left w:val="nil"/>
              <w:bottom w:val="single" w:sz="4" w:space="0" w:color="4BACC6"/>
              <w:right w:val="single" w:sz="4" w:space="0" w:color="4BACC6"/>
            </w:tcBorders>
            <w:noWrap/>
            <w:vAlign w:val="bottom"/>
          </w:tcPr>
          <w:p w:rsidR="00BD7626" w:rsidRPr="000063FC" w:rsidRDefault="00BD7626" w:rsidP="0003555A">
            <w:pPr>
              <w:spacing w:line="240" w:lineRule="auto"/>
              <w:jc w:val="right"/>
              <w:rPr>
                <w:color w:val="000000"/>
                <w:sz w:val="20"/>
                <w:lang w:eastAsia="hr-HR"/>
              </w:rPr>
            </w:pPr>
            <w:r w:rsidRPr="000063FC">
              <w:rPr>
                <w:color w:val="000000"/>
                <w:sz w:val="20"/>
                <w:lang w:eastAsia="hr-HR"/>
              </w:rPr>
              <w:t>336.268</w:t>
            </w:r>
          </w:p>
        </w:tc>
        <w:tc>
          <w:tcPr>
            <w:tcW w:w="2244" w:type="dxa"/>
            <w:tcBorders>
              <w:top w:val="nil"/>
              <w:left w:val="nil"/>
              <w:bottom w:val="single" w:sz="4" w:space="0" w:color="4BACC6"/>
              <w:right w:val="single" w:sz="4" w:space="0" w:color="4BACC6"/>
            </w:tcBorders>
            <w:noWrap/>
            <w:vAlign w:val="bottom"/>
          </w:tcPr>
          <w:p w:rsidR="00BD7626" w:rsidRPr="000063FC" w:rsidRDefault="00BD7626" w:rsidP="0003555A">
            <w:pPr>
              <w:spacing w:line="240" w:lineRule="auto"/>
              <w:jc w:val="center"/>
              <w:rPr>
                <w:color w:val="000000"/>
                <w:sz w:val="20"/>
                <w:lang w:eastAsia="hr-HR"/>
              </w:rPr>
            </w:pPr>
            <w:r w:rsidRPr="000063FC">
              <w:rPr>
                <w:color w:val="000000"/>
                <w:sz w:val="20"/>
                <w:lang w:eastAsia="hr-HR"/>
              </w:rPr>
              <w:t>0,812</w:t>
            </w:r>
          </w:p>
        </w:tc>
        <w:tc>
          <w:tcPr>
            <w:tcW w:w="1737" w:type="dxa"/>
            <w:tcBorders>
              <w:top w:val="nil"/>
              <w:left w:val="nil"/>
              <w:bottom w:val="single" w:sz="4" w:space="0" w:color="4BACC6"/>
              <w:right w:val="single" w:sz="4" w:space="0" w:color="4BACC6"/>
            </w:tcBorders>
            <w:noWrap/>
            <w:vAlign w:val="bottom"/>
          </w:tcPr>
          <w:p w:rsidR="00BD7626" w:rsidRPr="000063FC" w:rsidRDefault="00BD7626" w:rsidP="0003555A">
            <w:pPr>
              <w:spacing w:line="240" w:lineRule="auto"/>
              <w:jc w:val="right"/>
              <w:rPr>
                <w:color w:val="000000"/>
                <w:sz w:val="20"/>
                <w:lang w:eastAsia="hr-HR"/>
              </w:rPr>
            </w:pPr>
            <w:r w:rsidRPr="000063FC">
              <w:rPr>
                <w:color w:val="000000"/>
                <w:sz w:val="20"/>
                <w:lang w:eastAsia="hr-HR"/>
              </w:rPr>
              <w:t>403.637</w:t>
            </w:r>
          </w:p>
        </w:tc>
      </w:tr>
      <w:tr w:rsidR="00BD7626" w:rsidRPr="000063FC" w:rsidTr="0003555A">
        <w:trPr>
          <w:trHeight w:val="227"/>
        </w:trPr>
        <w:tc>
          <w:tcPr>
            <w:tcW w:w="3354"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rPr>
                <w:color w:val="000000"/>
                <w:sz w:val="20"/>
                <w:lang w:eastAsia="hr-HR"/>
              </w:rPr>
            </w:pPr>
            <w:r w:rsidRPr="000063FC">
              <w:rPr>
                <w:color w:val="000000"/>
                <w:sz w:val="20"/>
                <w:lang w:eastAsia="hr-HR"/>
              </w:rPr>
              <w:t>Teretna vozila</w:t>
            </w:r>
          </w:p>
        </w:tc>
        <w:tc>
          <w:tcPr>
            <w:tcW w:w="1737" w:type="dxa"/>
            <w:tcBorders>
              <w:top w:val="nil"/>
              <w:left w:val="nil"/>
              <w:bottom w:val="single" w:sz="4" w:space="0" w:color="4BACC6"/>
              <w:right w:val="single" w:sz="4" w:space="0" w:color="4BACC6"/>
            </w:tcBorders>
            <w:noWrap/>
            <w:vAlign w:val="bottom"/>
          </w:tcPr>
          <w:p w:rsidR="00BD7626" w:rsidRPr="000063FC" w:rsidRDefault="00BD7626" w:rsidP="0003555A">
            <w:pPr>
              <w:spacing w:line="240" w:lineRule="auto"/>
              <w:jc w:val="right"/>
              <w:rPr>
                <w:color w:val="000000"/>
                <w:sz w:val="20"/>
                <w:lang w:eastAsia="hr-HR"/>
              </w:rPr>
            </w:pPr>
            <w:r w:rsidRPr="000063FC">
              <w:rPr>
                <w:color w:val="000000"/>
                <w:sz w:val="20"/>
                <w:lang w:eastAsia="hr-HR"/>
              </w:rPr>
              <w:t>51.640</w:t>
            </w:r>
          </w:p>
        </w:tc>
        <w:tc>
          <w:tcPr>
            <w:tcW w:w="2244" w:type="dxa"/>
            <w:tcBorders>
              <w:top w:val="nil"/>
              <w:left w:val="nil"/>
              <w:bottom w:val="single" w:sz="4" w:space="0" w:color="4BACC6"/>
              <w:right w:val="single" w:sz="4" w:space="0" w:color="4BACC6"/>
            </w:tcBorders>
            <w:noWrap/>
            <w:vAlign w:val="bottom"/>
          </w:tcPr>
          <w:p w:rsidR="00BD7626" w:rsidRPr="000063FC" w:rsidRDefault="00BD7626" w:rsidP="0003555A">
            <w:pPr>
              <w:spacing w:line="240" w:lineRule="auto"/>
              <w:jc w:val="center"/>
              <w:rPr>
                <w:color w:val="000000"/>
                <w:sz w:val="20"/>
                <w:lang w:eastAsia="hr-HR"/>
              </w:rPr>
            </w:pPr>
            <w:r w:rsidRPr="000063FC">
              <w:rPr>
                <w:color w:val="000000"/>
                <w:sz w:val="20"/>
                <w:lang w:eastAsia="hr-HR"/>
              </w:rPr>
              <w:t>0,125</w:t>
            </w:r>
          </w:p>
        </w:tc>
        <w:tc>
          <w:tcPr>
            <w:tcW w:w="1737" w:type="dxa"/>
            <w:tcBorders>
              <w:top w:val="nil"/>
              <w:left w:val="nil"/>
              <w:bottom w:val="single" w:sz="4" w:space="0" w:color="4BACC6"/>
              <w:right w:val="single" w:sz="4" w:space="0" w:color="4BACC6"/>
            </w:tcBorders>
            <w:noWrap/>
            <w:vAlign w:val="bottom"/>
          </w:tcPr>
          <w:p w:rsidR="00BD7626" w:rsidRPr="000063FC" w:rsidRDefault="00BD7626" w:rsidP="0003555A">
            <w:pPr>
              <w:spacing w:line="240" w:lineRule="auto"/>
              <w:jc w:val="right"/>
              <w:rPr>
                <w:color w:val="000000"/>
                <w:sz w:val="20"/>
                <w:lang w:eastAsia="hr-HR"/>
              </w:rPr>
            </w:pPr>
            <w:r w:rsidRPr="000063FC">
              <w:rPr>
                <w:color w:val="000000"/>
                <w:sz w:val="20"/>
                <w:lang w:eastAsia="hr-HR"/>
              </w:rPr>
              <w:t>61.986</w:t>
            </w:r>
          </w:p>
        </w:tc>
      </w:tr>
      <w:tr w:rsidR="00BD7626" w:rsidRPr="000063FC" w:rsidTr="0003555A">
        <w:trPr>
          <w:trHeight w:val="227"/>
        </w:trPr>
        <w:tc>
          <w:tcPr>
            <w:tcW w:w="3354"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rPr>
                <w:color w:val="000000"/>
                <w:sz w:val="20"/>
                <w:lang w:eastAsia="hr-HR"/>
              </w:rPr>
            </w:pPr>
            <w:r w:rsidRPr="000063FC">
              <w:rPr>
                <w:color w:val="000000"/>
                <w:sz w:val="20"/>
                <w:lang w:eastAsia="hr-HR"/>
              </w:rPr>
              <w:t>Motocikli i mopedi</w:t>
            </w:r>
          </w:p>
        </w:tc>
        <w:tc>
          <w:tcPr>
            <w:tcW w:w="1737" w:type="dxa"/>
            <w:tcBorders>
              <w:top w:val="nil"/>
              <w:left w:val="nil"/>
              <w:bottom w:val="single" w:sz="4" w:space="0" w:color="4BACC6"/>
              <w:right w:val="single" w:sz="4" w:space="0" w:color="4BACC6"/>
            </w:tcBorders>
            <w:noWrap/>
            <w:vAlign w:val="bottom"/>
          </w:tcPr>
          <w:p w:rsidR="00BD7626" w:rsidRPr="000063FC" w:rsidRDefault="00BD7626" w:rsidP="0003555A">
            <w:pPr>
              <w:spacing w:line="240" w:lineRule="auto"/>
              <w:jc w:val="right"/>
              <w:rPr>
                <w:color w:val="000000"/>
                <w:sz w:val="20"/>
                <w:lang w:eastAsia="hr-HR"/>
              </w:rPr>
            </w:pPr>
            <w:r w:rsidRPr="000063FC">
              <w:rPr>
                <w:color w:val="000000"/>
                <w:sz w:val="20"/>
                <w:lang w:eastAsia="hr-HR"/>
              </w:rPr>
              <w:t>25.494</w:t>
            </w:r>
          </w:p>
        </w:tc>
        <w:tc>
          <w:tcPr>
            <w:tcW w:w="2244" w:type="dxa"/>
            <w:tcBorders>
              <w:top w:val="nil"/>
              <w:left w:val="nil"/>
              <w:bottom w:val="single" w:sz="4" w:space="0" w:color="4BACC6"/>
              <w:right w:val="single" w:sz="4" w:space="0" w:color="4BACC6"/>
            </w:tcBorders>
            <w:noWrap/>
            <w:vAlign w:val="bottom"/>
          </w:tcPr>
          <w:p w:rsidR="00BD7626" w:rsidRPr="000063FC" w:rsidRDefault="00BD7626" w:rsidP="0003555A">
            <w:pPr>
              <w:spacing w:line="240" w:lineRule="auto"/>
              <w:jc w:val="center"/>
              <w:rPr>
                <w:color w:val="000000"/>
                <w:sz w:val="20"/>
                <w:lang w:eastAsia="hr-HR"/>
              </w:rPr>
            </w:pPr>
            <w:r w:rsidRPr="000063FC">
              <w:rPr>
                <w:color w:val="000000"/>
                <w:sz w:val="20"/>
                <w:lang w:eastAsia="hr-HR"/>
              </w:rPr>
              <w:t>0,062</w:t>
            </w:r>
          </w:p>
        </w:tc>
        <w:tc>
          <w:tcPr>
            <w:tcW w:w="1737" w:type="dxa"/>
            <w:tcBorders>
              <w:top w:val="nil"/>
              <w:left w:val="nil"/>
              <w:bottom w:val="single" w:sz="4" w:space="0" w:color="4BACC6"/>
              <w:right w:val="single" w:sz="4" w:space="0" w:color="4BACC6"/>
            </w:tcBorders>
            <w:noWrap/>
            <w:vAlign w:val="bottom"/>
          </w:tcPr>
          <w:p w:rsidR="00BD7626" w:rsidRPr="000063FC" w:rsidRDefault="00BD7626" w:rsidP="0003555A">
            <w:pPr>
              <w:spacing w:line="240" w:lineRule="auto"/>
              <w:jc w:val="right"/>
              <w:rPr>
                <w:color w:val="000000"/>
                <w:sz w:val="20"/>
                <w:lang w:eastAsia="hr-HR"/>
              </w:rPr>
            </w:pPr>
            <w:r w:rsidRPr="000063FC">
              <w:rPr>
                <w:color w:val="000000"/>
                <w:sz w:val="20"/>
                <w:lang w:eastAsia="hr-HR"/>
              </w:rPr>
              <w:t>30.602</w:t>
            </w:r>
          </w:p>
        </w:tc>
      </w:tr>
      <w:tr w:rsidR="00BD7626" w:rsidRPr="000063FC" w:rsidTr="0003555A">
        <w:trPr>
          <w:trHeight w:val="227"/>
        </w:trPr>
        <w:tc>
          <w:tcPr>
            <w:tcW w:w="3354"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rPr>
                <w:color w:val="000000"/>
                <w:sz w:val="20"/>
                <w:lang w:eastAsia="hr-HR"/>
              </w:rPr>
            </w:pPr>
            <w:r w:rsidRPr="000063FC">
              <w:rPr>
                <w:color w:val="000000"/>
                <w:sz w:val="20"/>
                <w:lang w:eastAsia="hr-HR"/>
              </w:rPr>
              <w:t>Autobusi</w:t>
            </w:r>
          </w:p>
        </w:tc>
        <w:tc>
          <w:tcPr>
            <w:tcW w:w="1737" w:type="dxa"/>
            <w:tcBorders>
              <w:top w:val="nil"/>
              <w:left w:val="nil"/>
              <w:bottom w:val="single" w:sz="4" w:space="0" w:color="4BACC6"/>
              <w:right w:val="single" w:sz="4" w:space="0" w:color="4BACC6"/>
            </w:tcBorders>
            <w:noWrap/>
            <w:vAlign w:val="bottom"/>
          </w:tcPr>
          <w:p w:rsidR="00BD7626" w:rsidRPr="000063FC" w:rsidRDefault="00BD7626" w:rsidP="0003555A">
            <w:pPr>
              <w:spacing w:line="240" w:lineRule="auto"/>
              <w:jc w:val="right"/>
              <w:rPr>
                <w:color w:val="000000"/>
                <w:sz w:val="20"/>
                <w:lang w:eastAsia="hr-HR"/>
              </w:rPr>
            </w:pPr>
            <w:r w:rsidRPr="000063FC">
              <w:rPr>
                <w:color w:val="000000"/>
                <w:sz w:val="20"/>
                <w:lang w:eastAsia="hr-HR"/>
              </w:rPr>
              <w:t>951</w:t>
            </w:r>
          </w:p>
        </w:tc>
        <w:tc>
          <w:tcPr>
            <w:tcW w:w="2244" w:type="dxa"/>
            <w:tcBorders>
              <w:top w:val="nil"/>
              <w:left w:val="nil"/>
              <w:bottom w:val="single" w:sz="4" w:space="0" w:color="4BACC6"/>
              <w:right w:val="single" w:sz="4" w:space="0" w:color="4BACC6"/>
            </w:tcBorders>
            <w:noWrap/>
            <w:vAlign w:val="bottom"/>
          </w:tcPr>
          <w:p w:rsidR="00BD7626" w:rsidRPr="000063FC" w:rsidRDefault="00BD7626" w:rsidP="0003555A">
            <w:pPr>
              <w:spacing w:line="240" w:lineRule="auto"/>
              <w:jc w:val="center"/>
              <w:rPr>
                <w:color w:val="000000"/>
                <w:sz w:val="20"/>
                <w:lang w:eastAsia="hr-HR"/>
              </w:rPr>
            </w:pPr>
            <w:r w:rsidRPr="000063FC">
              <w:rPr>
                <w:color w:val="000000"/>
                <w:sz w:val="20"/>
                <w:lang w:eastAsia="hr-HR"/>
              </w:rPr>
              <w:t>0,002</w:t>
            </w:r>
          </w:p>
        </w:tc>
        <w:tc>
          <w:tcPr>
            <w:tcW w:w="1737" w:type="dxa"/>
            <w:tcBorders>
              <w:top w:val="nil"/>
              <w:left w:val="nil"/>
              <w:bottom w:val="single" w:sz="4" w:space="0" w:color="4BACC6"/>
              <w:right w:val="single" w:sz="4" w:space="0" w:color="4BACC6"/>
            </w:tcBorders>
            <w:noWrap/>
            <w:vAlign w:val="bottom"/>
          </w:tcPr>
          <w:p w:rsidR="00BD7626" w:rsidRPr="000063FC" w:rsidRDefault="00BD7626" w:rsidP="0003555A">
            <w:pPr>
              <w:spacing w:line="240" w:lineRule="auto"/>
              <w:jc w:val="right"/>
              <w:rPr>
                <w:color w:val="000000"/>
                <w:sz w:val="20"/>
                <w:lang w:eastAsia="hr-HR"/>
              </w:rPr>
            </w:pPr>
            <w:r w:rsidRPr="000063FC">
              <w:rPr>
                <w:color w:val="000000"/>
                <w:sz w:val="20"/>
                <w:lang w:eastAsia="hr-HR"/>
              </w:rPr>
              <w:t>1.142</w:t>
            </w:r>
          </w:p>
        </w:tc>
      </w:tr>
      <w:tr w:rsidR="00BD7626" w:rsidRPr="000063FC" w:rsidTr="0003555A">
        <w:trPr>
          <w:trHeight w:val="227"/>
        </w:trPr>
        <w:tc>
          <w:tcPr>
            <w:tcW w:w="3354" w:type="dxa"/>
            <w:tcBorders>
              <w:top w:val="nil"/>
              <w:left w:val="single" w:sz="4" w:space="0" w:color="4BACC6"/>
              <w:bottom w:val="single" w:sz="4" w:space="0" w:color="4BACC6"/>
              <w:right w:val="single" w:sz="4" w:space="0" w:color="4BACC6"/>
            </w:tcBorders>
            <w:shd w:val="clear" w:color="000000" w:fill="4BACC6"/>
            <w:noWrap/>
            <w:vAlign w:val="bottom"/>
          </w:tcPr>
          <w:p w:rsidR="00BD7626" w:rsidRPr="000063FC" w:rsidRDefault="00BD7626" w:rsidP="0003555A">
            <w:pPr>
              <w:spacing w:line="240" w:lineRule="auto"/>
              <w:rPr>
                <w:b/>
                <w:bCs/>
                <w:color w:val="FFFFFF"/>
                <w:sz w:val="20"/>
                <w:lang w:eastAsia="hr-HR"/>
              </w:rPr>
            </w:pPr>
            <w:r w:rsidRPr="000063FC">
              <w:rPr>
                <w:b/>
                <w:bCs/>
                <w:color w:val="FFFFFF"/>
                <w:sz w:val="20"/>
                <w:lang w:eastAsia="hr-HR"/>
              </w:rPr>
              <w:t>Ukupan broj vozila</w:t>
            </w:r>
          </w:p>
        </w:tc>
        <w:tc>
          <w:tcPr>
            <w:tcW w:w="1737" w:type="dxa"/>
            <w:tcBorders>
              <w:top w:val="nil"/>
              <w:left w:val="nil"/>
              <w:bottom w:val="single" w:sz="4" w:space="0" w:color="4BACC6"/>
              <w:right w:val="single" w:sz="4" w:space="0" w:color="4BACC6"/>
            </w:tcBorders>
            <w:noWrap/>
            <w:vAlign w:val="bottom"/>
          </w:tcPr>
          <w:p w:rsidR="00BD7626" w:rsidRPr="000063FC" w:rsidRDefault="00BD7626" w:rsidP="0003555A">
            <w:pPr>
              <w:spacing w:line="240" w:lineRule="auto"/>
              <w:jc w:val="right"/>
              <w:rPr>
                <w:color w:val="000000"/>
                <w:sz w:val="20"/>
                <w:lang w:eastAsia="hr-HR"/>
              </w:rPr>
            </w:pPr>
            <w:r w:rsidRPr="000063FC">
              <w:rPr>
                <w:color w:val="000000"/>
                <w:sz w:val="20"/>
                <w:lang w:eastAsia="hr-HR"/>
              </w:rPr>
              <w:t>414.353</w:t>
            </w:r>
          </w:p>
        </w:tc>
        <w:tc>
          <w:tcPr>
            <w:tcW w:w="2244" w:type="dxa"/>
            <w:tcBorders>
              <w:top w:val="nil"/>
              <w:left w:val="nil"/>
              <w:bottom w:val="single" w:sz="4" w:space="0" w:color="4BACC6"/>
              <w:right w:val="single" w:sz="4" w:space="0" w:color="4BACC6"/>
            </w:tcBorders>
            <w:noWrap/>
            <w:vAlign w:val="bottom"/>
          </w:tcPr>
          <w:p w:rsidR="00BD7626" w:rsidRPr="000063FC" w:rsidRDefault="00BD7626" w:rsidP="0003555A">
            <w:pPr>
              <w:spacing w:line="240" w:lineRule="auto"/>
              <w:jc w:val="center"/>
              <w:rPr>
                <w:color w:val="000000"/>
                <w:sz w:val="20"/>
                <w:lang w:eastAsia="hr-HR"/>
              </w:rPr>
            </w:pPr>
            <w:r w:rsidRPr="000063FC">
              <w:rPr>
                <w:color w:val="000000"/>
                <w:sz w:val="20"/>
                <w:lang w:eastAsia="hr-HR"/>
              </w:rPr>
              <w:t>1</w:t>
            </w:r>
          </w:p>
        </w:tc>
        <w:tc>
          <w:tcPr>
            <w:tcW w:w="1737" w:type="dxa"/>
            <w:tcBorders>
              <w:top w:val="nil"/>
              <w:left w:val="nil"/>
              <w:bottom w:val="single" w:sz="4" w:space="0" w:color="4BACC6"/>
              <w:right w:val="single" w:sz="4" w:space="0" w:color="4BACC6"/>
            </w:tcBorders>
            <w:shd w:val="clear" w:color="000000" w:fill="4BACC6"/>
            <w:noWrap/>
            <w:vAlign w:val="bottom"/>
          </w:tcPr>
          <w:p w:rsidR="00BD7626" w:rsidRPr="000063FC" w:rsidRDefault="00BD7626" w:rsidP="0003555A">
            <w:pPr>
              <w:spacing w:line="240" w:lineRule="auto"/>
              <w:jc w:val="right"/>
              <w:rPr>
                <w:b/>
                <w:bCs/>
                <w:color w:val="FFFFFF"/>
                <w:sz w:val="20"/>
                <w:lang w:eastAsia="hr-HR"/>
              </w:rPr>
            </w:pPr>
            <w:r w:rsidRPr="000063FC">
              <w:rPr>
                <w:b/>
                <w:bCs/>
                <w:color w:val="FFFFFF"/>
                <w:sz w:val="20"/>
                <w:lang w:eastAsia="hr-HR"/>
              </w:rPr>
              <w:t>497.366</w:t>
            </w:r>
          </w:p>
        </w:tc>
      </w:tr>
    </w:tbl>
    <w:p w:rsidR="00772AF0" w:rsidRPr="000063FC" w:rsidRDefault="00772AF0" w:rsidP="0003555A">
      <w:pPr>
        <w:spacing w:line="276" w:lineRule="auto"/>
      </w:pPr>
    </w:p>
    <w:p w:rsidR="00772AF0" w:rsidRPr="000063FC" w:rsidRDefault="00772AF0">
      <w:pPr>
        <w:tabs>
          <w:tab w:val="clear" w:pos="720"/>
          <w:tab w:val="clear" w:pos="6912"/>
        </w:tabs>
        <w:spacing w:line="240" w:lineRule="auto"/>
        <w:jc w:val="left"/>
      </w:pPr>
      <w:r w:rsidRPr="000063FC">
        <w:br w:type="page"/>
      </w:r>
    </w:p>
    <w:p w:rsidR="00BD7626" w:rsidRPr="000063FC" w:rsidRDefault="00BD7626" w:rsidP="0003555A">
      <w:pPr>
        <w:spacing w:line="276" w:lineRule="auto"/>
      </w:pPr>
      <w:r w:rsidRPr="000063FC">
        <w:lastRenderedPageBreak/>
        <w:t>Detaljna raspodjela voznog parka osobnih vozila, teretnih vozila, autobusa te motocikala potrebna za COPERT model napravljena je uz pretpostavku da će udio pojedine vrste vozila u voznom parku biti jednak udjelu te vrste vozila u RH u 2020. godini</w:t>
      </w:r>
      <w:r w:rsidRPr="000063FC">
        <w:rPr>
          <w:rStyle w:val="FootnoteReference"/>
        </w:rPr>
        <w:footnoteReference w:id="27"/>
      </w:r>
      <w:r w:rsidRPr="000063FC">
        <w:t>. Pretpostavljeno je da su ostali parametri (pređeni put, brzin</w:t>
      </w:r>
      <w:r w:rsidR="00E80DFF" w:rsidRPr="000063FC">
        <w:t xml:space="preserve">a po kategorijama, </w:t>
      </w:r>
      <w:r w:rsidR="000063FC" w:rsidRPr="000063FC">
        <w:t>temperatura</w:t>
      </w:r>
      <w:r w:rsidR="00E80DFF" w:rsidRPr="000063FC">
        <w:t xml:space="preserve"> i dr.) </w:t>
      </w:r>
      <w:r w:rsidRPr="000063FC">
        <w:t xml:space="preserve">potrebni za proračun konstantni, tj. jednaki parametrima korištenim u proračunu emisija za 2008. godinu. </w:t>
      </w:r>
    </w:p>
    <w:p w:rsidR="00BD7626" w:rsidRPr="000063FC" w:rsidRDefault="00BD7626" w:rsidP="0003555A">
      <w:pPr>
        <w:spacing w:line="276" w:lineRule="auto"/>
      </w:pPr>
    </w:p>
    <w:p w:rsidR="00BD7626" w:rsidRPr="000063FC" w:rsidRDefault="00BD7626" w:rsidP="0003555A">
      <w:pPr>
        <w:spacing w:line="276" w:lineRule="auto"/>
      </w:pPr>
      <w:r w:rsidRPr="000063FC">
        <w:t>COPERT modelom proračunate su potrošnje goriva i emisija CO</w:t>
      </w:r>
      <w:r w:rsidRPr="000063FC">
        <w:rPr>
          <w:vertAlign w:val="subscript"/>
        </w:rPr>
        <w:t>2</w:t>
      </w:r>
      <w:r w:rsidRPr="000063FC">
        <w:t xml:space="preserve"> pojedinih vrsta vozila scenarija bez mjera (tablica </w:t>
      </w:r>
      <w:r w:rsidR="0003555A" w:rsidRPr="000063FC">
        <w:t>3.12</w:t>
      </w:r>
      <w:r w:rsidRPr="000063FC">
        <w:t xml:space="preserve">). Projekcija emisije voznog parka u vlasništvu Grada procijenjena je uz pretpostavku da će udio emisije toga sektora biti jednak udjelu iz 2008. godine. </w:t>
      </w:r>
    </w:p>
    <w:p w:rsidR="0003555A" w:rsidRPr="000063FC" w:rsidRDefault="0003555A" w:rsidP="0003555A">
      <w:pPr>
        <w:tabs>
          <w:tab w:val="clear" w:pos="720"/>
          <w:tab w:val="clear" w:pos="6912"/>
        </w:tabs>
        <w:spacing w:line="276" w:lineRule="auto"/>
        <w:jc w:val="left"/>
      </w:pPr>
    </w:p>
    <w:p w:rsidR="00BD7626" w:rsidRPr="000063FC" w:rsidRDefault="00BD7626" w:rsidP="00B33E2F">
      <w:pPr>
        <w:pStyle w:val="Heading6"/>
      </w:pPr>
      <w:bookmarkStart w:id="239" w:name="_Toc251161356"/>
      <w:bookmarkStart w:id="240" w:name="_Toc254010268"/>
      <w:r w:rsidRPr="000063FC">
        <w:t xml:space="preserve">Tablica </w:t>
      </w:r>
      <w:r w:rsidR="0003555A" w:rsidRPr="000063FC">
        <w:t>3.12</w:t>
      </w:r>
      <w:r w:rsidRPr="000063FC">
        <w:t>: Projekcija potrošnje energij</w:t>
      </w:r>
      <w:r w:rsidR="00E80DFF" w:rsidRPr="000063FC">
        <w:t>e i emisije za 2020. godinu za s</w:t>
      </w:r>
      <w:r w:rsidRPr="000063FC">
        <w:t>cenarij bez mjera</w:t>
      </w:r>
      <w:bookmarkEnd w:id="239"/>
      <w:bookmarkEnd w:id="240"/>
    </w:p>
    <w:tbl>
      <w:tblPr>
        <w:tblW w:w="9072" w:type="dxa"/>
        <w:tblInd w:w="108" w:type="dxa"/>
        <w:tblLook w:val="00A0" w:firstRow="1" w:lastRow="0" w:firstColumn="1" w:lastColumn="0" w:noHBand="0" w:noVBand="0"/>
      </w:tblPr>
      <w:tblGrid>
        <w:gridCol w:w="4325"/>
        <w:gridCol w:w="1651"/>
        <w:gridCol w:w="1548"/>
        <w:gridCol w:w="1548"/>
      </w:tblGrid>
      <w:tr w:rsidR="00BD7626" w:rsidRPr="000063FC" w:rsidTr="0003555A">
        <w:trPr>
          <w:trHeight w:val="227"/>
        </w:trPr>
        <w:tc>
          <w:tcPr>
            <w:tcW w:w="4325" w:type="dxa"/>
            <w:vMerge w:val="restart"/>
            <w:tcBorders>
              <w:top w:val="single" w:sz="4" w:space="0" w:color="4BACC6"/>
              <w:left w:val="single" w:sz="4" w:space="0" w:color="4BACC6"/>
              <w:bottom w:val="single" w:sz="4" w:space="0" w:color="4BACC6"/>
              <w:right w:val="single" w:sz="4" w:space="0" w:color="FFFFFF"/>
            </w:tcBorders>
            <w:shd w:val="clear" w:color="000000" w:fill="4BACC6"/>
            <w:vAlign w:val="center"/>
          </w:tcPr>
          <w:p w:rsidR="00BD7626" w:rsidRPr="000063FC" w:rsidRDefault="00BD7626" w:rsidP="0003555A">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 xml:space="preserve">Projekcije sektora promet </w:t>
            </w:r>
          </w:p>
          <w:p w:rsidR="00BD7626" w:rsidRPr="000063FC" w:rsidRDefault="00BD7626" w:rsidP="0003555A">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Scenarij bez mjera</w:t>
            </w:r>
          </w:p>
        </w:tc>
        <w:tc>
          <w:tcPr>
            <w:tcW w:w="3199" w:type="dxa"/>
            <w:gridSpan w:val="2"/>
            <w:tcBorders>
              <w:top w:val="single" w:sz="4" w:space="0" w:color="4BACC6"/>
              <w:left w:val="nil"/>
              <w:bottom w:val="single" w:sz="4" w:space="0" w:color="FFFFFF"/>
              <w:right w:val="single" w:sz="4" w:space="0" w:color="FFFFFF"/>
            </w:tcBorders>
            <w:shd w:val="clear" w:color="000000" w:fill="4BACC6"/>
            <w:noWrap/>
            <w:vAlign w:val="bottom"/>
          </w:tcPr>
          <w:p w:rsidR="00BD7626" w:rsidRPr="000063FC" w:rsidRDefault="00BD7626" w:rsidP="0003555A">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Potrošnja energije</w:t>
            </w:r>
          </w:p>
        </w:tc>
        <w:tc>
          <w:tcPr>
            <w:tcW w:w="1548" w:type="dxa"/>
            <w:tcBorders>
              <w:top w:val="single" w:sz="4" w:space="0" w:color="4BACC6"/>
              <w:left w:val="single" w:sz="4" w:space="0" w:color="FFFFFF"/>
              <w:bottom w:val="single" w:sz="4" w:space="0" w:color="FFFFFF"/>
              <w:right w:val="single" w:sz="4" w:space="0" w:color="4BACC6"/>
            </w:tcBorders>
            <w:shd w:val="clear" w:color="000000" w:fill="4BACC6"/>
            <w:vAlign w:val="bottom"/>
          </w:tcPr>
          <w:p w:rsidR="00BD7626" w:rsidRPr="000063FC" w:rsidRDefault="00BD7626" w:rsidP="0003555A">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Emisija</w:t>
            </w:r>
          </w:p>
        </w:tc>
      </w:tr>
      <w:tr w:rsidR="00BD7626" w:rsidRPr="000063FC" w:rsidTr="0003555A">
        <w:trPr>
          <w:trHeight w:val="227"/>
        </w:trPr>
        <w:tc>
          <w:tcPr>
            <w:tcW w:w="4325" w:type="dxa"/>
            <w:vMerge/>
            <w:tcBorders>
              <w:top w:val="single" w:sz="4" w:space="0" w:color="4BACC6"/>
              <w:left w:val="single" w:sz="4" w:space="0" w:color="4BACC6"/>
              <w:bottom w:val="single" w:sz="4" w:space="0" w:color="4BACC6"/>
              <w:right w:val="single" w:sz="4" w:space="0" w:color="FFFFFF"/>
            </w:tcBorders>
            <w:vAlign w:val="center"/>
          </w:tcPr>
          <w:p w:rsidR="00BD7626" w:rsidRPr="000063FC" w:rsidRDefault="00BD7626" w:rsidP="0003555A">
            <w:pPr>
              <w:spacing w:line="240" w:lineRule="auto"/>
              <w:rPr>
                <w:rFonts w:asciiTheme="minorHAnsi" w:hAnsiTheme="minorHAnsi"/>
                <w:b/>
                <w:bCs/>
                <w:color w:val="FFFFFF"/>
                <w:sz w:val="20"/>
                <w:lang w:eastAsia="hr-HR"/>
              </w:rPr>
            </w:pPr>
          </w:p>
        </w:tc>
        <w:tc>
          <w:tcPr>
            <w:tcW w:w="1651" w:type="dxa"/>
            <w:tcBorders>
              <w:top w:val="nil"/>
              <w:left w:val="nil"/>
              <w:bottom w:val="single" w:sz="4" w:space="0" w:color="4BACC6"/>
              <w:right w:val="single" w:sz="4" w:space="0" w:color="FFFFFF"/>
            </w:tcBorders>
            <w:shd w:val="clear" w:color="000000" w:fill="4BACC6"/>
            <w:vAlign w:val="bottom"/>
          </w:tcPr>
          <w:p w:rsidR="00BD7626" w:rsidRPr="000063FC" w:rsidRDefault="00BD7626" w:rsidP="0003555A">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TJ</w:t>
            </w:r>
          </w:p>
        </w:tc>
        <w:tc>
          <w:tcPr>
            <w:tcW w:w="1548" w:type="dxa"/>
            <w:tcBorders>
              <w:top w:val="nil"/>
              <w:left w:val="single" w:sz="4" w:space="0" w:color="FFFFFF"/>
              <w:bottom w:val="single" w:sz="4" w:space="0" w:color="4BACC6"/>
              <w:right w:val="single" w:sz="4" w:space="0" w:color="FFFFFF"/>
            </w:tcBorders>
            <w:shd w:val="clear" w:color="000000" w:fill="4BACC6"/>
            <w:vAlign w:val="bottom"/>
          </w:tcPr>
          <w:p w:rsidR="00BD7626" w:rsidRPr="000063FC" w:rsidRDefault="00BD7626" w:rsidP="0003555A">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MWh</w:t>
            </w:r>
          </w:p>
        </w:tc>
        <w:tc>
          <w:tcPr>
            <w:tcW w:w="1548" w:type="dxa"/>
            <w:tcBorders>
              <w:top w:val="nil"/>
              <w:left w:val="single" w:sz="4" w:space="0" w:color="FFFFFF"/>
              <w:bottom w:val="single" w:sz="4" w:space="0" w:color="4BACC6"/>
              <w:right w:val="single" w:sz="4" w:space="0" w:color="4BACC6"/>
            </w:tcBorders>
            <w:shd w:val="clear" w:color="000000" w:fill="4BACC6"/>
            <w:vAlign w:val="bottom"/>
          </w:tcPr>
          <w:p w:rsidR="00BD7626" w:rsidRPr="000063FC" w:rsidRDefault="00BD7626" w:rsidP="0003555A">
            <w:pPr>
              <w:spacing w:line="240" w:lineRule="auto"/>
              <w:jc w:val="center"/>
              <w:rPr>
                <w:rFonts w:asciiTheme="minorHAnsi" w:hAnsiTheme="minorHAnsi"/>
                <w:b/>
                <w:bCs/>
                <w:color w:val="FFFFFF"/>
                <w:sz w:val="20"/>
                <w:lang w:eastAsia="hr-HR"/>
              </w:rPr>
            </w:pPr>
            <w:r w:rsidRPr="000063FC">
              <w:rPr>
                <w:rFonts w:asciiTheme="minorHAnsi" w:hAnsiTheme="minorHAnsi"/>
                <w:b/>
                <w:bCs/>
                <w:color w:val="FFFFFF"/>
                <w:sz w:val="20"/>
                <w:lang w:eastAsia="hr-HR"/>
              </w:rPr>
              <w:t>t CO</w:t>
            </w:r>
            <w:r w:rsidRPr="000063FC">
              <w:rPr>
                <w:rFonts w:asciiTheme="minorHAnsi" w:hAnsiTheme="minorHAnsi"/>
                <w:b/>
                <w:bCs/>
                <w:color w:val="FFFFFF"/>
                <w:sz w:val="20"/>
                <w:vertAlign w:val="subscript"/>
                <w:lang w:eastAsia="hr-HR"/>
              </w:rPr>
              <w:t>2</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shd w:val="clear" w:color="000000" w:fill="DBEEF3"/>
            <w:vAlign w:val="bottom"/>
          </w:tcPr>
          <w:p w:rsidR="00BD7626" w:rsidRPr="000063FC" w:rsidRDefault="00BD7626" w:rsidP="0003555A">
            <w:pPr>
              <w:spacing w:line="240" w:lineRule="auto"/>
              <w:rPr>
                <w:rFonts w:asciiTheme="minorHAnsi" w:hAnsiTheme="minorHAnsi"/>
                <w:color w:val="000000"/>
                <w:sz w:val="20"/>
                <w:lang w:eastAsia="hr-HR"/>
              </w:rPr>
            </w:pPr>
            <w:r w:rsidRPr="000063FC">
              <w:rPr>
                <w:rFonts w:asciiTheme="minorHAnsi" w:hAnsiTheme="minorHAnsi"/>
                <w:color w:val="000000"/>
                <w:sz w:val="20"/>
                <w:lang w:eastAsia="hr-HR"/>
              </w:rPr>
              <w:t xml:space="preserve">Osobna i komercijalna vozila </w:t>
            </w:r>
          </w:p>
        </w:tc>
        <w:tc>
          <w:tcPr>
            <w:tcW w:w="1651" w:type="dxa"/>
            <w:tcBorders>
              <w:top w:val="nil"/>
              <w:left w:val="nil"/>
              <w:bottom w:val="single" w:sz="4" w:space="0" w:color="4BACC6"/>
              <w:right w:val="single" w:sz="4" w:space="0" w:color="4BACC6"/>
            </w:tcBorders>
            <w:shd w:val="clear" w:color="000000" w:fill="DBEEF3"/>
            <w:noWrap/>
            <w:vAlign w:val="bottom"/>
          </w:tcPr>
          <w:p w:rsidR="00BD7626" w:rsidRPr="000063FC" w:rsidRDefault="00BD7626" w:rsidP="0003555A">
            <w:pPr>
              <w:spacing w:line="240" w:lineRule="auto"/>
              <w:jc w:val="center"/>
              <w:rPr>
                <w:rFonts w:asciiTheme="minorHAnsi" w:hAnsiTheme="minorHAnsi"/>
                <w:color w:val="000000"/>
                <w:sz w:val="20"/>
                <w:lang w:eastAsia="hr-HR"/>
              </w:rPr>
            </w:pPr>
            <w:r w:rsidRPr="000063FC">
              <w:rPr>
                <w:rFonts w:asciiTheme="minorHAnsi" w:hAnsiTheme="minorHAnsi"/>
                <w:color w:val="000000"/>
                <w:sz w:val="20"/>
                <w:lang w:eastAsia="hr-HR"/>
              </w:rPr>
              <w:t> </w:t>
            </w:r>
          </w:p>
        </w:tc>
        <w:tc>
          <w:tcPr>
            <w:tcW w:w="1548" w:type="dxa"/>
            <w:tcBorders>
              <w:top w:val="nil"/>
              <w:left w:val="nil"/>
              <w:bottom w:val="single" w:sz="4" w:space="0" w:color="4BACC6"/>
              <w:right w:val="single" w:sz="4" w:space="0" w:color="4BACC6"/>
            </w:tcBorders>
            <w:shd w:val="clear" w:color="000000" w:fill="DBEEF3"/>
            <w:noWrap/>
            <w:vAlign w:val="bottom"/>
          </w:tcPr>
          <w:p w:rsidR="00BD7626" w:rsidRPr="000063FC" w:rsidRDefault="00BD7626" w:rsidP="0003555A">
            <w:pPr>
              <w:spacing w:line="240" w:lineRule="auto"/>
              <w:jc w:val="center"/>
              <w:rPr>
                <w:rFonts w:asciiTheme="minorHAnsi" w:hAnsiTheme="minorHAnsi"/>
                <w:color w:val="000000"/>
                <w:sz w:val="20"/>
                <w:lang w:eastAsia="hr-HR"/>
              </w:rPr>
            </w:pPr>
            <w:r w:rsidRPr="000063FC">
              <w:rPr>
                <w:rFonts w:asciiTheme="minorHAnsi" w:hAnsiTheme="minorHAnsi"/>
                <w:color w:val="000000"/>
                <w:sz w:val="20"/>
                <w:lang w:eastAsia="hr-HR"/>
              </w:rPr>
              <w:t> </w:t>
            </w:r>
          </w:p>
        </w:tc>
        <w:tc>
          <w:tcPr>
            <w:tcW w:w="1548" w:type="dxa"/>
            <w:tcBorders>
              <w:top w:val="nil"/>
              <w:left w:val="nil"/>
              <w:bottom w:val="single" w:sz="4" w:space="0" w:color="4BACC6"/>
              <w:right w:val="single" w:sz="4" w:space="0" w:color="4BACC6"/>
            </w:tcBorders>
            <w:shd w:val="clear" w:color="000000" w:fill="DBEEF3"/>
            <w:noWrap/>
            <w:vAlign w:val="bottom"/>
          </w:tcPr>
          <w:p w:rsidR="00BD7626" w:rsidRPr="000063FC" w:rsidRDefault="00BD7626" w:rsidP="0003555A">
            <w:pPr>
              <w:spacing w:line="240" w:lineRule="auto"/>
              <w:jc w:val="center"/>
              <w:rPr>
                <w:rFonts w:asciiTheme="minorHAnsi" w:hAnsiTheme="minorHAnsi"/>
                <w:color w:val="000000"/>
                <w:sz w:val="20"/>
                <w:lang w:eastAsia="hr-HR"/>
              </w:rPr>
            </w:pP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jc w:val="right"/>
              <w:rPr>
                <w:rFonts w:asciiTheme="minorHAnsi" w:hAnsiTheme="minorHAnsi"/>
                <w:color w:val="000000"/>
                <w:sz w:val="20"/>
                <w:lang w:eastAsia="hr-HR"/>
              </w:rPr>
            </w:pPr>
            <w:r w:rsidRPr="000063FC">
              <w:rPr>
                <w:rFonts w:asciiTheme="minorHAnsi" w:hAnsiTheme="minorHAnsi"/>
                <w:color w:val="000000"/>
                <w:sz w:val="20"/>
                <w:lang w:eastAsia="hr-HR"/>
              </w:rPr>
              <w:t>benzin (uz udio biogoriva)</w:t>
            </w:r>
          </w:p>
        </w:tc>
        <w:tc>
          <w:tcPr>
            <w:tcW w:w="1651"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6.304,8</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1.751.336,2</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450.046,9</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jc w:val="right"/>
              <w:rPr>
                <w:rFonts w:asciiTheme="minorHAnsi" w:hAnsiTheme="minorHAnsi"/>
                <w:color w:val="000000"/>
                <w:sz w:val="20"/>
                <w:lang w:eastAsia="hr-HR"/>
              </w:rPr>
            </w:pPr>
            <w:r w:rsidRPr="000063FC">
              <w:rPr>
                <w:rFonts w:asciiTheme="minorHAnsi" w:hAnsiTheme="minorHAnsi"/>
                <w:color w:val="000000"/>
                <w:sz w:val="20"/>
                <w:lang w:eastAsia="hr-HR"/>
              </w:rPr>
              <w:t>dizel (uz udio biogoriva)</w:t>
            </w:r>
          </w:p>
        </w:tc>
        <w:tc>
          <w:tcPr>
            <w:tcW w:w="1651"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8.628,1</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2.396.702,2</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635.442,6</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jc w:val="right"/>
              <w:rPr>
                <w:rFonts w:asciiTheme="minorHAnsi" w:hAnsiTheme="minorHAnsi"/>
                <w:color w:val="000000"/>
                <w:sz w:val="20"/>
                <w:lang w:eastAsia="hr-HR"/>
              </w:rPr>
            </w:pPr>
            <w:r w:rsidRPr="000063FC">
              <w:rPr>
                <w:rFonts w:asciiTheme="minorHAnsi" w:hAnsiTheme="minorHAnsi"/>
                <w:color w:val="000000"/>
                <w:sz w:val="20"/>
                <w:lang w:eastAsia="hr-HR"/>
              </w:rPr>
              <w:t>lpg</w:t>
            </w:r>
          </w:p>
        </w:tc>
        <w:tc>
          <w:tcPr>
            <w:tcW w:w="1651"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120,1</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33.363,2</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9.383,2</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jc w:val="right"/>
              <w:rPr>
                <w:rFonts w:asciiTheme="minorHAnsi" w:hAnsiTheme="minorHAnsi"/>
                <w:color w:val="000000"/>
                <w:sz w:val="20"/>
                <w:lang w:eastAsia="hr-HR"/>
              </w:rPr>
            </w:pPr>
            <w:r w:rsidRPr="000063FC">
              <w:rPr>
                <w:rFonts w:asciiTheme="minorHAnsi" w:hAnsiTheme="minorHAnsi"/>
                <w:color w:val="000000"/>
                <w:sz w:val="20"/>
                <w:lang w:eastAsia="hr-HR"/>
              </w:rPr>
              <w:t>biogoriva</w:t>
            </w:r>
          </w:p>
        </w:tc>
        <w:tc>
          <w:tcPr>
            <w:tcW w:w="1651" w:type="dxa"/>
            <w:tcBorders>
              <w:top w:val="nil"/>
              <w:left w:val="nil"/>
              <w:bottom w:val="nil"/>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0</w:t>
            </w:r>
          </w:p>
        </w:tc>
        <w:tc>
          <w:tcPr>
            <w:tcW w:w="1548" w:type="dxa"/>
            <w:tcBorders>
              <w:top w:val="nil"/>
              <w:left w:val="single" w:sz="4" w:space="0" w:color="4BACC6"/>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0,0</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0,0</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rPr>
                <w:rFonts w:asciiTheme="minorHAnsi" w:hAnsiTheme="minorHAnsi"/>
                <w:color w:val="000000"/>
                <w:sz w:val="20"/>
                <w:lang w:eastAsia="hr-HR"/>
              </w:rPr>
            </w:pPr>
            <w:r w:rsidRPr="000063FC">
              <w:rPr>
                <w:rFonts w:asciiTheme="minorHAnsi" w:hAnsiTheme="minorHAnsi"/>
                <w:color w:val="000000"/>
                <w:sz w:val="20"/>
                <w:lang w:eastAsia="hr-HR"/>
              </w:rPr>
              <w:t>UKUPNO</w:t>
            </w:r>
          </w:p>
        </w:tc>
        <w:tc>
          <w:tcPr>
            <w:tcW w:w="1651" w:type="dxa"/>
            <w:tcBorders>
              <w:top w:val="single" w:sz="4" w:space="0" w:color="4BACC6"/>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15.053,0</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4.181.401,6</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1.094.872,6</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shd w:val="clear" w:color="000000" w:fill="DBEEF3"/>
            <w:noWrap/>
            <w:vAlign w:val="bottom"/>
          </w:tcPr>
          <w:p w:rsidR="00BD7626" w:rsidRPr="000063FC" w:rsidRDefault="00BD7626" w:rsidP="0003555A">
            <w:pPr>
              <w:spacing w:line="240" w:lineRule="auto"/>
              <w:rPr>
                <w:rFonts w:asciiTheme="minorHAnsi" w:hAnsiTheme="minorHAnsi"/>
                <w:color w:val="000000"/>
                <w:sz w:val="20"/>
                <w:lang w:eastAsia="hr-HR"/>
              </w:rPr>
            </w:pPr>
            <w:r w:rsidRPr="000063FC">
              <w:rPr>
                <w:rFonts w:asciiTheme="minorHAnsi" w:hAnsiTheme="minorHAnsi"/>
                <w:color w:val="000000"/>
                <w:sz w:val="20"/>
                <w:lang w:eastAsia="hr-HR"/>
              </w:rPr>
              <w:t>Vozila u vlasništvu Grada</w:t>
            </w:r>
          </w:p>
        </w:tc>
        <w:tc>
          <w:tcPr>
            <w:tcW w:w="1651" w:type="dxa"/>
            <w:tcBorders>
              <w:top w:val="nil"/>
              <w:left w:val="nil"/>
              <w:bottom w:val="single" w:sz="4" w:space="0" w:color="4BACC6"/>
              <w:right w:val="single" w:sz="4" w:space="0" w:color="4BACC6"/>
            </w:tcBorders>
            <w:shd w:val="clear" w:color="000000" w:fill="DBEEF3"/>
            <w:noWrap/>
            <w:vAlign w:val="center"/>
          </w:tcPr>
          <w:p w:rsidR="00BD7626" w:rsidRPr="000063FC" w:rsidRDefault="00BD7626" w:rsidP="0003555A">
            <w:pPr>
              <w:spacing w:line="240" w:lineRule="auto"/>
              <w:jc w:val="center"/>
              <w:rPr>
                <w:rFonts w:asciiTheme="minorHAnsi" w:hAnsiTheme="minorHAnsi" w:cs="Arial"/>
                <w:color w:val="000000"/>
                <w:sz w:val="20"/>
              </w:rPr>
            </w:pPr>
          </w:p>
        </w:tc>
        <w:tc>
          <w:tcPr>
            <w:tcW w:w="1548" w:type="dxa"/>
            <w:tcBorders>
              <w:top w:val="nil"/>
              <w:left w:val="nil"/>
              <w:bottom w:val="single" w:sz="4" w:space="0" w:color="4BACC6"/>
              <w:right w:val="single" w:sz="4" w:space="0" w:color="4BACC6"/>
            </w:tcBorders>
            <w:shd w:val="clear" w:color="000000" w:fill="DBEEF3"/>
            <w:noWrap/>
            <w:vAlign w:val="center"/>
          </w:tcPr>
          <w:p w:rsidR="00BD7626" w:rsidRPr="000063FC" w:rsidRDefault="00BD7626" w:rsidP="0003555A">
            <w:pPr>
              <w:spacing w:line="240" w:lineRule="auto"/>
              <w:jc w:val="center"/>
              <w:rPr>
                <w:rFonts w:asciiTheme="minorHAnsi" w:hAnsiTheme="minorHAnsi" w:cs="Arial"/>
                <w:color w:val="000000"/>
                <w:sz w:val="20"/>
              </w:rPr>
            </w:pPr>
          </w:p>
        </w:tc>
        <w:tc>
          <w:tcPr>
            <w:tcW w:w="1548" w:type="dxa"/>
            <w:tcBorders>
              <w:top w:val="nil"/>
              <w:left w:val="nil"/>
              <w:bottom w:val="single" w:sz="4" w:space="0" w:color="4BACC6"/>
              <w:right w:val="single" w:sz="4" w:space="0" w:color="4BACC6"/>
            </w:tcBorders>
            <w:shd w:val="clear" w:color="000000" w:fill="DBEEF3"/>
            <w:noWrap/>
            <w:vAlign w:val="center"/>
          </w:tcPr>
          <w:p w:rsidR="00BD7626" w:rsidRPr="000063FC" w:rsidRDefault="00BD7626" w:rsidP="0003555A">
            <w:pPr>
              <w:spacing w:line="240" w:lineRule="auto"/>
              <w:jc w:val="center"/>
              <w:rPr>
                <w:rFonts w:asciiTheme="minorHAnsi" w:hAnsiTheme="minorHAnsi" w:cs="Arial"/>
                <w:color w:val="000000"/>
                <w:sz w:val="20"/>
              </w:rPr>
            </w:pP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jc w:val="right"/>
              <w:rPr>
                <w:rFonts w:asciiTheme="minorHAnsi" w:hAnsiTheme="minorHAnsi"/>
                <w:color w:val="000000"/>
                <w:sz w:val="20"/>
                <w:lang w:eastAsia="hr-HR"/>
              </w:rPr>
            </w:pPr>
            <w:r w:rsidRPr="000063FC">
              <w:rPr>
                <w:rFonts w:asciiTheme="minorHAnsi" w:hAnsiTheme="minorHAnsi"/>
                <w:color w:val="000000"/>
                <w:sz w:val="20"/>
                <w:lang w:eastAsia="hr-HR"/>
              </w:rPr>
              <w:t>benzin (uz udio biogoriva)</w:t>
            </w:r>
          </w:p>
        </w:tc>
        <w:tc>
          <w:tcPr>
            <w:tcW w:w="1651"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20,2</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5.614,7</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1.351,1</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jc w:val="right"/>
              <w:rPr>
                <w:rFonts w:asciiTheme="minorHAnsi" w:hAnsiTheme="minorHAnsi"/>
                <w:color w:val="000000"/>
                <w:sz w:val="20"/>
                <w:lang w:eastAsia="hr-HR"/>
              </w:rPr>
            </w:pPr>
            <w:r w:rsidRPr="000063FC">
              <w:rPr>
                <w:rFonts w:asciiTheme="minorHAnsi" w:hAnsiTheme="minorHAnsi"/>
                <w:color w:val="000000"/>
                <w:sz w:val="20"/>
                <w:lang w:eastAsia="hr-HR"/>
              </w:rPr>
              <w:t>dizel (uz udio biogoriva)</w:t>
            </w:r>
          </w:p>
        </w:tc>
        <w:tc>
          <w:tcPr>
            <w:tcW w:w="1651"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255,5</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70.984,5</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17.007,1</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jc w:val="right"/>
              <w:rPr>
                <w:rFonts w:asciiTheme="minorHAnsi" w:hAnsiTheme="minorHAnsi"/>
                <w:color w:val="000000"/>
                <w:sz w:val="20"/>
                <w:lang w:eastAsia="hr-HR"/>
              </w:rPr>
            </w:pPr>
            <w:r w:rsidRPr="000063FC">
              <w:rPr>
                <w:rFonts w:asciiTheme="minorHAnsi" w:hAnsiTheme="minorHAnsi"/>
                <w:color w:val="000000"/>
                <w:sz w:val="20"/>
                <w:lang w:eastAsia="hr-HR"/>
              </w:rPr>
              <w:t>lpg</w:t>
            </w:r>
          </w:p>
        </w:tc>
        <w:tc>
          <w:tcPr>
            <w:tcW w:w="1651"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0,1</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36,9</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8,2</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jc w:val="right"/>
              <w:rPr>
                <w:rFonts w:asciiTheme="minorHAnsi" w:hAnsiTheme="minorHAnsi"/>
                <w:color w:val="000000"/>
                <w:sz w:val="20"/>
                <w:lang w:eastAsia="hr-HR"/>
              </w:rPr>
            </w:pPr>
            <w:r w:rsidRPr="000063FC">
              <w:rPr>
                <w:rFonts w:asciiTheme="minorHAnsi" w:hAnsiTheme="minorHAnsi"/>
                <w:color w:val="000000"/>
                <w:sz w:val="20"/>
                <w:lang w:eastAsia="hr-HR"/>
              </w:rPr>
              <w:t>prirodni plin</w:t>
            </w:r>
          </w:p>
        </w:tc>
        <w:tc>
          <w:tcPr>
            <w:tcW w:w="1651"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1,2</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335,1</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90,1</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jc w:val="right"/>
              <w:rPr>
                <w:rFonts w:asciiTheme="minorHAnsi" w:hAnsiTheme="minorHAnsi"/>
                <w:color w:val="000000"/>
                <w:sz w:val="20"/>
                <w:lang w:eastAsia="hr-HR"/>
              </w:rPr>
            </w:pPr>
            <w:r w:rsidRPr="000063FC">
              <w:rPr>
                <w:rFonts w:asciiTheme="minorHAnsi" w:hAnsiTheme="minorHAnsi"/>
                <w:color w:val="000000"/>
                <w:sz w:val="20"/>
                <w:lang w:eastAsia="hr-HR"/>
              </w:rPr>
              <w:t>biogoriva</w:t>
            </w:r>
          </w:p>
        </w:tc>
        <w:tc>
          <w:tcPr>
            <w:tcW w:w="1651"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0,0</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0,0</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0,0</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rPr>
                <w:rFonts w:asciiTheme="minorHAnsi" w:hAnsiTheme="minorHAnsi"/>
                <w:color w:val="000000"/>
                <w:sz w:val="20"/>
                <w:lang w:eastAsia="hr-HR"/>
              </w:rPr>
            </w:pPr>
            <w:r w:rsidRPr="000063FC">
              <w:rPr>
                <w:rFonts w:asciiTheme="minorHAnsi" w:hAnsiTheme="minorHAnsi"/>
                <w:color w:val="000000"/>
                <w:sz w:val="20"/>
                <w:lang w:eastAsia="hr-HR"/>
              </w:rPr>
              <w:t>UKUPNO</w:t>
            </w:r>
          </w:p>
        </w:tc>
        <w:tc>
          <w:tcPr>
            <w:tcW w:w="1651"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277,1</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76.971,2</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18.456,5</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shd w:val="clear" w:color="000000" w:fill="DBEEF3"/>
            <w:noWrap/>
            <w:vAlign w:val="bottom"/>
          </w:tcPr>
          <w:p w:rsidR="00BD7626" w:rsidRPr="000063FC" w:rsidRDefault="00BD7626" w:rsidP="0003555A">
            <w:pPr>
              <w:spacing w:line="240" w:lineRule="auto"/>
              <w:rPr>
                <w:rFonts w:asciiTheme="minorHAnsi" w:hAnsiTheme="minorHAnsi"/>
                <w:color w:val="000000"/>
                <w:sz w:val="20"/>
                <w:lang w:eastAsia="hr-HR"/>
              </w:rPr>
            </w:pPr>
            <w:r w:rsidRPr="000063FC">
              <w:rPr>
                <w:rFonts w:asciiTheme="minorHAnsi" w:hAnsiTheme="minorHAnsi"/>
                <w:color w:val="000000"/>
                <w:sz w:val="20"/>
                <w:lang w:eastAsia="hr-HR"/>
              </w:rPr>
              <w:t>Javni prijevoz</w:t>
            </w:r>
          </w:p>
        </w:tc>
        <w:tc>
          <w:tcPr>
            <w:tcW w:w="1651" w:type="dxa"/>
            <w:tcBorders>
              <w:top w:val="nil"/>
              <w:left w:val="nil"/>
              <w:bottom w:val="single" w:sz="4" w:space="0" w:color="4BACC6"/>
              <w:right w:val="single" w:sz="4" w:space="0" w:color="4BACC6"/>
            </w:tcBorders>
            <w:shd w:val="clear" w:color="000000" w:fill="DBEEF3"/>
            <w:noWrap/>
            <w:vAlign w:val="center"/>
          </w:tcPr>
          <w:p w:rsidR="00BD7626" w:rsidRPr="000063FC" w:rsidRDefault="00BD7626" w:rsidP="0003555A">
            <w:pPr>
              <w:spacing w:line="240" w:lineRule="auto"/>
              <w:jc w:val="center"/>
              <w:rPr>
                <w:rFonts w:asciiTheme="minorHAnsi" w:hAnsiTheme="minorHAnsi" w:cs="Arial"/>
                <w:color w:val="000000"/>
                <w:sz w:val="20"/>
              </w:rPr>
            </w:pPr>
          </w:p>
        </w:tc>
        <w:tc>
          <w:tcPr>
            <w:tcW w:w="1548" w:type="dxa"/>
            <w:tcBorders>
              <w:top w:val="nil"/>
              <w:left w:val="nil"/>
              <w:bottom w:val="single" w:sz="4" w:space="0" w:color="4BACC6"/>
              <w:right w:val="single" w:sz="4" w:space="0" w:color="4BACC6"/>
            </w:tcBorders>
            <w:shd w:val="clear" w:color="000000" w:fill="DBEEF3"/>
            <w:noWrap/>
            <w:vAlign w:val="center"/>
          </w:tcPr>
          <w:p w:rsidR="00BD7626" w:rsidRPr="000063FC" w:rsidRDefault="00BD7626" w:rsidP="0003555A">
            <w:pPr>
              <w:spacing w:line="240" w:lineRule="auto"/>
              <w:jc w:val="center"/>
              <w:rPr>
                <w:rFonts w:asciiTheme="minorHAnsi" w:hAnsiTheme="minorHAnsi" w:cs="Arial"/>
                <w:color w:val="000000"/>
                <w:sz w:val="20"/>
              </w:rPr>
            </w:pPr>
          </w:p>
        </w:tc>
        <w:tc>
          <w:tcPr>
            <w:tcW w:w="1548" w:type="dxa"/>
            <w:tcBorders>
              <w:top w:val="nil"/>
              <w:left w:val="nil"/>
              <w:bottom w:val="single" w:sz="4" w:space="0" w:color="4BACC6"/>
              <w:right w:val="single" w:sz="4" w:space="0" w:color="4BACC6"/>
            </w:tcBorders>
            <w:shd w:val="clear" w:color="000000" w:fill="DBEEF3"/>
            <w:noWrap/>
            <w:vAlign w:val="center"/>
          </w:tcPr>
          <w:p w:rsidR="00BD7626" w:rsidRPr="000063FC" w:rsidRDefault="00BD7626" w:rsidP="0003555A">
            <w:pPr>
              <w:spacing w:line="240" w:lineRule="auto"/>
              <w:jc w:val="center"/>
              <w:rPr>
                <w:rFonts w:asciiTheme="minorHAnsi" w:hAnsiTheme="minorHAnsi" w:cs="Arial"/>
                <w:color w:val="000000"/>
                <w:sz w:val="20"/>
              </w:rPr>
            </w:pP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jc w:val="right"/>
              <w:rPr>
                <w:rFonts w:asciiTheme="minorHAnsi" w:hAnsiTheme="minorHAnsi"/>
                <w:color w:val="000000"/>
                <w:sz w:val="20"/>
                <w:lang w:eastAsia="hr-HR"/>
              </w:rPr>
            </w:pPr>
            <w:r w:rsidRPr="000063FC">
              <w:rPr>
                <w:rFonts w:asciiTheme="minorHAnsi" w:hAnsiTheme="minorHAnsi"/>
                <w:color w:val="000000"/>
                <w:sz w:val="20"/>
                <w:lang w:eastAsia="hr-HR"/>
              </w:rPr>
              <w:t>dizel (uz udio biogoriva)</w:t>
            </w:r>
          </w:p>
        </w:tc>
        <w:tc>
          <w:tcPr>
            <w:tcW w:w="1651"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579,0</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160.844,8</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42.526,9</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jc w:val="right"/>
              <w:rPr>
                <w:rFonts w:asciiTheme="minorHAnsi" w:hAnsiTheme="minorHAnsi"/>
                <w:color w:val="000000"/>
                <w:sz w:val="20"/>
                <w:lang w:eastAsia="hr-HR"/>
              </w:rPr>
            </w:pPr>
            <w:r w:rsidRPr="000063FC">
              <w:rPr>
                <w:rFonts w:asciiTheme="minorHAnsi" w:hAnsiTheme="minorHAnsi"/>
                <w:color w:val="000000"/>
                <w:sz w:val="20"/>
                <w:lang w:eastAsia="hr-HR"/>
              </w:rPr>
              <w:t>biodizel</w:t>
            </w:r>
          </w:p>
        </w:tc>
        <w:tc>
          <w:tcPr>
            <w:tcW w:w="1651"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9,9</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2.739,4</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0,0</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jc w:val="right"/>
              <w:rPr>
                <w:rFonts w:asciiTheme="minorHAnsi" w:hAnsiTheme="minorHAnsi"/>
                <w:color w:val="000000"/>
                <w:sz w:val="20"/>
                <w:lang w:eastAsia="hr-HR"/>
              </w:rPr>
            </w:pPr>
            <w:r w:rsidRPr="000063FC">
              <w:rPr>
                <w:rFonts w:asciiTheme="minorHAnsi" w:hAnsiTheme="minorHAnsi"/>
                <w:color w:val="000000"/>
                <w:sz w:val="20"/>
                <w:lang w:eastAsia="hr-HR"/>
              </w:rPr>
              <w:t>el. energija (šinski transport)</w:t>
            </w:r>
          </w:p>
        </w:tc>
        <w:tc>
          <w:tcPr>
            <w:tcW w:w="1651"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0,2</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63,3</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20.431,1</w:t>
            </w:r>
          </w:p>
        </w:tc>
      </w:tr>
      <w:tr w:rsidR="00BD7626" w:rsidRPr="000063FC" w:rsidTr="0003555A">
        <w:trPr>
          <w:trHeight w:val="227"/>
        </w:trPr>
        <w:tc>
          <w:tcPr>
            <w:tcW w:w="4325" w:type="dxa"/>
            <w:tcBorders>
              <w:top w:val="nil"/>
              <w:left w:val="single" w:sz="4" w:space="0" w:color="4BACC6"/>
              <w:bottom w:val="single" w:sz="4" w:space="0" w:color="4BACC6"/>
              <w:right w:val="single" w:sz="4" w:space="0" w:color="4BACC6"/>
            </w:tcBorders>
            <w:noWrap/>
            <w:vAlign w:val="bottom"/>
          </w:tcPr>
          <w:p w:rsidR="00BD7626" w:rsidRPr="000063FC" w:rsidRDefault="00BD7626" w:rsidP="0003555A">
            <w:pPr>
              <w:spacing w:line="240" w:lineRule="auto"/>
              <w:rPr>
                <w:rFonts w:asciiTheme="minorHAnsi" w:hAnsiTheme="minorHAnsi"/>
                <w:color w:val="000000"/>
                <w:sz w:val="20"/>
                <w:lang w:eastAsia="hr-HR"/>
              </w:rPr>
            </w:pPr>
            <w:r w:rsidRPr="000063FC">
              <w:rPr>
                <w:rFonts w:asciiTheme="minorHAnsi" w:hAnsiTheme="minorHAnsi"/>
                <w:color w:val="000000"/>
                <w:sz w:val="20"/>
                <w:lang w:eastAsia="hr-HR"/>
              </w:rPr>
              <w:t>UKUPNO</w:t>
            </w:r>
          </w:p>
        </w:tc>
        <w:tc>
          <w:tcPr>
            <w:tcW w:w="1651"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589,1</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163.647,5</w:t>
            </w:r>
          </w:p>
        </w:tc>
        <w:tc>
          <w:tcPr>
            <w:tcW w:w="1548" w:type="dxa"/>
            <w:tcBorders>
              <w:top w:val="nil"/>
              <w:left w:val="nil"/>
              <w:bottom w:val="single" w:sz="4" w:space="0" w:color="4BACC6"/>
              <w:right w:val="single" w:sz="4" w:space="0" w:color="4BACC6"/>
            </w:tcBorders>
            <w:noWrap/>
            <w:vAlign w:val="center"/>
          </w:tcPr>
          <w:p w:rsidR="00BD7626" w:rsidRPr="000063FC" w:rsidRDefault="00BD7626" w:rsidP="0003555A">
            <w:pPr>
              <w:spacing w:line="240" w:lineRule="auto"/>
              <w:jc w:val="center"/>
              <w:rPr>
                <w:rFonts w:asciiTheme="minorHAnsi" w:hAnsiTheme="minorHAnsi" w:cs="Arial"/>
                <w:color w:val="000000"/>
                <w:sz w:val="20"/>
              </w:rPr>
            </w:pPr>
            <w:r w:rsidRPr="000063FC">
              <w:rPr>
                <w:rFonts w:asciiTheme="minorHAnsi" w:hAnsiTheme="minorHAnsi" w:cs="Arial"/>
                <w:color w:val="000000"/>
                <w:sz w:val="20"/>
              </w:rPr>
              <w:t>62.958,0</w:t>
            </w:r>
          </w:p>
        </w:tc>
      </w:tr>
      <w:tr w:rsidR="00BD7626" w:rsidRPr="000063FC" w:rsidTr="0003555A">
        <w:trPr>
          <w:trHeight w:val="227"/>
        </w:trPr>
        <w:tc>
          <w:tcPr>
            <w:tcW w:w="4325" w:type="dxa"/>
            <w:tcBorders>
              <w:top w:val="nil"/>
              <w:left w:val="single" w:sz="4" w:space="0" w:color="4BACC6"/>
              <w:bottom w:val="single" w:sz="4" w:space="0" w:color="4BACC6"/>
              <w:right w:val="single" w:sz="4" w:space="0" w:color="FFFFFF"/>
            </w:tcBorders>
            <w:shd w:val="clear" w:color="000000" w:fill="4BACC6"/>
            <w:noWrap/>
            <w:vAlign w:val="center"/>
          </w:tcPr>
          <w:p w:rsidR="00BD7626" w:rsidRPr="000063FC" w:rsidRDefault="00BD7626" w:rsidP="0003555A">
            <w:pPr>
              <w:spacing w:line="240" w:lineRule="auto"/>
              <w:jc w:val="center"/>
              <w:rPr>
                <w:rFonts w:asciiTheme="minorHAnsi" w:hAnsiTheme="minorHAnsi"/>
                <w:b/>
                <w:bCs/>
                <w:color w:val="FFFFFF" w:themeColor="background1"/>
                <w:sz w:val="20"/>
                <w:lang w:eastAsia="hr-HR"/>
              </w:rPr>
            </w:pPr>
            <w:r w:rsidRPr="000063FC">
              <w:rPr>
                <w:rFonts w:asciiTheme="minorHAnsi" w:hAnsiTheme="minorHAnsi"/>
                <w:b/>
                <w:bCs/>
                <w:color w:val="FFFFFF" w:themeColor="background1"/>
                <w:sz w:val="20"/>
                <w:lang w:eastAsia="hr-HR"/>
              </w:rPr>
              <w:t xml:space="preserve">UKUPNO </w:t>
            </w:r>
            <w:r w:rsidR="00E80DFF" w:rsidRPr="000063FC">
              <w:rPr>
                <w:rFonts w:asciiTheme="minorHAnsi" w:hAnsiTheme="minorHAnsi"/>
                <w:b/>
                <w:bCs/>
                <w:color w:val="FFFFFF" w:themeColor="background1"/>
                <w:sz w:val="20"/>
                <w:lang w:eastAsia="hr-HR"/>
              </w:rPr>
              <w:t xml:space="preserve">ZA SEKTOR </w:t>
            </w:r>
            <w:r w:rsidRPr="000063FC">
              <w:rPr>
                <w:rFonts w:asciiTheme="minorHAnsi" w:hAnsiTheme="minorHAnsi"/>
                <w:b/>
                <w:bCs/>
                <w:color w:val="FFFFFF" w:themeColor="background1"/>
                <w:sz w:val="20"/>
                <w:lang w:eastAsia="hr-HR"/>
              </w:rPr>
              <w:t>PROMET</w:t>
            </w:r>
          </w:p>
        </w:tc>
        <w:tc>
          <w:tcPr>
            <w:tcW w:w="1651" w:type="dxa"/>
            <w:tcBorders>
              <w:top w:val="nil"/>
              <w:left w:val="nil"/>
              <w:bottom w:val="single" w:sz="4" w:space="0" w:color="4BACC6"/>
              <w:right w:val="single" w:sz="4" w:space="0" w:color="FFFFFF"/>
            </w:tcBorders>
            <w:shd w:val="clear" w:color="000000" w:fill="4BACC6"/>
            <w:noWrap/>
            <w:vAlign w:val="center"/>
          </w:tcPr>
          <w:p w:rsidR="00BD7626" w:rsidRPr="000063FC" w:rsidRDefault="00BD7626" w:rsidP="0003555A">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15.919,3</w:t>
            </w:r>
          </w:p>
        </w:tc>
        <w:tc>
          <w:tcPr>
            <w:tcW w:w="1548" w:type="dxa"/>
            <w:tcBorders>
              <w:top w:val="nil"/>
              <w:left w:val="nil"/>
              <w:bottom w:val="single" w:sz="4" w:space="0" w:color="4BACC6"/>
              <w:right w:val="single" w:sz="4" w:space="0" w:color="FFFFFF"/>
            </w:tcBorders>
            <w:shd w:val="clear" w:color="000000" w:fill="4BACC6"/>
            <w:noWrap/>
            <w:vAlign w:val="center"/>
          </w:tcPr>
          <w:p w:rsidR="00BD7626" w:rsidRPr="000063FC" w:rsidRDefault="00BD7626" w:rsidP="0003555A">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4.422.020,4</w:t>
            </w:r>
          </w:p>
        </w:tc>
        <w:tc>
          <w:tcPr>
            <w:tcW w:w="1548" w:type="dxa"/>
            <w:tcBorders>
              <w:top w:val="nil"/>
              <w:left w:val="nil"/>
              <w:bottom w:val="single" w:sz="4" w:space="0" w:color="4BACC6"/>
              <w:right w:val="single" w:sz="4" w:space="0" w:color="4BACC6"/>
            </w:tcBorders>
            <w:shd w:val="clear" w:color="000000" w:fill="4BACC6"/>
            <w:noWrap/>
            <w:vAlign w:val="center"/>
          </w:tcPr>
          <w:p w:rsidR="00BD7626" w:rsidRPr="000063FC" w:rsidRDefault="00BD7626" w:rsidP="0003555A">
            <w:pPr>
              <w:spacing w:line="240" w:lineRule="auto"/>
              <w:jc w:val="center"/>
              <w:rPr>
                <w:rFonts w:asciiTheme="minorHAnsi" w:hAnsiTheme="minorHAnsi" w:cs="Arial"/>
                <w:b/>
                <w:color w:val="FFFFFF" w:themeColor="background1"/>
                <w:sz w:val="20"/>
              </w:rPr>
            </w:pPr>
            <w:r w:rsidRPr="000063FC">
              <w:rPr>
                <w:rFonts w:asciiTheme="minorHAnsi" w:hAnsiTheme="minorHAnsi" w:cs="Arial"/>
                <w:b/>
                <w:color w:val="FFFFFF" w:themeColor="background1"/>
                <w:sz w:val="20"/>
              </w:rPr>
              <w:t>1.176.287,1</w:t>
            </w:r>
          </w:p>
        </w:tc>
      </w:tr>
    </w:tbl>
    <w:p w:rsidR="00BD7626" w:rsidRPr="000063FC" w:rsidRDefault="00BD7626" w:rsidP="00BD7626"/>
    <w:p w:rsidR="00BD7626" w:rsidRPr="000063FC" w:rsidRDefault="00E80DFF" w:rsidP="0003555A">
      <w:pPr>
        <w:spacing w:line="276" w:lineRule="auto"/>
      </w:pPr>
      <w:r w:rsidRPr="000063FC">
        <w:t>Scenarij</w:t>
      </w:r>
      <w:r w:rsidR="00BD7626" w:rsidRPr="000063FC">
        <w:t xml:space="preserve"> s mjerama bazira se na procjeni smanjenja energetske potrošnje sektora promet u 2020. godini pre</w:t>
      </w:r>
      <w:r w:rsidR="0003555A" w:rsidRPr="000063FC">
        <w:t>ma mjerama prikazanim</w:t>
      </w:r>
      <w:r w:rsidRPr="000063FC">
        <w:t>a</w:t>
      </w:r>
      <w:r w:rsidR="0003555A" w:rsidRPr="000063FC">
        <w:t xml:space="preserve"> u </w:t>
      </w:r>
      <w:r w:rsidR="00BD7626" w:rsidRPr="000063FC">
        <w:t>poglavlju</w:t>
      </w:r>
      <w:r w:rsidR="0003555A" w:rsidRPr="000063FC">
        <w:t xml:space="preserve"> 6</w:t>
      </w:r>
      <w:r w:rsidR="00BD7626" w:rsidRPr="000063FC">
        <w:t xml:space="preserve">. Mjere su podijeljene po podsektorima te su za svaku mjeru </w:t>
      </w:r>
      <w:r w:rsidRPr="000063FC">
        <w:t xml:space="preserve">dane energetske </w:t>
      </w:r>
      <w:r w:rsidR="00BD7626" w:rsidRPr="000063FC">
        <w:t xml:space="preserve">uštede i potencijali smanjenja emisije </w:t>
      </w:r>
      <w:r w:rsidRPr="000063FC">
        <w:t>CO</w:t>
      </w:r>
      <w:r w:rsidRPr="000063FC">
        <w:rPr>
          <w:vertAlign w:val="subscript"/>
        </w:rPr>
        <w:t>2</w:t>
      </w:r>
      <w:r w:rsidR="0003555A" w:rsidRPr="000063FC">
        <w:t xml:space="preserve">. </w:t>
      </w:r>
      <w:r w:rsidR="00BD7626" w:rsidRPr="000063FC">
        <w:t xml:space="preserve">Na slici </w:t>
      </w:r>
      <w:r w:rsidR="0003555A" w:rsidRPr="000063FC">
        <w:t>3.6</w:t>
      </w:r>
      <w:r w:rsidR="00BD7626" w:rsidRPr="000063FC">
        <w:t xml:space="preserve"> prikazan</w:t>
      </w:r>
      <w:r w:rsidRPr="000063FC">
        <w:t>a</w:t>
      </w:r>
      <w:r w:rsidR="00BD7626" w:rsidRPr="000063FC">
        <w:t xml:space="preserve"> je </w:t>
      </w:r>
      <w:r w:rsidRPr="000063FC">
        <w:t xml:space="preserve">raspodjela </w:t>
      </w:r>
      <w:r w:rsidR="00BD7626" w:rsidRPr="000063FC">
        <w:t xml:space="preserve">potencijala smanjenja emisija </w:t>
      </w:r>
      <w:r w:rsidRPr="000063FC">
        <w:t>CO</w:t>
      </w:r>
      <w:r w:rsidRPr="000063FC">
        <w:rPr>
          <w:vertAlign w:val="subscript"/>
        </w:rPr>
        <w:t>2</w:t>
      </w:r>
      <w:r w:rsidRPr="000063FC">
        <w:t xml:space="preserve"> </w:t>
      </w:r>
      <w:r w:rsidR="00BD7626" w:rsidRPr="000063FC">
        <w:t xml:space="preserve">svakog podsektora ukupnom potencijalu sektora promet. </w:t>
      </w:r>
    </w:p>
    <w:p w:rsidR="00BD7626" w:rsidRPr="000063FC" w:rsidRDefault="00BD7626" w:rsidP="00426890">
      <w:pPr>
        <w:tabs>
          <w:tab w:val="clear" w:pos="720"/>
          <w:tab w:val="clear" w:pos="6912"/>
        </w:tabs>
        <w:spacing w:line="240" w:lineRule="auto"/>
        <w:jc w:val="left"/>
      </w:pPr>
    </w:p>
    <w:p w:rsidR="00BD7626" w:rsidRPr="000063FC" w:rsidRDefault="0003555A" w:rsidP="0003555A">
      <w:pPr>
        <w:tabs>
          <w:tab w:val="clear" w:pos="720"/>
          <w:tab w:val="clear" w:pos="6912"/>
        </w:tabs>
        <w:spacing w:line="240" w:lineRule="auto"/>
        <w:jc w:val="center"/>
        <w:rPr>
          <w:szCs w:val="22"/>
        </w:rPr>
      </w:pPr>
      <w:r w:rsidRPr="000063FC">
        <w:rPr>
          <w:noProof/>
          <w:szCs w:val="22"/>
          <w:lang w:eastAsia="hr-HR"/>
        </w:rPr>
        <w:lastRenderedPageBreak/>
        <w:drawing>
          <wp:inline distT="0" distB="0" distL="0" distR="0">
            <wp:extent cx="4829175" cy="1905000"/>
            <wp:effectExtent l="19050" t="0" r="0" b="0"/>
            <wp:docPr id="2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03555A" w:rsidRDefault="0003555A" w:rsidP="0003555A">
      <w:pPr>
        <w:pStyle w:val="Heading7"/>
      </w:pPr>
      <w:bookmarkStart w:id="241" w:name="_Toc251161807"/>
      <w:bookmarkStart w:id="242" w:name="_Toc254010305"/>
      <w:r w:rsidRPr="000063FC">
        <w:t>Slika 3.6: Raspodjela potencijala smanjenja emisije CO</w:t>
      </w:r>
      <w:r w:rsidRPr="000063FC">
        <w:rPr>
          <w:vertAlign w:val="subscript"/>
        </w:rPr>
        <w:t>2</w:t>
      </w:r>
      <w:r w:rsidRPr="000063FC">
        <w:t xml:space="preserve"> sektora promet</w:t>
      </w:r>
      <w:bookmarkEnd w:id="241"/>
      <w:bookmarkEnd w:id="242"/>
    </w:p>
    <w:p w:rsidR="00D1558D" w:rsidRPr="00D1558D" w:rsidRDefault="00D1558D" w:rsidP="00D1558D"/>
    <w:p w:rsidR="0003555A" w:rsidRPr="000063FC" w:rsidRDefault="0003555A" w:rsidP="0003555A">
      <w:pPr>
        <w:spacing w:line="276" w:lineRule="auto"/>
        <w:rPr>
          <w:rFonts w:cs="Arial"/>
          <w:szCs w:val="22"/>
        </w:rPr>
      </w:pPr>
      <w:r w:rsidRPr="000063FC">
        <w:t>Ukupan potencijal smanjenja emisija sektora promet iznosi 181.082,4 t CO</w:t>
      </w:r>
      <w:r w:rsidRPr="000063FC">
        <w:rPr>
          <w:vertAlign w:val="subscript"/>
        </w:rPr>
        <w:t>2</w:t>
      </w:r>
      <w:r w:rsidR="00E80DFF" w:rsidRPr="000063FC">
        <w:t>. Podsektor o</w:t>
      </w:r>
      <w:r w:rsidRPr="000063FC">
        <w:t xml:space="preserve">sobna i komercijalna vozila </w:t>
      </w:r>
      <w:r w:rsidR="00E80DFF" w:rsidRPr="000063FC">
        <w:t>doprinosi ukupnom potencijalu s 96,3%, (</w:t>
      </w:r>
      <w:r w:rsidRPr="000063FC">
        <w:rPr>
          <w:rFonts w:cs="Arial"/>
          <w:color w:val="000000"/>
          <w:szCs w:val="22"/>
          <w:lang w:eastAsia="hr-HR"/>
        </w:rPr>
        <w:t xml:space="preserve">288.844,2 </w:t>
      </w:r>
      <w:r w:rsidRPr="000063FC">
        <w:rPr>
          <w:rFonts w:cs="Arial"/>
          <w:szCs w:val="22"/>
        </w:rPr>
        <w:t>t CO</w:t>
      </w:r>
      <w:r w:rsidRPr="000063FC">
        <w:rPr>
          <w:rFonts w:cs="Arial"/>
          <w:szCs w:val="22"/>
          <w:vertAlign w:val="subscript"/>
        </w:rPr>
        <w:t>2</w:t>
      </w:r>
      <w:r w:rsidR="00E80DFF" w:rsidRPr="000063FC">
        <w:rPr>
          <w:rFonts w:cs="Arial"/>
          <w:szCs w:val="22"/>
        </w:rPr>
        <w:t>), javni prijevoz s</w:t>
      </w:r>
      <w:r w:rsidRPr="000063FC">
        <w:rPr>
          <w:rFonts w:cs="Arial"/>
          <w:szCs w:val="22"/>
        </w:rPr>
        <w:t xml:space="preserve"> 3,5% </w:t>
      </w:r>
      <w:r w:rsidR="00E80DFF" w:rsidRPr="000063FC">
        <w:rPr>
          <w:rFonts w:cs="Arial"/>
          <w:szCs w:val="22"/>
        </w:rPr>
        <w:t>(</w:t>
      </w:r>
      <w:r w:rsidRPr="000063FC">
        <w:rPr>
          <w:rFonts w:cs="Arial"/>
          <w:color w:val="000000"/>
          <w:szCs w:val="22"/>
          <w:lang w:eastAsia="hr-HR"/>
        </w:rPr>
        <w:t>10.407,88</w:t>
      </w:r>
      <w:r w:rsidR="00E80DFF" w:rsidRPr="000063FC">
        <w:rPr>
          <w:rFonts w:cs="Arial"/>
          <w:szCs w:val="22"/>
        </w:rPr>
        <w:t xml:space="preserve"> t CO</w:t>
      </w:r>
      <w:r w:rsidR="00E80DFF" w:rsidRPr="000063FC">
        <w:rPr>
          <w:rFonts w:cs="Arial"/>
          <w:szCs w:val="22"/>
          <w:vertAlign w:val="subscript"/>
        </w:rPr>
        <w:t>2</w:t>
      </w:r>
      <w:r w:rsidR="00E80DFF" w:rsidRPr="000063FC">
        <w:rPr>
          <w:rFonts w:cs="Arial"/>
          <w:szCs w:val="22"/>
        </w:rPr>
        <w:t>)</w:t>
      </w:r>
      <w:r w:rsidRPr="000063FC">
        <w:rPr>
          <w:rFonts w:cs="Arial"/>
          <w:szCs w:val="22"/>
        </w:rPr>
        <w:t xml:space="preserve">, dok ostatak od </w:t>
      </w:r>
      <w:r w:rsidRPr="000063FC">
        <w:rPr>
          <w:rFonts w:cs="Arial"/>
          <w:color w:val="000000"/>
          <w:szCs w:val="22"/>
          <w:lang w:eastAsia="hr-HR"/>
        </w:rPr>
        <w:t>570,99</w:t>
      </w:r>
      <w:r w:rsidRPr="000063FC">
        <w:rPr>
          <w:rFonts w:cs="Arial"/>
          <w:szCs w:val="22"/>
        </w:rPr>
        <w:t xml:space="preserve"> t CO</w:t>
      </w:r>
      <w:r w:rsidRPr="000063FC">
        <w:rPr>
          <w:rFonts w:cs="Arial"/>
          <w:szCs w:val="22"/>
          <w:vertAlign w:val="subscript"/>
        </w:rPr>
        <w:t>2</w:t>
      </w:r>
      <w:r w:rsidRPr="000063FC">
        <w:rPr>
          <w:rFonts w:cs="Arial"/>
          <w:szCs w:val="22"/>
        </w:rPr>
        <w:t xml:space="preserve"> </w:t>
      </w:r>
      <w:r w:rsidR="00E80DFF" w:rsidRPr="000063FC">
        <w:rPr>
          <w:rFonts w:cs="Arial"/>
          <w:szCs w:val="22"/>
        </w:rPr>
        <w:t>otpada na podsektor javnog prijevoza</w:t>
      </w:r>
      <w:r w:rsidRPr="000063FC">
        <w:rPr>
          <w:rFonts w:cs="Arial"/>
          <w:szCs w:val="22"/>
        </w:rPr>
        <w:t xml:space="preserve">. </w:t>
      </w:r>
    </w:p>
    <w:p w:rsidR="0003555A" w:rsidRPr="000063FC" w:rsidRDefault="0003555A" w:rsidP="0003555A">
      <w:pPr>
        <w:spacing w:line="276" w:lineRule="auto"/>
      </w:pPr>
    </w:p>
    <w:p w:rsidR="0003555A" w:rsidRPr="000063FC" w:rsidRDefault="0003555A" w:rsidP="0003555A">
      <w:pPr>
        <w:spacing w:line="276" w:lineRule="auto"/>
      </w:pPr>
      <w:r w:rsidRPr="000063FC">
        <w:t xml:space="preserve">U tablici </w:t>
      </w:r>
      <w:r w:rsidR="007168B8" w:rsidRPr="000063FC">
        <w:t>3.13</w:t>
      </w:r>
      <w:r w:rsidRPr="000063FC">
        <w:t xml:space="preserve"> prikazane su </w:t>
      </w:r>
      <w:r w:rsidR="00E80DFF" w:rsidRPr="000063FC">
        <w:t xml:space="preserve">projekcije </w:t>
      </w:r>
      <w:r w:rsidRPr="000063FC">
        <w:t>potrošnje energije te emisije scenarija s mjerama za sektor prometa</w:t>
      </w:r>
      <w:r w:rsidR="00E80DFF" w:rsidRPr="000063FC">
        <w:t xml:space="preserve"> u 2020. godini</w:t>
      </w:r>
      <w:r w:rsidRPr="000063FC">
        <w:t>.</w:t>
      </w:r>
    </w:p>
    <w:p w:rsidR="00E8765C" w:rsidRPr="000063FC" w:rsidRDefault="00E8765C">
      <w:pPr>
        <w:tabs>
          <w:tab w:val="clear" w:pos="720"/>
          <w:tab w:val="clear" w:pos="6912"/>
        </w:tabs>
        <w:spacing w:line="240" w:lineRule="auto"/>
        <w:jc w:val="left"/>
        <w:rPr>
          <w:szCs w:val="22"/>
        </w:rPr>
      </w:pPr>
    </w:p>
    <w:p w:rsidR="007168B8" w:rsidRPr="000063FC" w:rsidRDefault="007168B8" w:rsidP="00B33E2F">
      <w:pPr>
        <w:pStyle w:val="Heading6"/>
      </w:pPr>
      <w:bookmarkStart w:id="243" w:name="_Toc251161358"/>
      <w:bookmarkStart w:id="244" w:name="_Toc254010269"/>
      <w:r w:rsidRPr="000063FC">
        <w:t>Tablica 3.13: Projekcija potrošnje energij</w:t>
      </w:r>
      <w:r w:rsidR="00E80DFF" w:rsidRPr="000063FC">
        <w:t>e i emisija za 2020. godinu za s</w:t>
      </w:r>
      <w:r w:rsidRPr="000063FC">
        <w:t>cenarij s mjerama</w:t>
      </w:r>
      <w:bookmarkEnd w:id="243"/>
      <w:bookmarkEnd w:id="244"/>
    </w:p>
    <w:tbl>
      <w:tblPr>
        <w:tblW w:w="9072" w:type="dxa"/>
        <w:tblInd w:w="108" w:type="dxa"/>
        <w:tblLook w:val="00A0" w:firstRow="1" w:lastRow="0" w:firstColumn="1" w:lastColumn="0" w:noHBand="0" w:noVBand="0"/>
      </w:tblPr>
      <w:tblGrid>
        <w:gridCol w:w="4325"/>
        <w:gridCol w:w="1651"/>
        <w:gridCol w:w="1548"/>
        <w:gridCol w:w="1548"/>
      </w:tblGrid>
      <w:tr w:rsidR="007168B8" w:rsidRPr="000063FC" w:rsidTr="006129DB">
        <w:trPr>
          <w:trHeight w:hRule="exact" w:val="286"/>
        </w:trPr>
        <w:tc>
          <w:tcPr>
            <w:tcW w:w="4325" w:type="dxa"/>
            <w:vMerge w:val="restart"/>
            <w:tcBorders>
              <w:top w:val="single" w:sz="4" w:space="0" w:color="4BACC6"/>
              <w:left w:val="single" w:sz="4" w:space="0" w:color="4BACC6"/>
              <w:bottom w:val="single" w:sz="4" w:space="0" w:color="4BACC6"/>
              <w:right w:val="single" w:sz="4" w:space="0" w:color="FFFFFF"/>
            </w:tcBorders>
            <w:shd w:val="clear" w:color="000000" w:fill="4BACC6"/>
            <w:vAlign w:val="center"/>
          </w:tcPr>
          <w:p w:rsidR="007168B8" w:rsidRPr="000063FC" w:rsidRDefault="007168B8" w:rsidP="006129DB">
            <w:pPr>
              <w:jc w:val="center"/>
              <w:rPr>
                <w:b/>
                <w:bCs/>
                <w:color w:val="FFFFFF"/>
                <w:sz w:val="20"/>
                <w:lang w:eastAsia="hr-HR"/>
              </w:rPr>
            </w:pPr>
            <w:r w:rsidRPr="000063FC">
              <w:rPr>
                <w:b/>
                <w:bCs/>
                <w:color w:val="FFFFFF"/>
                <w:sz w:val="20"/>
                <w:lang w:eastAsia="hr-HR"/>
              </w:rPr>
              <w:t>Projekcije u 2020. godinu sektora promet Scenarija s mjerama</w:t>
            </w:r>
          </w:p>
        </w:tc>
        <w:tc>
          <w:tcPr>
            <w:tcW w:w="3199" w:type="dxa"/>
            <w:gridSpan w:val="2"/>
            <w:tcBorders>
              <w:top w:val="single" w:sz="4" w:space="0" w:color="4BACC6"/>
              <w:left w:val="nil"/>
              <w:bottom w:val="single" w:sz="4" w:space="0" w:color="FFFFFF"/>
              <w:right w:val="single" w:sz="4" w:space="0" w:color="FFFFFF"/>
            </w:tcBorders>
            <w:shd w:val="clear" w:color="000000" w:fill="4BACC6"/>
            <w:noWrap/>
            <w:vAlign w:val="bottom"/>
          </w:tcPr>
          <w:p w:rsidR="007168B8" w:rsidRPr="000063FC" w:rsidRDefault="007168B8" w:rsidP="006129DB">
            <w:pPr>
              <w:jc w:val="center"/>
              <w:rPr>
                <w:b/>
                <w:bCs/>
                <w:color w:val="FFFFFF"/>
                <w:sz w:val="20"/>
                <w:lang w:eastAsia="hr-HR"/>
              </w:rPr>
            </w:pPr>
            <w:r w:rsidRPr="000063FC">
              <w:rPr>
                <w:b/>
                <w:bCs/>
                <w:color w:val="FFFFFF"/>
                <w:sz w:val="20"/>
                <w:lang w:eastAsia="hr-HR"/>
              </w:rPr>
              <w:t>Potrošnja energije</w:t>
            </w:r>
          </w:p>
        </w:tc>
        <w:tc>
          <w:tcPr>
            <w:tcW w:w="1548" w:type="dxa"/>
            <w:tcBorders>
              <w:top w:val="single" w:sz="4" w:space="0" w:color="4BACC6"/>
              <w:left w:val="single" w:sz="4" w:space="0" w:color="FFFFFF"/>
              <w:bottom w:val="single" w:sz="4" w:space="0" w:color="FFFFFF"/>
              <w:right w:val="single" w:sz="4" w:space="0" w:color="4BACC6"/>
            </w:tcBorders>
            <w:shd w:val="clear" w:color="000000" w:fill="4BACC6"/>
            <w:vAlign w:val="bottom"/>
          </w:tcPr>
          <w:p w:rsidR="007168B8" w:rsidRPr="000063FC" w:rsidRDefault="007168B8" w:rsidP="006129DB">
            <w:pPr>
              <w:jc w:val="center"/>
              <w:rPr>
                <w:b/>
                <w:bCs/>
                <w:color w:val="FFFFFF"/>
                <w:sz w:val="20"/>
                <w:lang w:eastAsia="hr-HR"/>
              </w:rPr>
            </w:pPr>
            <w:r w:rsidRPr="000063FC">
              <w:rPr>
                <w:b/>
                <w:bCs/>
                <w:color w:val="FFFFFF"/>
                <w:sz w:val="20"/>
                <w:lang w:eastAsia="hr-HR"/>
              </w:rPr>
              <w:t>Emisija</w:t>
            </w:r>
          </w:p>
        </w:tc>
      </w:tr>
      <w:tr w:rsidR="007168B8" w:rsidRPr="000063FC" w:rsidTr="006129DB">
        <w:trPr>
          <w:trHeight w:hRule="exact" w:val="291"/>
        </w:trPr>
        <w:tc>
          <w:tcPr>
            <w:tcW w:w="4325" w:type="dxa"/>
            <w:vMerge/>
            <w:tcBorders>
              <w:top w:val="single" w:sz="4" w:space="0" w:color="4BACC6"/>
              <w:left w:val="single" w:sz="4" w:space="0" w:color="4BACC6"/>
              <w:bottom w:val="single" w:sz="4" w:space="0" w:color="4BACC6"/>
              <w:right w:val="single" w:sz="4" w:space="0" w:color="FFFFFF"/>
            </w:tcBorders>
            <w:vAlign w:val="center"/>
          </w:tcPr>
          <w:p w:rsidR="007168B8" w:rsidRPr="000063FC" w:rsidRDefault="007168B8" w:rsidP="006129DB">
            <w:pPr>
              <w:rPr>
                <w:b/>
                <w:bCs/>
                <w:color w:val="FFFFFF"/>
                <w:sz w:val="20"/>
                <w:lang w:eastAsia="hr-HR"/>
              </w:rPr>
            </w:pPr>
          </w:p>
        </w:tc>
        <w:tc>
          <w:tcPr>
            <w:tcW w:w="1651" w:type="dxa"/>
            <w:tcBorders>
              <w:top w:val="nil"/>
              <w:left w:val="nil"/>
              <w:bottom w:val="single" w:sz="4" w:space="0" w:color="4BACC6"/>
              <w:right w:val="single" w:sz="4" w:space="0" w:color="FFFFFF"/>
            </w:tcBorders>
            <w:shd w:val="clear" w:color="000000" w:fill="4BACC6"/>
            <w:vAlign w:val="bottom"/>
          </w:tcPr>
          <w:p w:rsidR="007168B8" w:rsidRPr="000063FC" w:rsidRDefault="007168B8" w:rsidP="006129DB">
            <w:pPr>
              <w:jc w:val="center"/>
              <w:rPr>
                <w:b/>
                <w:bCs/>
                <w:color w:val="FFFFFF"/>
                <w:sz w:val="20"/>
                <w:lang w:eastAsia="hr-HR"/>
              </w:rPr>
            </w:pPr>
            <w:r w:rsidRPr="000063FC">
              <w:rPr>
                <w:b/>
                <w:bCs/>
                <w:color w:val="FFFFFF"/>
                <w:sz w:val="20"/>
                <w:lang w:eastAsia="hr-HR"/>
              </w:rPr>
              <w:t>TJ</w:t>
            </w:r>
          </w:p>
        </w:tc>
        <w:tc>
          <w:tcPr>
            <w:tcW w:w="1548" w:type="dxa"/>
            <w:tcBorders>
              <w:top w:val="nil"/>
              <w:left w:val="single" w:sz="4" w:space="0" w:color="FFFFFF"/>
              <w:bottom w:val="single" w:sz="4" w:space="0" w:color="4BACC6"/>
              <w:right w:val="single" w:sz="4" w:space="0" w:color="FFFFFF"/>
            </w:tcBorders>
            <w:shd w:val="clear" w:color="000000" w:fill="4BACC6"/>
            <w:vAlign w:val="bottom"/>
          </w:tcPr>
          <w:p w:rsidR="007168B8" w:rsidRPr="000063FC" w:rsidRDefault="007168B8" w:rsidP="006129DB">
            <w:pPr>
              <w:jc w:val="center"/>
              <w:rPr>
                <w:b/>
                <w:bCs/>
                <w:color w:val="FFFFFF"/>
                <w:sz w:val="20"/>
                <w:lang w:eastAsia="hr-HR"/>
              </w:rPr>
            </w:pPr>
            <w:r w:rsidRPr="000063FC">
              <w:rPr>
                <w:b/>
                <w:bCs/>
                <w:color w:val="FFFFFF"/>
                <w:sz w:val="20"/>
                <w:lang w:eastAsia="hr-HR"/>
              </w:rPr>
              <w:t>MWh</w:t>
            </w:r>
          </w:p>
        </w:tc>
        <w:tc>
          <w:tcPr>
            <w:tcW w:w="1548" w:type="dxa"/>
            <w:tcBorders>
              <w:top w:val="nil"/>
              <w:left w:val="single" w:sz="4" w:space="0" w:color="FFFFFF"/>
              <w:bottom w:val="single" w:sz="4" w:space="0" w:color="4BACC6"/>
              <w:right w:val="single" w:sz="4" w:space="0" w:color="4BACC6"/>
            </w:tcBorders>
            <w:shd w:val="clear" w:color="000000" w:fill="4BACC6"/>
            <w:vAlign w:val="bottom"/>
          </w:tcPr>
          <w:p w:rsidR="007168B8" w:rsidRPr="000063FC" w:rsidRDefault="007168B8" w:rsidP="006129DB">
            <w:pPr>
              <w:jc w:val="center"/>
              <w:rPr>
                <w:b/>
                <w:bCs/>
                <w:color w:val="FFFFFF"/>
                <w:sz w:val="20"/>
                <w:lang w:eastAsia="hr-HR"/>
              </w:rPr>
            </w:pPr>
            <w:r w:rsidRPr="000063FC">
              <w:rPr>
                <w:b/>
                <w:bCs/>
                <w:color w:val="FFFFFF"/>
                <w:sz w:val="20"/>
                <w:lang w:eastAsia="hr-HR"/>
              </w:rPr>
              <w:t>t CO</w:t>
            </w:r>
            <w:r w:rsidRPr="000063FC">
              <w:rPr>
                <w:b/>
                <w:bCs/>
                <w:color w:val="FFFFFF"/>
                <w:sz w:val="20"/>
                <w:vertAlign w:val="subscript"/>
                <w:lang w:eastAsia="hr-HR"/>
              </w:rPr>
              <w:t>2</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shd w:val="clear" w:color="000000" w:fill="DBEEF3"/>
            <w:vAlign w:val="bottom"/>
          </w:tcPr>
          <w:p w:rsidR="007168B8" w:rsidRPr="000063FC" w:rsidRDefault="007168B8" w:rsidP="006129DB">
            <w:pPr>
              <w:rPr>
                <w:color w:val="000000"/>
                <w:sz w:val="20"/>
                <w:lang w:eastAsia="hr-HR"/>
              </w:rPr>
            </w:pPr>
            <w:r w:rsidRPr="000063FC">
              <w:rPr>
                <w:color w:val="000000"/>
                <w:sz w:val="20"/>
                <w:lang w:eastAsia="hr-HR"/>
              </w:rPr>
              <w:t xml:space="preserve">Osobna i komercijalna vozila </w:t>
            </w:r>
          </w:p>
        </w:tc>
        <w:tc>
          <w:tcPr>
            <w:tcW w:w="1651" w:type="dxa"/>
            <w:tcBorders>
              <w:top w:val="nil"/>
              <w:left w:val="nil"/>
              <w:bottom w:val="single" w:sz="4" w:space="0" w:color="4BACC6"/>
              <w:right w:val="single" w:sz="4" w:space="0" w:color="4BACC6"/>
            </w:tcBorders>
            <w:shd w:val="clear" w:color="000000" w:fill="DBEEF3"/>
            <w:noWrap/>
            <w:vAlign w:val="bottom"/>
          </w:tcPr>
          <w:p w:rsidR="007168B8" w:rsidRPr="000063FC" w:rsidRDefault="007168B8" w:rsidP="006129DB">
            <w:pPr>
              <w:jc w:val="center"/>
              <w:rPr>
                <w:color w:val="000000"/>
                <w:sz w:val="20"/>
                <w:lang w:eastAsia="hr-HR"/>
              </w:rPr>
            </w:pPr>
            <w:r w:rsidRPr="000063FC">
              <w:rPr>
                <w:color w:val="000000"/>
                <w:sz w:val="20"/>
                <w:lang w:eastAsia="hr-HR"/>
              </w:rPr>
              <w:t> </w:t>
            </w:r>
          </w:p>
        </w:tc>
        <w:tc>
          <w:tcPr>
            <w:tcW w:w="1548" w:type="dxa"/>
            <w:tcBorders>
              <w:top w:val="nil"/>
              <w:left w:val="nil"/>
              <w:bottom w:val="single" w:sz="4" w:space="0" w:color="4BACC6"/>
              <w:right w:val="single" w:sz="4" w:space="0" w:color="4BACC6"/>
            </w:tcBorders>
            <w:shd w:val="clear" w:color="000000" w:fill="DBEEF3"/>
            <w:noWrap/>
            <w:vAlign w:val="bottom"/>
          </w:tcPr>
          <w:p w:rsidR="007168B8" w:rsidRPr="000063FC" w:rsidRDefault="007168B8" w:rsidP="006129DB">
            <w:pPr>
              <w:jc w:val="center"/>
              <w:rPr>
                <w:color w:val="000000"/>
                <w:sz w:val="20"/>
                <w:lang w:eastAsia="hr-HR"/>
              </w:rPr>
            </w:pPr>
            <w:r w:rsidRPr="000063FC">
              <w:rPr>
                <w:color w:val="000000"/>
                <w:sz w:val="20"/>
                <w:lang w:eastAsia="hr-HR"/>
              </w:rPr>
              <w:t> </w:t>
            </w:r>
          </w:p>
        </w:tc>
        <w:tc>
          <w:tcPr>
            <w:tcW w:w="1548" w:type="dxa"/>
            <w:tcBorders>
              <w:top w:val="nil"/>
              <w:left w:val="nil"/>
              <w:bottom w:val="single" w:sz="4" w:space="0" w:color="4BACC6"/>
              <w:right w:val="single" w:sz="4" w:space="0" w:color="4BACC6"/>
            </w:tcBorders>
            <w:shd w:val="clear" w:color="000000" w:fill="DBEEF3"/>
            <w:noWrap/>
            <w:vAlign w:val="bottom"/>
          </w:tcPr>
          <w:p w:rsidR="007168B8" w:rsidRPr="000063FC" w:rsidRDefault="007168B8" w:rsidP="006129DB">
            <w:pPr>
              <w:jc w:val="center"/>
              <w:rPr>
                <w:color w:val="000000"/>
                <w:sz w:val="20"/>
                <w:lang w:eastAsia="hr-HR"/>
              </w:rPr>
            </w:pP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lang w:eastAsia="hr-HR"/>
              </w:rPr>
            </w:pPr>
            <w:r w:rsidRPr="000063FC">
              <w:rPr>
                <w:rFonts w:cs="Arial"/>
                <w:color w:val="000000"/>
                <w:sz w:val="18"/>
                <w:szCs w:val="18"/>
                <w:lang w:eastAsia="hr-HR"/>
              </w:rPr>
              <w:t>benzin (uz udio biogoriva)</w:t>
            </w:r>
          </w:p>
        </w:tc>
        <w:tc>
          <w:tcPr>
            <w:tcW w:w="1651"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4.575,9</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1.271.087,2</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rPr>
            </w:pPr>
            <w:r w:rsidRPr="000063FC">
              <w:rPr>
                <w:rFonts w:cs="Arial"/>
                <w:color w:val="000000"/>
                <w:sz w:val="18"/>
                <w:szCs w:val="18"/>
              </w:rPr>
              <w:t>331.444,6</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lang w:eastAsia="hr-HR"/>
              </w:rPr>
            </w:pPr>
            <w:r w:rsidRPr="000063FC">
              <w:rPr>
                <w:rFonts w:cs="Arial"/>
                <w:color w:val="000000"/>
                <w:sz w:val="18"/>
                <w:szCs w:val="18"/>
                <w:lang w:eastAsia="hr-HR"/>
              </w:rPr>
              <w:t>dizel (uz udio biogoriva)</w:t>
            </w:r>
          </w:p>
        </w:tc>
        <w:tc>
          <w:tcPr>
            <w:tcW w:w="1651"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6.305,6</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1.751.553,3</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rPr>
            </w:pPr>
            <w:r w:rsidRPr="000063FC">
              <w:rPr>
                <w:rFonts w:cs="Arial"/>
                <w:color w:val="000000"/>
                <w:sz w:val="18"/>
                <w:szCs w:val="18"/>
              </w:rPr>
              <w:t>465.200,7</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lang w:eastAsia="hr-HR"/>
              </w:rPr>
            </w:pPr>
            <w:r w:rsidRPr="000063FC">
              <w:rPr>
                <w:rFonts w:cs="Arial"/>
                <w:color w:val="000000"/>
                <w:sz w:val="18"/>
                <w:szCs w:val="18"/>
                <w:lang w:eastAsia="hr-HR"/>
              </w:rPr>
              <w:t>lpg</w:t>
            </w:r>
          </w:p>
        </w:tc>
        <w:tc>
          <w:tcPr>
            <w:tcW w:w="1651"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120,1</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33.363,2</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rPr>
            </w:pPr>
            <w:r w:rsidRPr="000063FC">
              <w:rPr>
                <w:rFonts w:cs="Arial"/>
                <w:color w:val="000000"/>
                <w:sz w:val="18"/>
                <w:szCs w:val="18"/>
              </w:rPr>
              <w:t>9.383,2</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lang w:eastAsia="hr-HR"/>
              </w:rPr>
            </w:pPr>
            <w:r w:rsidRPr="000063FC">
              <w:rPr>
                <w:rFonts w:cs="Arial"/>
                <w:color w:val="000000"/>
                <w:sz w:val="18"/>
                <w:szCs w:val="18"/>
                <w:lang w:eastAsia="hr-HR"/>
              </w:rPr>
              <w:t>Biogoriva</w:t>
            </w:r>
          </w:p>
        </w:tc>
        <w:tc>
          <w:tcPr>
            <w:tcW w:w="1651" w:type="dxa"/>
            <w:tcBorders>
              <w:top w:val="nil"/>
              <w:left w:val="nil"/>
              <w:bottom w:val="nil"/>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1.530,5</w:t>
            </w:r>
          </w:p>
        </w:tc>
        <w:tc>
          <w:tcPr>
            <w:tcW w:w="1548"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425.125,2</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rPr>
            </w:pPr>
            <w:r w:rsidRPr="000063FC">
              <w:rPr>
                <w:rFonts w:cs="Arial"/>
                <w:color w:val="000000"/>
                <w:sz w:val="18"/>
                <w:szCs w:val="18"/>
              </w:rPr>
              <w:t>0,0</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rPr>
                <w:rFonts w:cs="Arial"/>
                <w:color w:val="000000"/>
                <w:sz w:val="18"/>
                <w:szCs w:val="18"/>
                <w:lang w:eastAsia="hr-HR"/>
              </w:rPr>
            </w:pPr>
            <w:r w:rsidRPr="000063FC">
              <w:rPr>
                <w:rFonts w:cs="Arial"/>
                <w:color w:val="000000"/>
                <w:sz w:val="18"/>
                <w:szCs w:val="18"/>
                <w:lang w:eastAsia="hr-HR"/>
              </w:rPr>
              <w:t>UKUPNO</w:t>
            </w:r>
          </w:p>
        </w:tc>
        <w:tc>
          <w:tcPr>
            <w:tcW w:w="1651" w:type="dxa"/>
            <w:tcBorders>
              <w:top w:val="single" w:sz="4" w:space="0" w:color="4BACC6"/>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11.001,6</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3.056.003,8</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806.028,4</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shd w:val="clear" w:color="000000" w:fill="DBEEF3"/>
            <w:noWrap/>
            <w:vAlign w:val="bottom"/>
          </w:tcPr>
          <w:p w:rsidR="007168B8" w:rsidRPr="000063FC" w:rsidRDefault="007168B8" w:rsidP="006129DB">
            <w:pPr>
              <w:rPr>
                <w:rFonts w:cs="Arial"/>
                <w:color w:val="000000"/>
                <w:sz w:val="18"/>
                <w:szCs w:val="18"/>
                <w:lang w:eastAsia="hr-HR"/>
              </w:rPr>
            </w:pPr>
            <w:r w:rsidRPr="000063FC">
              <w:rPr>
                <w:rFonts w:cs="Arial"/>
                <w:color w:val="000000"/>
                <w:sz w:val="18"/>
                <w:szCs w:val="18"/>
                <w:lang w:eastAsia="hr-HR"/>
              </w:rPr>
              <w:t>Vozila u vlasništvu Grada</w:t>
            </w:r>
          </w:p>
        </w:tc>
        <w:tc>
          <w:tcPr>
            <w:tcW w:w="1651" w:type="dxa"/>
            <w:tcBorders>
              <w:top w:val="nil"/>
              <w:left w:val="nil"/>
              <w:bottom w:val="single" w:sz="4" w:space="0" w:color="4BACC6"/>
              <w:right w:val="single" w:sz="4" w:space="0" w:color="4BACC6"/>
            </w:tcBorders>
            <w:shd w:val="clear" w:color="000000" w:fill="DBEEF3"/>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 </w:t>
            </w:r>
          </w:p>
        </w:tc>
        <w:tc>
          <w:tcPr>
            <w:tcW w:w="1548" w:type="dxa"/>
            <w:tcBorders>
              <w:top w:val="nil"/>
              <w:left w:val="nil"/>
              <w:bottom w:val="single" w:sz="4" w:space="0" w:color="4BACC6"/>
              <w:right w:val="single" w:sz="4" w:space="0" w:color="4BACC6"/>
            </w:tcBorders>
            <w:shd w:val="clear" w:color="000000" w:fill="DBEEF3"/>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 </w:t>
            </w:r>
          </w:p>
        </w:tc>
        <w:tc>
          <w:tcPr>
            <w:tcW w:w="1548" w:type="dxa"/>
            <w:tcBorders>
              <w:top w:val="nil"/>
              <w:left w:val="nil"/>
              <w:bottom w:val="single" w:sz="4" w:space="0" w:color="4BACC6"/>
              <w:right w:val="single" w:sz="4" w:space="0" w:color="4BACC6"/>
            </w:tcBorders>
            <w:shd w:val="clear" w:color="000000" w:fill="DBEEF3"/>
            <w:noWrap/>
            <w:vAlign w:val="bottom"/>
          </w:tcPr>
          <w:p w:rsidR="007168B8" w:rsidRPr="000063FC" w:rsidRDefault="007168B8" w:rsidP="006129DB">
            <w:pPr>
              <w:rPr>
                <w:rFonts w:cs="Arial"/>
                <w:color w:val="000000"/>
                <w:sz w:val="18"/>
                <w:szCs w:val="18"/>
              </w:rPr>
            </w:pPr>
            <w:r w:rsidRPr="000063FC">
              <w:rPr>
                <w:rFonts w:cs="Arial"/>
                <w:color w:val="000000"/>
                <w:sz w:val="18"/>
                <w:szCs w:val="18"/>
              </w:rPr>
              <w:t> </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lang w:eastAsia="hr-HR"/>
              </w:rPr>
            </w:pPr>
            <w:r w:rsidRPr="000063FC">
              <w:rPr>
                <w:rFonts w:cs="Arial"/>
                <w:color w:val="000000"/>
                <w:sz w:val="18"/>
                <w:szCs w:val="18"/>
                <w:lang w:eastAsia="hr-HR"/>
              </w:rPr>
              <w:t>benzin (uz udio biogoriva)</w:t>
            </w:r>
          </w:p>
        </w:tc>
        <w:tc>
          <w:tcPr>
            <w:tcW w:w="1651"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18,2</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5.054,3</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rPr>
            </w:pPr>
            <w:r w:rsidRPr="000063FC">
              <w:rPr>
                <w:rFonts w:cs="Arial"/>
                <w:color w:val="000000"/>
                <w:sz w:val="18"/>
                <w:szCs w:val="18"/>
              </w:rPr>
              <w:t>1.212,7</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lang w:eastAsia="hr-HR"/>
              </w:rPr>
            </w:pPr>
            <w:r w:rsidRPr="000063FC">
              <w:rPr>
                <w:rFonts w:cs="Arial"/>
                <w:color w:val="000000"/>
                <w:sz w:val="18"/>
                <w:szCs w:val="18"/>
                <w:lang w:eastAsia="hr-HR"/>
              </w:rPr>
              <w:t>dizel (uz udio biogoriva)</w:t>
            </w:r>
          </w:p>
        </w:tc>
        <w:tc>
          <w:tcPr>
            <w:tcW w:w="1651"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249,6</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69.345,2</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rPr>
            </w:pPr>
            <w:r w:rsidRPr="000063FC">
              <w:rPr>
                <w:rFonts w:cs="Arial"/>
                <w:color w:val="000000"/>
                <w:sz w:val="18"/>
                <w:szCs w:val="18"/>
              </w:rPr>
              <w:t>16.574,5</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lang w:eastAsia="hr-HR"/>
              </w:rPr>
            </w:pPr>
            <w:r w:rsidRPr="000063FC">
              <w:rPr>
                <w:rFonts w:cs="Arial"/>
                <w:color w:val="000000"/>
                <w:sz w:val="18"/>
                <w:szCs w:val="18"/>
                <w:lang w:eastAsia="hr-HR"/>
              </w:rPr>
              <w:t>lpg</w:t>
            </w:r>
          </w:p>
        </w:tc>
        <w:tc>
          <w:tcPr>
            <w:tcW w:w="1651"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0,1</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36,9</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rPr>
            </w:pPr>
            <w:r w:rsidRPr="000063FC">
              <w:rPr>
                <w:rFonts w:cs="Arial"/>
                <w:color w:val="000000"/>
                <w:sz w:val="18"/>
                <w:szCs w:val="18"/>
              </w:rPr>
              <w:t>8,2</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lang w:eastAsia="hr-HR"/>
              </w:rPr>
            </w:pPr>
            <w:r w:rsidRPr="000063FC">
              <w:rPr>
                <w:rFonts w:cs="Arial"/>
                <w:color w:val="000000"/>
                <w:sz w:val="18"/>
                <w:szCs w:val="18"/>
                <w:lang w:eastAsia="hr-HR"/>
              </w:rPr>
              <w:t>prirodni plin</w:t>
            </w:r>
          </w:p>
        </w:tc>
        <w:tc>
          <w:tcPr>
            <w:tcW w:w="1651"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1,2</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335,1</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rPr>
            </w:pPr>
            <w:r w:rsidRPr="000063FC">
              <w:rPr>
                <w:rFonts w:cs="Arial"/>
                <w:color w:val="000000"/>
                <w:sz w:val="18"/>
                <w:szCs w:val="18"/>
              </w:rPr>
              <w:t>90,1</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lang w:eastAsia="hr-HR"/>
              </w:rPr>
            </w:pPr>
            <w:r w:rsidRPr="000063FC">
              <w:rPr>
                <w:rFonts w:cs="Arial"/>
                <w:color w:val="000000"/>
                <w:sz w:val="18"/>
                <w:szCs w:val="18"/>
                <w:lang w:eastAsia="hr-HR"/>
              </w:rPr>
              <w:t>Biogoriva</w:t>
            </w:r>
          </w:p>
        </w:tc>
        <w:tc>
          <w:tcPr>
            <w:tcW w:w="1651"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2,1</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588,4</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rPr>
            </w:pPr>
            <w:r w:rsidRPr="000063FC">
              <w:rPr>
                <w:rFonts w:cs="Arial"/>
                <w:color w:val="000000"/>
                <w:sz w:val="18"/>
                <w:szCs w:val="18"/>
              </w:rPr>
              <w:t>0,0</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rPr>
                <w:rFonts w:cs="Arial"/>
                <w:color w:val="000000"/>
                <w:sz w:val="18"/>
                <w:szCs w:val="18"/>
                <w:lang w:eastAsia="hr-HR"/>
              </w:rPr>
            </w:pPr>
            <w:r w:rsidRPr="000063FC">
              <w:rPr>
                <w:rFonts w:cs="Arial"/>
                <w:color w:val="000000"/>
                <w:sz w:val="18"/>
                <w:szCs w:val="18"/>
                <w:lang w:eastAsia="hr-HR"/>
              </w:rPr>
              <w:t>UKUPNO</w:t>
            </w:r>
          </w:p>
        </w:tc>
        <w:tc>
          <w:tcPr>
            <w:tcW w:w="1651"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269,2</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74.771,5</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17.885,5</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shd w:val="clear" w:color="000000" w:fill="DBEEF3"/>
            <w:noWrap/>
            <w:vAlign w:val="bottom"/>
          </w:tcPr>
          <w:p w:rsidR="007168B8" w:rsidRPr="000063FC" w:rsidRDefault="007168B8" w:rsidP="006129DB">
            <w:pPr>
              <w:rPr>
                <w:rFonts w:cs="Arial"/>
                <w:color w:val="000000"/>
                <w:sz w:val="18"/>
                <w:szCs w:val="18"/>
                <w:lang w:eastAsia="hr-HR"/>
              </w:rPr>
            </w:pPr>
            <w:r w:rsidRPr="000063FC">
              <w:rPr>
                <w:rFonts w:cs="Arial"/>
                <w:color w:val="000000"/>
                <w:sz w:val="18"/>
                <w:szCs w:val="18"/>
                <w:lang w:eastAsia="hr-HR"/>
              </w:rPr>
              <w:t>Javni prijevoz</w:t>
            </w:r>
          </w:p>
        </w:tc>
        <w:tc>
          <w:tcPr>
            <w:tcW w:w="1651" w:type="dxa"/>
            <w:tcBorders>
              <w:top w:val="nil"/>
              <w:left w:val="nil"/>
              <w:bottom w:val="single" w:sz="4" w:space="0" w:color="4BACC6"/>
              <w:right w:val="single" w:sz="4" w:space="0" w:color="4BACC6"/>
            </w:tcBorders>
            <w:shd w:val="clear" w:color="000000" w:fill="DBEEF3"/>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 </w:t>
            </w:r>
          </w:p>
        </w:tc>
        <w:tc>
          <w:tcPr>
            <w:tcW w:w="1548" w:type="dxa"/>
            <w:tcBorders>
              <w:top w:val="nil"/>
              <w:left w:val="nil"/>
              <w:bottom w:val="single" w:sz="4" w:space="0" w:color="4BACC6"/>
              <w:right w:val="single" w:sz="4" w:space="0" w:color="4BACC6"/>
            </w:tcBorders>
            <w:shd w:val="clear" w:color="000000" w:fill="DBEEF3"/>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 </w:t>
            </w:r>
          </w:p>
        </w:tc>
        <w:tc>
          <w:tcPr>
            <w:tcW w:w="1548" w:type="dxa"/>
            <w:tcBorders>
              <w:top w:val="nil"/>
              <w:left w:val="nil"/>
              <w:bottom w:val="single" w:sz="4" w:space="0" w:color="4BACC6"/>
              <w:right w:val="single" w:sz="4" w:space="0" w:color="4BACC6"/>
            </w:tcBorders>
            <w:shd w:val="clear" w:color="000000" w:fill="DBEEF3"/>
            <w:noWrap/>
            <w:vAlign w:val="bottom"/>
          </w:tcPr>
          <w:p w:rsidR="007168B8" w:rsidRPr="000063FC" w:rsidRDefault="007168B8" w:rsidP="006129DB">
            <w:pPr>
              <w:rPr>
                <w:rFonts w:cs="Arial"/>
                <w:color w:val="000000"/>
                <w:sz w:val="18"/>
                <w:szCs w:val="18"/>
              </w:rPr>
            </w:pPr>
            <w:r w:rsidRPr="000063FC">
              <w:rPr>
                <w:rFonts w:cs="Arial"/>
                <w:color w:val="000000"/>
                <w:sz w:val="18"/>
                <w:szCs w:val="18"/>
              </w:rPr>
              <w:t> </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lang w:eastAsia="hr-HR"/>
              </w:rPr>
            </w:pPr>
            <w:r w:rsidRPr="000063FC">
              <w:rPr>
                <w:rFonts w:cs="Arial"/>
                <w:color w:val="000000"/>
                <w:sz w:val="18"/>
                <w:szCs w:val="18"/>
                <w:lang w:eastAsia="hr-HR"/>
              </w:rPr>
              <w:t>dizel (uz udio biogoriva)</w:t>
            </w:r>
          </w:p>
        </w:tc>
        <w:tc>
          <w:tcPr>
            <w:tcW w:w="1651"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449,7</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124.915,8</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rPr>
            </w:pPr>
            <w:r w:rsidRPr="000063FC">
              <w:rPr>
                <w:rFonts w:cs="Arial"/>
                <w:color w:val="000000"/>
                <w:sz w:val="18"/>
                <w:szCs w:val="18"/>
              </w:rPr>
              <w:t>32.119,1</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lang w:eastAsia="hr-HR"/>
              </w:rPr>
            </w:pPr>
            <w:r w:rsidRPr="000063FC">
              <w:rPr>
                <w:rFonts w:cs="Arial"/>
                <w:color w:val="000000"/>
                <w:sz w:val="18"/>
                <w:szCs w:val="18"/>
                <w:lang w:eastAsia="hr-HR"/>
              </w:rPr>
              <w:t>biodizel</w:t>
            </w:r>
          </w:p>
        </w:tc>
        <w:tc>
          <w:tcPr>
            <w:tcW w:w="1651"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58,3</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16.208,2</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rPr>
            </w:pPr>
            <w:r w:rsidRPr="000063FC">
              <w:rPr>
                <w:rFonts w:cs="Arial"/>
                <w:color w:val="000000"/>
                <w:sz w:val="18"/>
                <w:szCs w:val="18"/>
              </w:rPr>
              <w:t>0,0</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lang w:eastAsia="hr-HR"/>
              </w:rPr>
            </w:pPr>
            <w:r w:rsidRPr="000063FC">
              <w:rPr>
                <w:rFonts w:cs="Arial"/>
                <w:color w:val="000000"/>
                <w:sz w:val="18"/>
                <w:szCs w:val="18"/>
                <w:lang w:eastAsia="hr-HR"/>
              </w:rPr>
              <w:t>el. energija (šinski transport)</w:t>
            </w:r>
          </w:p>
        </w:tc>
        <w:tc>
          <w:tcPr>
            <w:tcW w:w="1651"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0,2</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63,3</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right"/>
              <w:rPr>
                <w:rFonts w:cs="Arial"/>
                <w:color w:val="000000"/>
                <w:sz w:val="18"/>
                <w:szCs w:val="18"/>
              </w:rPr>
            </w:pPr>
            <w:r w:rsidRPr="000063FC">
              <w:rPr>
                <w:rFonts w:cs="Arial"/>
                <w:color w:val="000000"/>
                <w:sz w:val="18"/>
                <w:szCs w:val="18"/>
              </w:rPr>
              <w:t>20.431,1</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rPr>
                <w:rFonts w:cs="Arial"/>
                <w:color w:val="000000"/>
                <w:sz w:val="18"/>
                <w:szCs w:val="18"/>
                <w:lang w:eastAsia="hr-HR"/>
              </w:rPr>
            </w:pPr>
            <w:r w:rsidRPr="000063FC">
              <w:rPr>
                <w:rFonts w:cs="Arial"/>
                <w:color w:val="000000"/>
                <w:sz w:val="18"/>
                <w:szCs w:val="18"/>
                <w:lang w:eastAsia="hr-HR"/>
              </w:rPr>
              <w:t>UKUPNO</w:t>
            </w:r>
          </w:p>
        </w:tc>
        <w:tc>
          <w:tcPr>
            <w:tcW w:w="1651"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449,9</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124.979,0</w:t>
            </w:r>
          </w:p>
        </w:tc>
        <w:tc>
          <w:tcPr>
            <w:tcW w:w="1548" w:type="dxa"/>
            <w:tcBorders>
              <w:top w:val="nil"/>
              <w:left w:val="nil"/>
              <w:bottom w:val="single" w:sz="4" w:space="0" w:color="4BACC6"/>
              <w:right w:val="single" w:sz="4" w:space="0" w:color="4BACC6"/>
            </w:tcBorders>
            <w:noWrap/>
            <w:vAlign w:val="bottom"/>
          </w:tcPr>
          <w:p w:rsidR="007168B8" w:rsidRPr="000063FC" w:rsidRDefault="007168B8" w:rsidP="006129DB">
            <w:pPr>
              <w:jc w:val="center"/>
              <w:rPr>
                <w:rFonts w:cs="Arial"/>
                <w:color w:val="000000"/>
                <w:sz w:val="18"/>
                <w:szCs w:val="18"/>
              </w:rPr>
            </w:pPr>
            <w:r w:rsidRPr="000063FC">
              <w:rPr>
                <w:rFonts w:cs="Arial"/>
                <w:color w:val="000000"/>
                <w:sz w:val="18"/>
                <w:szCs w:val="18"/>
              </w:rPr>
              <w:t>52.550,1</w:t>
            </w:r>
          </w:p>
        </w:tc>
      </w:tr>
      <w:tr w:rsidR="007168B8" w:rsidRPr="000063FC" w:rsidTr="006129DB">
        <w:trPr>
          <w:trHeight w:hRule="exact" w:val="284"/>
        </w:trPr>
        <w:tc>
          <w:tcPr>
            <w:tcW w:w="4325" w:type="dxa"/>
            <w:tcBorders>
              <w:top w:val="nil"/>
              <w:left w:val="single" w:sz="4" w:space="0" w:color="4BACC6"/>
              <w:bottom w:val="single" w:sz="4" w:space="0" w:color="4BACC6"/>
              <w:right w:val="single" w:sz="4" w:space="0" w:color="FFFFFF"/>
            </w:tcBorders>
            <w:shd w:val="clear" w:color="000000" w:fill="4BACC6"/>
            <w:noWrap/>
            <w:vAlign w:val="center"/>
          </w:tcPr>
          <w:p w:rsidR="007168B8" w:rsidRPr="000063FC" w:rsidRDefault="00E80DFF" w:rsidP="006129DB">
            <w:pPr>
              <w:jc w:val="center"/>
              <w:rPr>
                <w:rFonts w:cs="Arial"/>
                <w:b/>
                <w:bCs/>
                <w:color w:val="FFFFFF" w:themeColor="background1"/>
                <w:sz w:val="18"/>
                <w:szCs w:val="18"/>
                <w:lang w:eastAsia="hr-HR"/>
              </w:rPr>
            </w:pPr>
            <w:r w:rsidRPr="000063FC">
              <w:rPr>
                <w:rFonts w:cs="Arial"/>
                <w:b/>
                <w:bCs/>
                <w:color w:val="FFFFFF" w:themeColor="background1"/>
                <w:sz w:val="18"/>
                <w:szCs w:val="18"/>
                <w:lang w:eastAsia="hr-HR"/>
              </w:rPr>
              <w:t xml:space="preserve">UKUPNO ZA SEKTOR </w:t>
            </w:r>
            <w:r w:rsidR="007168B8" w:rsidRPr="000063FC">
              <w:rPr>
                <w:rFonts w:cs="Arial"/>
                <w:b/>
                <w:bCs/>
                <w:color w:val="FFFFFF" w:themeColor="background1"/>
                <w:sz w:val="18"/>
                <w:szCs w:val="18"/>
                <w:lang w:eastAsia="hr-HR"/>
              </w:rPr>
              <w:t>PROMET</w:t>
            </w:r>
          </w:p>
        </w:tc>
        <w:tc>
          <w:tcPr>
            <w:tcW w:w="1651" w:type="dxa"/>
            <w:tcBorders>
              <w:top w:val="nil"/>
              <w:left w:val="nil"/>
              <w:bottom w:val="single" w:sz="4" w:space="0" w:color="4BACC6"/>
              <w:right w:val="single" w:sz="4" w:space="0" w:color="FFFFFF"/>
            </w:tcBorders>
            <w:shd w:val="clear" w:color="000000" w:fill="4BACC6"/>
            <w:noWrap/>
            <w:vAlign w:val="center"/>
          </w:tcPr>
          <w:p w:rsidR="007168B8" w:rsidRPr="000063FC" w:rsidRDefault="007168B8" w:rsidP="006129DB">
            <w:pPr>
              <w:jc w:val="center"/>
              <w:rPr>
                <w:rFonts w:cs="Arial"/>
                <w:b/>
                <w:color w:val="FFFFFF" w:themeColor="background1"/>
                <w:sz w:val="18"/>
                <w:szCs w:val="18"/>
              </w:rPr>
            </w:pPr>
            <w:r w:rsidRPr="000063FC">
              <w:rPr>
                <w:rFonts w:cs="Arial"/>
                <w:b/>
                <w:color w:val="FFFFFF" w:themeColor="background1"/>
                <w:sz w:val="18"/>
                <w:szCs w:val="18"/>
              </w:rPr>
              <w:t>11.720,7</w:t>
            </w:r>
          </w:p>
        </w:tc>
        <w:tc>
          <w:tcPr>
            <w:tcW w:w="1548" w:type="dxa"/>
            <w:tcBorders>
              <w:top w:val="nil"/>
              <w:left w:val="nil"/>
              <w:bottom w:val="single" w:sz="4" w:space="0" w:color="4BACC6"/>
              <w:right w:val="single" w:sz="4" w:space="0" w:color="FFFFFF"/>
            </w:tcBorders>
            <w:shd w:val="clear" w:color="000000" w:fill="4BACC6"/>
            <w:noWrap/>
            <w:vAlign w:val="center"/>
          </w:tcPr>
          <w:p w:rsidR="007168B8" w:rsidRPr="000063FC" w:rsidRDefault="007168B8" w:rsidP="006129DB">
            <w:pPr>
              <w:jc w:val="center"/>
              <w:rPr>
                <w:rFonts w:cs="Arial"/>
                <w:b/>
                <w:color w:val="FFFFFF" w:themeColor="background1"/>
                <w:sz w:val="18"/>
                <w:szCs w:val="18"/>
              </w:rPr>
            </w:pPr>
            <w:r w:rsidRPr="000063FC">
              <w:rPr>
                <w:rFonts w:cs="Arial"/>
                <w:b/>
                <w:color w:val="FFFFFF" w:themeColor="background1"/>
                <w:sz w:val="18"/>
                <w:szCs w:val="18"/>
              </w:rPr>
              <w:t>3.255.754,3</w:t>
            </w:r>
          </w:p>
        </w:tc>
        <w:tc>
          <w:tcPr>
            <w:tcW w:w="1548" w:type="dxa"/>
            <w:tcBorders>
              <w:top w:val="nil"/>
              <w:left w:val="nil"/>
              <w:bottom w:val="single" w:sz="4" w:space="0" w:color="4BACC6"/>
              <w:right w:val="single" w:sz="4" w:space="0" w:color="4BACC6"/>
            </w:tcBorders>
            <w:shd w:val="clear" w:color="000000" w:fill="4BACC6"/>
            <w:noWrap/>
            <w:vAlign w:val="center"/>
          </w:tcPr>
          <w:p w:rsidR="007168B8" w:rsidRPr="000063FC" w:rsidRDefault="007168B8" w:rsidP="006129DB">
            <w:pPr>
              <w:jc w:val="center"/>
              <w:rPr>
                <w:rFonts w:cs="Arial"/>
                <w:b/>
                <w:color w:val="FFFFFF" w:themeColor="background1"/>
                <w:sz w:val="18"/>
                <w:szCs w:val="18"/>
              </w:rPr>
            </w:pPr>
            <w:r w:rsidRPr="000063FC">
              <w:rPr>
                <w:rFonts w:cs="Arial"/>
                <w:b/>
                <w:color w:val="FFFFFF" w:themeColor="background1"/>
                <w:sz w:val="18"/>
                <w:szCs w:val="18"/>
              </w:rPr>
              <w:t>876.464,1</w:t>
            </w:r>
          </w:p>
        </w:tc>
      </w:tr>
    </w:tbl>
    <w:p w:rsidR="007168B8" w:rsidRPr="000063FC" w:rsidRDefault="007168B8" w:rsidP="007168B8"/>
    <w:p w:rsidR="007168B8" w:rsidRPr="000063FC" w:rsidRDefault="007168B8" w:rsidP="00E17A29">
      <w:pPr>
        <w:spacing w:line="276" w:lineRule="auto"/>
      </w:pPr>
      <w:r w:rsidRPr="000063FC">
        <w:t xml:space="preserve">Usporedbom  scenarija bez mjera i scenarija s mjerama može se zaključiti da je emisija </w:t>
      </w:r>
      <w:r w:rsidR="00E80DFF" w:rsidRPr="000063FC">
        <w:t>CO</w:t>
      </w:r>
      <w:r w:rsidR="00E80DFF" w:rsidRPr="000063FC">
        <w:rPr>
          <w:vertAlign w:val="subscript"/>
        </w:rPr>
        <w:t>2</w:t>
      </w:r>
      <w:r w:rsidR="00E80DFF" w:rsidRPr="000063FC">
        <w:t xml:space="preserve"> </w:t>
      </w:r>
      <w:r w:rsidRPr="000063FC">
        <w:t>scenarija s mjerama za 25,5% manja. Uspoređujući emisiju scenarija s mjerama s emisijom iz 2008. godine proizlazi da je ista manja za 13,0%. Ukupne emisije i potrošnje energi</w:t>
      </w:r>
      <w:r w:rsidR="00E80DFF" w:rsidRPr="000063FC">
        <w:t>je oba scenarija uz usporedbu s</w:t>
      </w:r>
      <w:r w:rsidRPr="000063FC">
        <w:t xml:space="preserve"> emisijom </w:t>
      </w:r>
      <w:r w:rsidR="00E80DFF" w:rsidRPr="000063FC">
        <w:t xml:space="preserve">u </w:t>
      </w:r>
      <w:r w:rsidRPr="000063FC">
        <w:t>2008</w:t>
      </w:r>
      <w:r w:rsidR="00E80DFF" w:rsidRPr="000063FC">
        <w:t>. godini</w:t>
      </w:r>
      <w:r w:rsidRPr="000063FC">
        <w:t xml:space="preserve"> prikazan</w:t>
      </w:r>
      <w:r w:rsidR="00032E38">
        <w:t>e</w:t>
      </w:r>
      <w:r w:rsidRPr="000063FC">
        <w:t xml:space="preserve"> </w:t>
      </w:r>
      <w:r w:rsidR="00032E38">
        <w:t>su</w:t>
      </w:r>
      <w:r w:rsidRPr="000063FC">
        <w:t xml:space="preserve"> u tablici 3.14 i na slici 3.7.  </w:t>
      </w:r>
    </w:p>
    <w:p w:rsidR="007168B8" w:rsidRPr="000063FC" w:rsidRDefault="007168B8" w:rsidP="00B33E2F">
      <w:pPr>
        <w:pStyle w:val="Heading6"/>
      </w:pPr>
      <w:bookmarkStart w:id="245" w:name="_Toc251161359"/>
      <w:bookmarkStart w:id="246" w:name="_Toc254010270"/>
      <w:r w:rsidRPr="000063FC">
        <w:lastRenderedPageBreak/>
        <w:t xml:space="preserve">Tablica 3.14: Projekcije </w:t>
      </w:r>
      <w:r w:rsidR="00E80DFF" w:rsidRPr="000063FC">
        <w:t>potrošnje energije i emisija CO</w:t>
      </w:r>
      <w:r w:rsidR="00E80DFF" w:rsidRPr="000063FC">
        <w:rPr>
          <w:vertAlign w:val="subscript"/>
        </w:rPr>
        <w:t>2</w:t>
      </w:r>
      <w:r w:rsidR="00E80DFF" w:rsidRPr="000063FC">
        <w:t xml:space="preserve"> sektora p</w:t>
      </w:r>
      <w:r w:rsidRPr="000063FC">
        <w:t>romet po scenarijima</w:t>
      </w:r>
      <w:bookmarkEnd w:id="245"/>
      <w:bookmarkEnd w:id="246"/>
    </w:p>
    <w:tbl>
      <w:tblPr>
        <w:tblW w:w="9072" w:type="dxa"/>
        <w:tblInd w:w="108" w:type="dxa"/>
        <w:tblLayout w:type="fixed"/>
        <w:tblLook w:val="00A0" w:firstRow="1" w:lastRow="0" w:firstColumn="1" w:lastColumn="0" w:noHBand="0" w:noVBand="0"/>
      </w:tblPr>
      <w:tblGrid>
        <w:gridCol w:w="1276"/>
        <w:gridCol w:w="1559"/>
        <w:gridCol w:w="1418"/>
        <w:gridCol w:w="1051"/>
        <w:gridCol w:w="1384"/>
        <w:gridCol w:w="1384"/>
        <w:gridCol w:w="1000"/>
      </w:tblGrid>
      <w:tr w:rsidR="007168B8" w:rsidRPr="000063FC" w:rsidTr="006129DB">
        <w:trPr>
          <w:trHeight w:val="375"/>
        </w:trPr>
        <w:tc>
          <w:tcPr>
            <w:tcW w:w="1276" w:type="dxa"/>
            <w:vMerge w:val="restart"/>
            <w:tcBorders>
              <w:top w:val="single" w:sz="4" w:space="0" w:color="4BACC6"/>
              <w:left w:val="single" w:sz="4" w:space="0" w:color="4BACC6"/>
              <w:bottom w:val="single" w:sz="4" w:space="0" w:color="4BACC6"/>
              <w:right w:val="single" w:sz="4" w:space="0" w:color="FFFFFF"/>
            </w:tcBorders>
            <w:shd w:val="clear" w:color="000000" w:fill="4BACC6"/>
            <w:vAlign w:val="center"/>
          </w:tcPr>
          <w:p w:rsidR="007168B8" w:rsidRPr="000063FC" w:rsidRDefault="007168B8" w:rsidP="006129DB">
            <w:pPr>
              <w:jc w:val="center"/>
              <w:rPr>
                <w:b/>
                <w:bCs/>
                <w:color w:val="FFFFFF"/>
                <w:sz w:val="20"/>
                <w:lang w:eastAsia="hr-HR"/>
              </w:rPr>
            </w:pPr>
            <w:r w:rsidRPr="000063FC">
              <w:rPr>
                <w:b/>
                <w:bCs/>
                <w:color w:val="FFFFFF"/>
                <w:sz w:val="20"/>
                <w:lang w:eastAsia="hr-HR"/>
              </w:rPr>
              <w:t>Scenarij</w:t>
            </w:r>
          </w:p>
        </w:tc>
        <w:tc>
          <w:tcPr>
            <w:tcW w:w="2977" w:type="dxa"/>
            <w:gridSpan w:val="2"/>
            <w:tcBorders>
              <w:top w:val="single" w:sz="4" w:space="0" w:color="4BACC6"/>
              <w:left w:val="nil"/>
              <w:bottom w:val="single" w:sz="4" w:space="0" w:color="FFFFFF"/>
              <w:right w:val="single" w:sz="4" w:space="0" w:color="FFFFFF"/>
            </w:tcBorders>
            <w:shd w:val="clear" w:color="000000" w:fill="4BACC6"/>
            <w:noWrap/>
            <w:vAlign w:val="center"/>
          </w:tcPr>
          <w:p w:rsidR="007168B8" w:rsidRPr="000063FC" w:rsidRDefault="007168B8" w:rsidP="006129DB">
            <w:pPr>
              <w:jc w:val="center"/>
              <w:rPr>
                <w:b/>
                <w:bCs/>
                <w:color w:val="FFFFFF"/>
                <w:sz w:val="20"/>
                <w:lang w:eastAsia="hr-HR"/>
              </w:rPr>
            </w:pPr>
            <w:r w:rsidRPr="000063FC">
              <w:rPr>
                <w:b/>
                <w:bCs/>
                <w:color w:val="FFFFFF"/>
                <w:sz w:val="20"/>
                <w:lang w:eastAsia="hr-HR"/>
              </w:rPr>
              <w:t>Potrošnja energije, MWh</w:t>
            </w:r>
          </w:p>
        </w:tc>
        <w:tc>
          <w:tcPr>
            <w:tcW w:w="1051" w:type="dxa"/>
            <w:vMerge w:val="restart"/>
            <w:tcBorders>
              <w:top w:val="single" w:sz="4" w:space="0" w:color="4BACC6"/>
              <w:left w:val="single" w:sz="4" w:space="0" w:color="FFFFFF"/>
              <w:bottom w:val="single" w:sz="4" w:space="0" w:color="4BACC6"/>
              <w:right w:val="single" w:sz="4" w:space="0" w:color="FFFFFF"/>
            </w:tcBorders>
            <w:shd w:val="clear" w:color="000000" w:fill="4BACC6"/>
            <w:vAlign w:val="center"/>
          </w:tcPr>
          <w:p w:rsidR="007168B8" w:rsidRPr="000063FC" w:rsidRDefault="007168B8" w:rsidP="006129DB">
            <w:pPr>
              <w:jc w:val="center"/>
              <w:rPr>
                <w:b/>
                <w:bCs/>
                <w:color w:val="FFFFFF"/>
                <w:sz w:val="20"/>
                <w:lang w:eastAsia="hr-HR"/>
              </w:rPr>
            </w:pPr>
            <w:r w:rsidRPr="000063FC">
              <w:rPr>
                <w:b/>
                <w:bCs/>
                <w:color w:val="FFFFFF"/>
                <w:sz w:val="20"/>
                <w:lang w:eastAsia="hr-HR"/>
              </w:rPr>
              <w:t>% u odnosu na 2008</w:t>
            </w:r>
            <w:r w:rsidR="00E80DFF" w:rsidRPr="000063FC">
              <w:rPr>
                <w:b/>
                <w:bCs/>
                <w:color w:val="FFFFFF"/>
                <w:sz w:val="20"/>
                <w:lang w:eastAsia="hr-HR"/>
              </w:rPr>
              <w:t>.</w:t>
            </w:r>
          </w:p>
        </w:tc>
        <w:tc>
          <w:tcPr>
            <w:tcW w:w="2768" w:type="dxa"/>
            <w:gridSpan w:val="2"/>
            <w:tcBorders>
              <w:top w:val="single" w:sz="4" w:space="0" w:color="4BACC6"/>
              <w:left w:val="nil"/>
              <w:bottom w:val="single" w:sz="4" w:space="0" w:color="FFFFFF"/>
              <w:right w:val="single" w:sz="4" w:space="0" w:color="FFFFFF"/>
            </w:tcBorders>
            <w:shd w:val="clear" w:color="000000" w:fill="4BACC6"/>
            <w:noWrap/>
            <w:vAlign w:val="center"/>
          </w:tcPr>
          <w:p w:rsidR="007168B8" w:rsidRPr="000063FC" w:rsidRDefault="007168B8" w:rsidP="006129DB">
            <w:pPr>
              <w:jc w:val="center"/>
              <w:rPr>
                <w:b/>
                <w:bCs/>
                <w:color w:val="FFFFFF"/>
                <w:sz w:val="20"/>
                <w:lang w:eastAsia="hr-HR"/>
              </w:rPr>
            </w:pPr>
            <w:r w:rsidRPr="000063FC">
              <w:rPr>
                <w:b/>
                <w:bCs/>
                <w:color w:val="FFFFFF"/>
                <w:sz w:val="20"/>
                <w:lang w:eastAsia="hr-HR"/>
              </w:rPr>
              <w:t>Emisija t CO</w:t>
            </w:r>
            <w:r w:rsidRPr="000063FC">
              <w:rPr>
                <w:b/>
                <w:bCs/>
                <w:color w:val="FFFFFF"/>
                <w:sz w:val="20"/>
                <w:vertAlign w:val="subscript"/>
                <w:lang w:eastAsia="hr-HR"/>
              </w:rPr>
              <w:t>2</w:t>
            </w:r>
          </w:p>
        </w:tc>
        <w:tc>
          <w:tcPr>
            <w:tcW w:w="1000" w:type="dxa"/>
            <w:vMerge w:val="restart"/>
            <w:tcBorders>
              <w:top w:val="single" w:sz="4" w:space="0" w:color="4BACC6"/>
              <w:left w:val="single" w:sz="4" w:space="0" w:color="FFFFFF"/>
              <w:bottom w:val="single" w:sz="4" w:space="0" w:color="4BACC6"/>
              <w:right w:val="single" w:sz="4" w:space="0" w:color="4BACC6"/>
            </w:tcBorders>
            <w:shd w:val="clear" w:color="000000" w:fill="4BACC6"/>
            <w:vAlign w:val="center"/>
          </w:tcPr>
          <w:p w:rsidR="007168B8" w:rsidRPr="000063FC" w:rsidRDefault="007168B8" w:rsidP="006129DB">
            <w:pPr>
              <w:ind w:hanging="316"/>
              <w:jc w:val="center"/>
              <w:rPr>
                <w:b/>
                <w:bCs/>
                <w:color w:val="FFFFFF"/>
                <w:sz w:val="20"/>
                <w:lang w:eastAsia="hr-HR"/>
              </w:rPr>
            </w:pPr>
            <w:r w:rsidRPr="000063FC">
              <w:rPr>
                <w:b/>
                <w:bCs/>
                <w:color w:val="FFFFFF"/>
                <w:sz w:val="20"/>
                <w:lang w:eastAsia="hr-HR"/>
              </w:rPr>
              <w:t>%u odnosu na 2008</w:t>
            </w:r>
            <w:r w:rsidR="00E80DFF" w:rsidRPr="000063FC">
              <w:rPr>
                <w:b/>
                <w:bCs/>
                <w:color w:val="FFFFFF"/>
                <w:sz w:val="20"/>
                <w:lang w:eastAsia="hr-HR"/>
              </w:rPr>
              <w:t>.</w:t>
            </w:r>
          </w:p>
        </w:tc>
      </w:tr>
      <w:tr w:rsidR="007168B8" w:rsidRPr="000063FC" w:rsidTr="006129DB">
        <w:trPr>
          <w:trHeight w:val="300"/>
        </w:trPr>
        <w:tc>
          <w:tcPr>
            <w:tcW w:w="1276" w:type="dxa"/>
            <w:vMerge/>
            <w:tcBorders>
              <w:top w:val="single" w:sz="4" w:space="0" w:color="4BACC6"/>
              <w:left w:val="single" w:sz="4" w:space="0" w:color="4BACC6"/>
              <w:bottom w:val="single" w:sz="4" w:space="0" w:color="4BACC6"/>
              <w:right w:val="single" w:sz="4" w:space="0" w:color="FFFFFF"/>
            </w:tcBorders>
            <w:vAlign w:val="center"/>
          </w:tcPr>
          <w:p w:rsidR="007168B8" w:rsidRPr="000063FC" w:rsidRDefault="007168B8" w:rsidP="006129DB">
            <w:pPr>
              <w:rPr>
                <w:b/>
                <w:bCs/>
                <w:color w:val="FFFFFF"/>
                <w:sz w:val="20"/>
                <w:lang w:eastAsia="hr-HR"/>
              </w:rPr>
            </w:pPr>
          </w:p>
        </w:tc>
        <w:tc>
          <w:tcPr>
            <w:tcW w:w="1559" w:type="dxa"/>
            <w:tcBorders>
              <w:top w:val="nil"/>
              <w:left w:val="nil"/>
              <w:bottom w:val="single" w:sz="4" w:space="0" w:color="4BACC6"/>
              <w:right w:val="single" w:sz="4" w:space="0" w:color="FFFFFF"/>
            </w:tcBorders>
            <w:shd w:val="clear" w:color="000000" w:fill="4BACC6"/>
            <w:noWrap/>
            <w:vAlign w:val="center"/>
          </w:tcPr>
          <w:p w:rsidR="007168B8" w:rsidRPr="000063FC" w:rsidRDefault="007168B8" w:rsidP="006129DB">
            <w:pPr>
              <w:jc w:val="center"/>
              <w:rPr>
                <w:b/>
                <w:bCs/>
                <w:color w:val="FFFFFF"/>
                <w:sz w:val="20"/>
                <w:lang w:eastAsia="hr-HR"/>
              </w:rPr>
            </w:pPr>
            <w:r w:rsidRPr="000063FC">
              <w:rPr>
                <w:b/>
                <w:bCs/>
                <w:color w:val="FFFFFF"/>
                <w:sz w:val="20"/>
                <w:lang w:eastAsia="hr-HR"/>
              </w:rPr>
              <w:t>2008</w:t>
            </w:r>
            <w:r w:rsidR="00E80DFF" w:rsidRPr="000063FC">
              <w:rPr>
                <w:b/>
                <w:bCs/>
                <w:color w:val="FFFFFF"/>
                <w:sz w:val="20"/>
                <w:lang w:eastAsia="hr-HR"/>
              </w:rPr>
              <w:t>.</w:t>
            </w:r>
          </w:p>
        </w:tc>
        <w:tc>
          <w:tcPr>
            <w:tcW w:w="1418" w:type="dxa"/>
            <w:tcBorders>
              <w:top w:val="nil"/>
              <w:left w:val="nil"/>
              <w:bottom w:val="single" w:sz="4" w:space="0" w:color="4BACC6"/>
              <w:right w:val="single" w:sz="4" w:space="0" w:color="FFFFFF"/>
            </w:tcBorders>
            <w:shd w:val="clear" w:color="000000" w:fill="4BACC6"/>
            <w:noWrap/>
            <w:vAlign w:val="center"/>
          </w:tcPr>
          <w:p w:rsidR="007168B8" w:rsidRPr="000063FC" w:rsidRDefault="007168B8" w:rsidP="006129DB">
            <w:pPr>
              <w:jc w:val="center"/>
              <w:rPr>
                <w:b/>
                <w:bCs/>
                <w:color w:val="FFFFFF"/>
                <w:sz w:val="20"/>
                <w:lang w:eastAsia="hr-HR"/>
              </w:rPr>
            </w:pPr>
            <w:r w:rsidRPr="000063FC">
              <w:rPr>
                <w:b/>
                <w:bCs/>
                <w:color w:val="FFFFFF"/>
                <w:sz w:val="20"/>
                <w:lang w:eastAsia="hr-HR"/>
              </w:rPr>
              <w:t>2020</w:t>
            </w:r>
            <w:r w:rsidR="00E80DFF" w:rsidRPr="000063FC">
              <w:rPr>
                <w:b/>
                <w:bCs/>
                <w:color w:val="FFFFFF"/>
                <w:sz w:val="20"/>
                <w:lang w:eastAsia="hr-HR"/>
              </w:rPr>
              <w:t>.</w:t>
            </w:r>
          </w:p>
        </w:tc>
        <w:tc>
          <w:tcPr>
            <w:tcW w:w="1051" w:type="dxa"/>
            <w:vMerge/>
            <w:tcBorders>
              <w:top w:val="single" w:sz="4" w:space="0" w:color="4BACC6"/>
              <w:left w:val="single" w:sz="4" w:space="0" w:color="FFFFFF"/>
              <w:bottom w:val="single" w:sz="4" w:space="0" w:color="4BACC6"/>
              <w:right w:val="single" w:sz="4" w:space="0" w:color="FFFFFF"/>
            </w:tcBorders>
            <w:vAlign w:val="center"/>
          </w:tcPr>
          <w:p w:rsidR="007168B8" w:rsidRPr="000063FC" w:rsidRDefault="007168B8" w:rsidP="006129DB">
            <w:pPr>
              <w:rPr>
                <w:b/>
                <w:bCs/>
                <w:color w:val="FFFFFF"/>
                <w:sz w:val="20"/>
                <w:lang w:eastAsia="hr-HR"/>
              </w:rPr>
            </w:pPr>
          </w:p>
        </w:tc>
        <w:tc>
          <w:tcPr>
            <w:tcW w:w="1384" w:type="dxa"/>
            <w:tcBorders>
              <w:top w:val="nil"/>
              <w:left w:val="nil"/>
              <w:bottom w:val="single" w:sz="4" w:space="0" w:color="4BACC6"/>
              <w:right w:val="single" w:sz="4" w:space="0" w:color="FFFFFF"/>
            </w:tcBorders>
            <w:shd w:val="clear" w:color="000000" w:fill="4BACC6"/>
            <w:noWrap/>
            <w:vAlign w:val="center"/>
          </w:tcPr>
          <w:p w:rsidR="007168B8" w:rsidRPr="000063FC" w:rsidRDefault="007168B8" w:rsidP="006129DB">
            <w:pPr>
              <w:jc w:val="center"/>
              <w:rPr>
                <w:b/>
                <w:bCs/>
                <w:color w:val="FFFFFF"/>
                <w:sz w:val="20"/>
                <w:lang w:eastAsia="hr-HR"/>
              </w:rPr>
            </w:pPr>
            <w:r w:rsidRPr="000063FC">
              <w:rPr>
                <w:b/>
                <w:bCs/>
                <w:color w:val="FFFFFF"/>
                <w:sz w:val="20"/>
                <w:lang w:eastAsia="hr-HR"/>
              </w:rPr>
              <w:t>2008</w:t>
            </w:r>
            <w:r w:rsidR="00E80DFF" w:rsidRPr="000063FC">
              <w:rPr>
                <w:b/>
                <w:bCs/>
                <w:color w:val="FFFFFF"/>
                <w:sz w:val="20"/>
                <w:lang w:eastAsia="hr-HR"/>
              </w:rPr>
              <w:t>.</w:t>
            </w:r>
          </w:p>
        </w:tc>
        <w:tc>
          <w:tcPr>
            <w:tcW w:w="1384" w:type="dxa"/>
            <w:tcBorders>
              <w:top w:val="nil"/>
              <w:left w:val="nil"/>
              <w:bottom w:val="single" w:sz="4" w:space="0" w:color="4BACC6"/>
              <w:right w:val="single" w:sz="4" w:space="0" w:color="FFFFFF"/>
            </w:tcBorders>
            <w:shd w:val="clear" w:color="000000" w:fill="4BACC6"/>
            <w:noWrap/>
            <w:vAlign w:val="center"/>
          </w:tcPr>
          <w:p w:rsidR="007168B8" w:rsidRPr="000063FC" w:rsidRDefault="007168B8" w:rsidP="006129DB">
            <w:pPr>
              <w:jc w:val="center"/>
              <w:rPr>
                <w:b/>
                <w:bCs/>
                <w:color w:val="FFFFFF"/>
                <w:sz w:val="20"/>
                <w:lang w:eastAsia="hr-HR"/>
              </w:rPr>
            </w:pPr>
            <w:r w:rsidRPr="000063FC">
              <w:rPr>
                <w:b/>
                <w:bCs/>
                <w:color w:val="FFFFFF"/>
                <w:sz w:val="20"/>
                <w:lang w:eastAsia="hr-HR"/>
              </w:rPr>
              <w:t>2020</w:t>
            </w:r>
            <w:r w:rsidR="00E80DFF" w:rsidRPr="000063FC">
              <w:rPr>
                <w:b/>
                <w:bCs/>
                <w:color w:val="FFFFFF"/>
                <w:sz w:val="20"/>
                <w:lang w:eastAsia="hr-HR"/>
              </w:rPr>
              <w:t>.</w:t>
            </w:r>
          </w:p>
        </w:tc>
        <w:tc>
          <w:tcPr>
            <w:tcW w:w="1000" w:type="dxa"/>
            <w:vMerge/>
            <w:tcBorders>
              <w:top w:val="single" w:sz="4" w:space="0" w:color="4BACC6"/>
              <w:left w:val="single" w:sz="4" w:space="0" w:color="FFFFFF"/>
              <w:bottom w:val="single" w:sz="4" w:space="0" w:color="4BACC6"/>
              <w:right w:val="single" w:sz="4" w:space="0" w:color="4BACC6"/>
            </w:tcBorders>
            <w:vAlign w:val="center"/>
          </w:tcPr>
          <w:p w:rsidR="007168B8" w:rsidRPr="000063FC" w:rsidRDefault="007168B8" w:rsidP="006129DB">
            <w:pPr>
              <w:rPr>
                <w:b/>
                <w:bCs/>
                <w:color w:val="FFFFFF"/>
                <w:sz w:val="20"/>
                <w:lang w:eastAsia="hr-HR"/>
              </w:rPr>
            </w:pPr>
          </w:p>
        </w:tc>
      </w:tr>
      <w:tr w:rsidR="007168B8" w:rsidRPr="000063FC" w:rsidTr="006129DB">
        <w:trPr>
          <w:trHeight w:val="311"/>
        </w:trPr>
        <w:tc>
          <w:tcPr>
            <w:tcW w:w="1276"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rPr>
                <w:color w:val="000000"/>
                <w:sz w:val="20"/>
                <w:lang w:eastAsia="hr-HR"/>
              </w:rPr>
            </w:pPr>
            <w:r w:rsidRPr="000063FC">
              <w:rPr>
                <w:color w:val="000000"/>
                <w:sz w:val="20"/>
                <w:lang w:eastAsia="hr-HR"/>
              </w:rPr>
              <w:t>Scenarij bez mjera</w:t>
            </w:r>
          </w:p>
        </w:tc>
        <w:tc>
          <w:tcPr>
            <w:tcW w:w="1559" w:type="dxa"/>
            <w:tcBorders>
              <w:top w:val="nil"/>
              <w:left w:val="nil"/>
              <w:bottom w:val="single" w:sz="4" w:space="0" w:color="4BACC6"/>
              <w:right w:val="single" w:sz="4" w:space="0" w:color="4BACC6"/>
            </w:tcBorders>
            <w:noWrap/>
            <w:vAlign w:val="center"/>
          </w:tcPr>
          <w:p w:rsidR="007168B8" w:rsidRPr="000063FC" w:rsidRDefault="007168B8" w:rsidP="006129DB">
            <w:pPr>
              <w:jc w:val="center"/>
              <w:rPr>
                <w:rFonts w:cs="Arial"/>
                <w:color w:val="000000"/>
                <w:sz w:val="20"/>
              </w:rPr>
            </w:pPr>
            <w:r w:rsidRPr="000063FC">
              <w:rPr>
                <w:rFonts w:cs="Arial"/>
                <w:color w:val="000000"/>
                <w:sz w:val="20"/>
              </w:rPr>
              <w:t>3.780.930,01</w:t>
            </w:r>
          </w:p>
        </w:tc>
        <w:tc>
          <w:tcPr>
            <w:tcW w:w="1418" w:type="dxa"/>
            <w:tcBorders>
              <w:top w:val="nil"/>
              <w:left w:val="nil"/>
              <w:bottom w:val="single" w:sz="4" w:space="0" w:color="4BACC6"/>
              <w:right w:val="single" w:sz="4" w:space="0" w:color="4BACC6"/>
            </w:tcBorders>
            <w:noWrap/>
            <w:vAlign w:val="center"/>
          </w:tcPr>
          <w:p w:rsidR="007168B8" w:rsidRPr="000063FC" w:rsidRDefault="007168B8" w:rsidP="006129DB">
            <w:pPr>
              <w:jc w:val="center"/>
              <w:rPr>
                <w:rFonts w:cs="Arial"/>
                <w:color w:val="000000"/>
                <w:sz w:val="20"/>
              </w:rPr>
            </w:pPr>
            <w:r w:rsidRPr="000063FC">
              <w:rPr>
                <w:rFonts w:cs="Arial"/>
                <w:color w:val="000000"/>
                <w:sz w:val="20"/>
              </w:rPr>
              <w:t>4.422.020,38</w:t>
            </w:r>
          </w:p>
        </w:tc>
        <w:tc>
          <w:tcPr>
            <w:tcW w:w="1051" w:type="dxa"/>
            <w:tcBorders>
              <w:top w:val="nil"/>
              <w:left w:val="nil"/>
              <w:bottom w:val="single" w:sz="4" w:space="0" w:color="4BACC6"/>
              <w:right w:val="single" w:sz="4" w:space="0" w:color="4BACC6"/>
            </w:tcBorders>
            <w:noWrap/>
            <w:vAlign w:val="center"/>
          </w:tcPr>
          <w:p w:rsidR="007168B8" w:rsidRPr="000063FC" w:rsidRDefault="007168B8" w:rsidP="006129DB">
            <w:pPr>
              <w:jc w:val="center"/>
              <w:rPr>
                <w:rFonts w:cs="Arial"/>
                <w:color w:val="000000"/>
                <w:sz w:val="20"/>
              </w:rPr>
            </w:pPr>
            <w:r w:rsidRPr="000063FC">
              <w:rPr>
                <w:rFonts w:cs="Arial"/>
                <w:color w:val="000000"/>
                <w:sz w:val="20"/>
              </w:rPr>
              <w:t>16,96</w:t>
            </w:r>
          </w:p>
        </w:tc>
        <w:tc>
          <w:tcPr>
            <w:tcW w:w="1384" w:type="dxa"/>
            <w:tcBorders>
              <w:top w:val="nil"/>
              <w:left w:val="nil"/>
              <w:bottom w:val="single" w:sz="4" w:space="0" w:color="4BACC6"/>
              <w:right w:val="single" w:sz="4" w:space="0" w:color="4BACC6"/>
            </w:tcBorders>
            <w:noWrap/>
            <w:vAlign w:val="center"/>
          </w:tcPr>
          <w:p w:rsidR="007168B8" w:rsidRPr="000063FC" w:rsidRDefault="007168B8" w:rsidP="006129DB">
            <w:pPr>
              <w:jc w:val="center"/>
              <w:rPr>
                <w:rFonts w:cs="Arial"/>
                <w:color w:val="000000"/>
                <w:sz w:val="20"/>
              </w:rPr>
            </w:pPr>
            <w:r w:rsidRPr="000063FC">
              <w:rPr>
                <w:rFonts w:cs="Arial"/>
                <w:color w:val="000000"/>
                <w:sz w:val="20"/>
              </w:rPr>
              <w:t>1.007.443,07</w:t>
            </w:r>
          </w:p>
        </w:tc>
        <w:tc>
          <w:tcPr>
            <w:tcW w:w="1384" w:type="dxa"/>
            <w:tcBorders>
              <w:top w:val="nil"/>
              <w:left w:val="nil"/>
              <w:bottom w:val="single" w:sz="4" w:space="0" w:color="4BACC6"/>
              <w:right w:val="single" w:sz="4" w:space="0" w:color="4BACC6"/>
            </w:tcBorders>
            <w:noWrap/>
            <w:vAlign w:val="center"/>
          </w:tcPr>
          <w:p w:rsidR="007168B8" w:rsidRPr="000063FC" w:rsidRDefault="007168B8" w:rsidP="006129DB">
            <w:pPr>
              <w:jc w:val="center"/>
              <w:rPr>
                <w:rFonts w:cs="Arial"/>
                <w:color w:val="000000"/>
                <w:sz w:val="20"/>
              </w:rPr>
            </w:pPr>
            <w:r w:rsidRPr="000063FC">
              <w:rPr>
                <w:rFonts w:cs="Arial"/>
                <w:color w:val="000000"/>
                <w:sz w:val="20"/>
              </w:rPr>
              <w:t>1.176.287,15</w:t>
            </w:r>
          </w:p>
        </w:tc>
        <w:tc>
          <w:tcPr>
            <w:tcW w:w="1000" w:type="dxa"/>
            <w:tcBorders>
              <w:top w:val="nil"/>
              <w:left w:val="nil"/>
              <w:bottom w:val="single" w:sz="4" w:space="0" w:color="4BACC6"/>
              <w:right w:val="single" w:sz="4" w:space="0" w:color="4BACC6"/>
            </w:tcBorders>
            <w:noWrap/>
            <w:vAlign w:val="center"/>
          </w:tcPr>
          <w:p w:rsidR="007168B8" w:rsidRPr="000063FC" w:rsidRDefault="007168B8" w:rsidP="006129DB">
            <w:pPr>
              <w:jc w:val="center"/>
              <w:rPr>
                <w:rFonts w:cs="Arial"/>
                <w:color w:val="000000"/>
                <w:sz w:val="20"/>
              </w:rPr>
            </w:pPr>
            <w:r w:rsidRPr="000063FC">
              <w:rPr>
                <w:rFonts w:cs="Arial"/>
                <w:color w:val="000000"/>
                <w:sz w:val="20"/>
              </w:rPr>
              <w:t>16,76</w:t>
            </w:r>
          </w:p>
        </w:tc>
      </w:tr>
      <w:tr w:rsidR="007168B8" w:rsidRPr="000063FC" w:rsidTr="006129DB">
        <w:trPr>
          <w:trHeight w:val="300"/>
        </w:trPr>
        <w:tc>
          <w:tcPr>
            <w:tcW w:w="1276" w:type="dxa"/>
            <w:tcBorders>
              <w:top w:val="nil"/>
              <w:left w:val="single" w:sz="4" w:space="0" w:color="4BACC6"/>
              <w:bottom w:val="single" w:sz="4" w:space="0" w:color="4BACC6"/>
              <w:right w:val="single" w:sz="4" w:space="0" w:color="4BACC6"/>
            </w:tcBorders>
            <w:noWrap/>
            <w:vAlign w:val="bottom"/>
          </w:tcPr>
          <w:p w:rsidR="007168B8" w:rsidRPr="000063FC" w:rsidRDefault="007168B8" w:rsidP="006129DB">
            <w:pPr>
              <w:rPr>
                <w:color w:val="000000"/>
                <w:sz w:val="20"/>
                <w:lang w:eastAsia="hr-HR"/>
              </w:rPr>
            </w:pPr>
            <w:r w:rsidRPr="000063FC">
              <w:rPr>
                <w:color w:val="000000"/>
                <w:sz w:val="20"/>
                <w:lang w:eastAsia="hr-HR"/>
              </w:rPr>
              <w:t>Scenarij s mjerama</w:t>
            </w:r>
          </w:p>
        </w:tc>
        <w:tc>
          <w:tcPr>
            <w:tcW w:w="1559" w:type="dxa"/>
            <w:tcBorders>
              <w:top w:val="nil"/>
              <w:left w:val="nil"/>
              <w:bottom w:val="single" w:sz="4" w:space="0" w:color="4BACC6"/>
              <w:right w:val="single" w:sz="4" w:space="0" w:color="4BACC6"/>
            </w:tcBorders>
            <w:noWrap/>
            <w:vAlign w:val="center"/>
          </w:tcPr>
          <w:p w:rsidR="007168B8" w:rsidRPr="000063FC" w:rsidRDefault="007168B8" w:rsidP="006129DB">
            <w:pPr>
              <w:jc w:val="center"/>
              <w:rPr>
                <w:rFonts w:cs="Arial"/>
                <w:color w:val="000000"/>
                <w:sz w:val="20"/>
              </w:rPr>
            </w:pPr>
            <w:r w:rsidRPr="000063FC">
              <w:rPr>
                <w:rFonts w:cs="Arial"/>
                <w:color w:val="000000"/>
                <w:sz w:val="20"/>
              </w:rPr>
              <w:t>3.780.930,01</w:t>
            </w:r>
          </w:p>
        </w:tc>
        <w:tc>
          <w:tcPr>
            <w:tcW w:w="1418" w:type="dxa"/>
            <w:tcBorders>
              <w:top w:val="nil"/>
              <w:left w:val="nil"/>
              <w:bottom w:val="single" w:sz="4" w:space="0" w:color="4BACC6"/>
              <w:right w:val="single" w:sz="4" w:space="0" w:color="4BACC6"/>
            </w:tcBorders>
            <w:noWrap/>
            <w:vAlign w:val="center"/>
          </w:tcPr>
          <w:p w:rsidR="007168B8" w:rsidRPr="000063FC" w:rsidRDefault="007168B8" w:rsidP="006129DB">
            <w:pPr>
              <w:jc w:val="center"/>
              <w:rPr>
                <w:rFonts w:cs="Arial"/>
                <w:color w:val="000000"/>
                <w:sz w:val="20"/>
              </w:rPr>
            </w:pPr>
            <w:r w:rsidRPr="000063FC">
              <w:rPr>
                <w:rFonts w:cs="Arial"/>
                <w:color w:val="000000"/>
                <w:sz w:val="20"/>
              </w:rPr>
              <w:t>3.255.754,27</w:t>
            </w:r>
          </w:p>
        </w:tc>
        <w:tc>
          <w:tcPr>
            <w:tcW w:w="1051" w:type="dxa"/>
            <w:tcBorders>
              <w:top w:val="nil"/>
              <w:left w:val="nil"/>
              <w:bottom w:val="single" w:sz="4" w:space="0" w:color="4BACC6"/>
              <w:right w:val="single" w:sz="4" w:space="0" w:color="4BACC6"/>
            </w:tcBorders>
            <w:noWrap/>
            <w:vAlign w:val="center"/>
          </w:tcPr>
          <w:p w:rsidR="007168B8" w:rsidRPr="000063FC" w:rsidRDefault="007168B8" w:rsidP="006129DB">
            <w:pPr>
              <w:jc w:val="center"/>
              <w:rPr>
                <w:rFonts w:cs="Arial"/>
                <w:color w:val="000000"/>
                <w:sz w:val="20"/>
              </w:rPr>
            </w:pPr>
            <w:r w:rsidRPr="000063FC">
              <w:rPr>
                <w:rFonts w:cs="Arial"/>
                <w:color w:val="000000"/>
                <w:sz w:val="20"/>
              </w:rPr>
              <w:t>-13,89</w:t>
            </w:r>
          </w:p>
        </w:tc>
        <w:tc>
          <w:tcPr>
            <w:tcW w:w="1384" w:type="dxa"/>
            <w:tcBorders>
              <w:top w:val="nil"/>
              <w:left w:val="nil"/>
              <w:bottom w:val="single" w:sz="4" w:space="0" w:color="4BACC6"/>
              <w:right w:val="single" w:sz="4" w:space="0" w:color="4BACC6"/>
            </w:tcBorders>
            <w:noWrap/>
            <w:vAlign w:val="center"/>
          </w:tcPr>
          <w:p w:rsidR="007168B8" w:rsidRPr="000063FC" w:rsidRDefault="007168B8" w:rsidP="006129DB">
            <w:pPr>
              <w:jc w:val="center"/>
              <w:rPr>
                <w:rFonts w:cs="Arial"/>
                <w:color w:val="000000"/>
                <w:sz w:val="20"/>
              </w:rPr>
            </w:pPr>
            <w:r w:rsidRPr="000063FC">
              <w:rPr>
                <w:rFonts w:cs="Arial"/>
                <w:color w:val="000000"/>
                <w:sz w:val="20"/>
              </w:rPr>
              <w:t>1.007.443,07</w:t>
            </w:r>
          </w:p>
        </w:tc>
        <w:tc>
          <w:tcPr>
            <w:tcW w:w="1384" w:type="dxa"/>
            <w:tcBorders>
              <w:top w:val="nil"/>
              <w:left w:val="nil"/>
              <w:bottom w:val="single" w:sz="4" w:space="0" w:color="4BACC6"/>
              <w:right w:val="single" w:sz="4" w:space="0" w:color="4BACC6"/>
            </w:tcBorders>
            <w:noWrap/>
            <w:vAlign w:val="center"/>
          </w:tcPr>
          <w:p w:rsidR="007168B8" w:rsidRPr="000063FC" w:rsidRDefault="007168B8" w:rsidP="006129DB">
            <w:pPr>
              <w:jc w:val="center"/>
              <w:rPr>
                <w:rFonts w:cs="Arial"/>
                <w:color w:val="000000"/>
                <w:sz w:val="20"/>
              </w:rPr>
            </w:pPr>
            <w:r w:rsidRPr="000063FC">
              <w:rPr>
                <w:rFonts w:cs="Arial"/>
                <w:color w:val="000000"/>
                <w:sz w:val="20"/>
              </w:rPr>
              <w:t>876.464,11</w:t>
            </w:r>
          </w:p>
        </w:tc>
        <w:tc>
          <w:tcPr>
            <w:tcW w:w="1000" w:type="dxa"/>
            <w:tcBorders>
              <w:top w:val="nil"/>
              <w:left w:val="nil"/>
              <w:bottom w:val="single" w:sz="4" w:space="0" w:color="4BACC6"/>
              <w:right w:val="single" w:sz="4" w:space="0" w:color="4BACC6"/>
            </w:tcBorders>
            <w:noWrap/>
            <w:vAlign w:val="center"/>
          </w:tcPr>
          <w:p w:rsidR="007168B8" w:rsidRPr="000063FC" w:rsidRDefault="007168B8" w:rsidP="006129DB">
            <w:pPr>
              <w:jc w:val="center"/>
              <w:rPr>
                <w:rFonts w:cs="Arial"/>
                <w:color w:val="000000"/>
                <w:sz w:val="20"/>
              </w:rPr>
            </w:pPr>
            <w:r w:rsidRPr="000063FC">
              <w:rPr>
                <w:rFonts w:cs="Arial"/>
                <w:color w:val="000000"/>
                <w:sz w:val="20"/>
              </w:rPr>
              <w:t>-13,00</w:t>
            </w:r>
          </w:p>
        </w:tc>
      </w:tr>
    </w:tbl>
    <w:p w:rsidR="007168B8" w:rsidRPr="000063FC" w:rsidRDefault="007168B8" w:rsidP="007168B8"/>
    <w:p w:rsidR="007168B8" w:rsidRPr="000063FC" w:rsidRDefault="007168B8" w:rsidP="00032E38">
      <w:pPr>
        <w:pStyle w:val="Caption"/>
        <w:spacing w:after="240"/>
        <w:jc w:val="center"/>
      </w:pPr>
      <w:r w:rsidRPr="000063FC">
        <w:rPr>
          <w:noProof/>
          <w:lang w:eastAsia="hr-HR"/>
        </w:rPr>
        <w:drawing>
          <wp:inline distT="0" distB="0" distL="0" distR="0">
            <wp:extent cx="5231959" cy="2584173"/>
            <wp:effectExtent l="0" t="0" r="0" b="0"/>
            <wp:docPr id="3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168B8" w:rsidRPr="000063FC" w:rsidRDefault="007168B8" w:rsidP="007168B8">
      <w:pPr>
        <w:pStyle w:val="Heading7"/>
      </w:pPr>
      <w:bookmarkStart w:id="247" w:name="_Toc251161808"/>
      <w:bookmarkStart w:id="248" w:name="_Toc254010306"/>
      <w:r w:rsidRPr="000063FC">
        <w:t xml:space="preserve">Slika 3.7: Usporedba projekcija emisija </w:t>
      </w:r>
      <w:r w:rsidR="006349E8" w:rsidRPr="000063FC">
        <w:t xml:space="preserve">u 2020. godini </w:t>
      </w:r>
      <w:r w:rsidRPr="000063FC">
        <w:t xml:space="preserve">s emisijom </w:t>
      </w:r>
      <w:r w:rsidR="00E80DFF" w:rsidRPr="000063FC">
        <w:t>u 2008. godini</w:t>
      </w:r>
      <w:r w:rsidRPr="000063FC">
        <w:t xml:space="preserve"> </w:t>
      </w:r>
      <w:r w:rsidR="006349E8" w:rsidRPr="000063FC">
        <w:t>za sektor</w:t>
      </w:r>
      <w:r w:rsidRPr="000063FC">
        <w:t xml:space="preserve"> promet</w:t>
      </w:r>
      <w:bookmarkEnd w:id="247"/>
      <w:bookmarkEnd w:id="248"/>
    </w:p>
    <w:p w:rsidR="00772AF0" w:rsidRPr="000063FC" w:rsidRDefault="00772AF0">
      <w:pPr>
        <w:tabs>
          <w:tab w:val="clear" w:pos="720"/>
          <w:tab w:val="clear" w:pos="6912"/>
        </w:tabs>
        <w:spacing w:line="240" w:lineRule="auto"/>
        <w:jc w:val="left"/>
        <w:rPr>
          <w:szCs w:val="22"/>
        </w:rPr>
      </w:pPr>
      <w:r w:rsidRPr="000063FC">
        <w:rPr>
          <w:szCs w:val="22"/>
        </w:rPr>
        <w:br w:type="page"/>
      </w:r>
    </w:p>
    <w:p w:rsidR="006E035F" w:rsidRPr="000063FC" w:rsidRDefault="006E035F" w:rsidP="006E035F">
      <w:pPr>
        <w:pStyle w:val="Heading2"/>
      </w:pPr>
      <w:bookmarkStart w:id="249" w:name="_Toc251161157"/>
      <w:bookmarkStart w:id="250" w:name="_Toc254010200"/>
      <w:r w:rsidRPr="000063FC">
        <w:lastRenderedPageBreak/>
        <w:t>UKUPNE PROJEKCIJE EMISIJE CO</w:t>
      </w:r>
      <w:r w:rsidRPr="000063FC">
        <w:rPr>
          <w:vertAlign w:val="subscript"/>
        </w:rPr>
        <w:t>2</w:t>
      </w:r>
      <w:r w:rsidRPr="000063FC">
        <w:t xml:space="preserve"> GRADA ZAGREBA</w:t>
      </w:r>
      <w:bookmarkEnd w:id="249"/>
      <w:r w:rsidR="00E80DFF" w:rsidRPr="000063FC">
        <w:t xml:space="preserve"> U 2020. GODINI</w:t>
      </w:r>
      <w:bookmarkEnd w:id="250"/>
    </w:p>
    <w:p w:rsidR="006E035F" w:rsidRPr="000063FC" w:rsidRDefault="006E035F" w:rsidP="00E17A29">
      <w:pPr>
        <w:spacing w:line="276" w:lineRule="auto"/>
      </w:pPr>
      <w:r w:rsidRPr="000063FC">
        <w:t>Prilikom izrade projekcija emisija CO</w:t>
      </w:r>
      <w:r w:rsidRPr="000063FC">
        <w:rPr>
          <w:vertAlign w:val="subscript"/>
        </w:rPr>
        <w:t>2</w:t>
      </w:r>
      <w:r w:rsidRPr="000063FC">
        <w:t xml:space="preserve"> za </w:t>
      </w:r>
      <w:r w:rsidR="006349E8" w:rsidRPr="000063FC">
        <w:t xml:space="preserve">2020. godinu </w:t>
      </w:r>
      <w:r w:rsidRPr="000063FC">
        <w:t>korišteni su emisijski faktori istovjetni onima korištenima pri izradi</w:t>
      </w:r>
      <w:r w:rsidR="006349E8" w:rsidRPr="000063FC">
        <w:t xml:space="preserve"> Referentnog inventara emisija CO</w:t>
      </w:r>
      <w:r w:rsidR="006349E8" w:rsidRPr="000063FC">
        <w:rPr>
          <w:vertAlign w:val="subscript"/>
        </w:rPr>
        <w:t>2</w:t>
      </w:r>
      <w:r w:rsidR="006349E8" w:rsidRPr="000063FC">
        <w:t xml:space="preserve"> u 2008. godini</w:t>
      </w:r>
      <w:r w:rsidRPr="000063FC">
        <w:t xml:space="preserve">, </w:t>
      </w:r>
      <w:r w:rsidR="00032E38">
        <w:t>i</w:t>
      </w:r>
      <w:r w:rsidRPr="000063FC">
        <w:t>a</w:t>
      </w:r>
      <w:r w:rsidR="00032E38">
        <w:t>ko</w:t>
      </w:r>
      <w:r w:rsidRPr="000063FC">
        <w:t xml:space="preserve"> faktori za određivanje neizravnih emisija CO</w:t>
      </w:r>
      <w:r w:rsidRPr="000063FC">
        <w:rPr>
          <w:vertAlign w:val="subscript"/>
        </w:rPr>
        <w:t>2</w:t>
      </w:r>
      <w:r w:rsidRPr="000063FC">
        <w:t xml:space="preserve"> variraju od godine do godine s obzirom na način proizvodnje električne</w:t>
      </w:r>
      <w:r w:rsidR="006349E8" w:rsidRPr="000063FC">
        <w:t xml:space="preserve"> i toplinske energije</w:t>
      </w:r>
      <w:r w:rsidRPr="000063FC">
        <w:t xml:space="preserve">. </w:t>
      </w:r>
      <w:r w:rsidR="006349E8" w:rsidRPr="000063FC">
        <w:t>Ovdje je važno napomenuti da p</w:t>
      </w:r>
      <w:r w:rsidRPr="000063FC">
        <w:t xml:space="preserve">ri procjeni emisija </w:t>
      </w:r>
      <w:r w:rsidR="006349E8" w:rsidRPr="000063FC">
        <w:t>CO</w:t>
      </w:r>
      <w:r w:rsidR="006349E8" w:rsidRPr="000063FC">
        <w:rPr>
          <w:vertAlign w:val="subscript"/>
        </w:rPr>
        <w:t>2</w:t>
      </w:r>
      <w:r w:rsidR="006349E8" w:rsidRPr="000063FC">
        <w:t xml:space="preserve"> iz 3 promatrana sektora u 2020. godini </w:t>
      </w:r>
      <w:r w:rsidRPr="000063FC">
        <w:t>nije uzeta u obzir činjenica da je Strategijom energetskog razvoja Republike Hrvatske p</w:t>
      </w:r>
      <w:r w:rsidR="006349E8" w:rsidRPr="000063FC">
        <w:t>redviđena izgradnja dvije termoelektrane</w:t>
      </w:r>
      <w:r w:rsidRPr="000063FC">
        <w:t xml:space="preserve"> na ugljen te jedne plinske elektrane do 2020. godine, što uvelike utječe na emisijski faktor, prvenstveno električne energije. </w:t>
      </w:r>
    </w:p>
    <w:p w:rsidR="006E035F" w:rsidRPr="000063FC" w:rsidRDefault="006E035F" w:rsidP="00E17A29">
      <w:pPr>
        <w:spacing w:line="276" w:lineRule="auto"/>
      </w:pPr>
    </w:p>
    <w:p w:rsidR="006E035F" w:rsidRPr="000063FC" w:rsidRDefault="006E035F" w:rsidP="00E17A29">
      <w:pPr>
        <w:spacing w:line="276" w:lineRule="auto"/>
      </w:pPr>
      <w:r w:rsidRPr="000063FC">
        <w:t xml:space="preserve">Tablica 3.15 daje pregled </w:t>
      </w:r>
      <w:r w:rsidR="006349E8" w:rsidRPr="000063FC">
        <w:t xml:space="preserve">projekcija </w:t>
      </w:r>
      <w:r w:rsidRPr="000063FC">
        <w:t xml:space="preserve">emisija </w:t>
      </w:r>
      <w:r w:rsidR="006349E8" w:rsidRPr="000063FC">
        <w:t>CO</w:t>
      </w:r>
      <w:r w:rsidR="006349E8" w:rsidRPr="000063FC">
        <w:rPr>
          <w:vertAlign w:val="subscript"/>
        </w:rPr>
        <w:t>2</w:t>
      </w:r>
      <w:r w:rsidR="006349E8" w:rsidRPr="000063FC">
        <w:t xml:space="preserve"> </w:t>
      </w:r>
      <w:r w:rsidRPr="000063FC">
        <w:t xml:space="preserve">po sektorima za scenarij bez mjera i scenarij s mjerama. Najveći udio u ukupnim emisijama oba scenarija ima sektor zgradarstva. Udio toga sektora </w:t>
      </w:r>
      <w:r w:rsidR="006349E8" w:rsidRPr="000063FC">
        <w:t xml:space="preserve">u </w:t>
      </w:r>
      <w:r w:rsidRPr="000063FC">
        <w:t>ukupnim emisijama scenarija bez mjera iznosi 59,</w:t>
      </w:r>
      <w:r w:rsidR="00704ED5">
        <w:t>8</w:t>
      </w:r>
      <w:r w:rsidRPr="000063FC">
        <w:t xml:space="preserve">%, </w:t>
      </w:r>
      <w:r w:rsidR="006349E8" w:rsidRPr="000063FC">
        <w:t xml:space="preserve">a </w:t>
      </w:r>
      <w:r w:rsidRPr="000063FC">
        <w:t xml:space="preserve">u scenariju s mjerama </w:t>
      </w:r>
      <w:r w:rsidR="00704ED5">
        <w:t>57,0</w:t>
      </w:r>
      <w:r w:rsidRPr="000063FC">
        <w:t>%. Udio emisije sektora promet scenarija bez mjera iznosi 39,</w:t>
      </w:r>
      <w:r w:rsidR="00704ED5">
        <w:t>1</w:t>
      </w:r>
      <w:r w:rsidRPr="000063FC">
        <w:t xml:space="preserve">%, dok u scenariju s mjerama taj udio iznosi </w:t>
      </w:r>
      <w:r w:rsidR="00704ED5">
        <w:t>41,8</w:t>
      </w:r>
      <w:r w:rsidRPr="000063FC">
        <w:t>%. Iz priloženih udjela može se zaključiti da je zgradarstvo sektor s najvećim potencijalom smanjenja emisije CO</w:t>
      </w:r>
      <w:r w:rsidRPr="000063FC">
        <w:rPr>
          <w:vertAlign w:val="subscript"/>
        </w:rPr>
        <w:t>2</w:t>
      </w:r>
      <w:r w:rsidRPr="000063FC">
        <w:t xml:space="preserve"> (tablica 3.16 i slika 3.8). Emisija scenarija s mjerama tog sektora smanjena je za 32,</w:t>
      </w:r>
      <w:r w:rsidR="00704ED5">
        <w:t>2</w:t>
      </w:r>
      <w:r w:rsidRPr="000063FC">
        <w:t>% u odnosu na 2008. godinu. Emisija sektora javne rasvjete smanjena je za 17,0%, dok je emisija sektora promet smanjena za</w:t>
      </w:r>
      <w:r w:rsidR="006349E8" w:rsidRPr="000063FC">
        <w:t xml:space="preserve"> 13,0% u odnosu na emisiju referentne</w:t>
      </w:r>
      <w:r w:rsidRPr="000063FC">
        <w:t xml:space="preserve"> godine. Provedbom svih predloženih mjera ukupno smanjenje emisije CO</w:t>
      </w:r>
      <w:r w:rsidRPr="000063FC">
        <w:rPr>
          <w:vertAlign w:val="subscript"/>
        </w:rPr>
        <w:t>2</w:t>
      </w:r>
      <w:r w:rsidRPr="000063FC">
        <w:t xml:space="preserve"> u </w:t>
      </w:r>
      <w:r w:rsidR="006349E8" w:rsidRPr="000063FC">
        <w:t xml:space="preserve">2020. godini u </w:t>
      </w:r>
      <w:r w:rsidRPr="000063FC">
        <w:t xml:space="preserve">odnosu na </w:t>
      </w:r>
      <w:r w:rsidR="006349E8" w:rsidRPr="000063FC">
        <w:t xml:space="preserve">2008. </w:t>
      </w:r>
      <w:r w:rsidRPr="000063FC">
        <w:t>godinu iznosilo bi 25,</w:t>
      </w:r>
      <w:r w:rsidR="00704ED5">
        <w:t>1</w:t>
      </w:r>
      <w:r w:rsidRPr="000063FC">
        <w:t>%.</w:t>
      </w:r>
    </w:p>
    <w:p w:rsidR="006E035F" w:rsidRPr="000063FC" w:rsidRDefault="006E035F" w:rsidP="006E035F">
      <w:pPr>
        <w:spacing w:line="280" w:lineRule="exact"/>
      </w:pPr>
    </w:p>
    <w:p w:rsidR="006E035F" w:rsidRDefault="006349E8" w:rsidP="00B33E2F">
      <w:pPr>
        <w:pStyle w:val="Heading6"/>
      </w:pPr>
      <w:bookmarkStart w:id="251" w:name="_Toc251161372"/>
      <w:bookmarkStart w:id="252" w:name="_Toc254010271"/>
      <w:r w:rsidRPr="000063FC">
        <w:t>Tablica 3.15: Projekcije emisija</w:t>
      </w:r>
      <w:r w:rsidR="006E035F" w:rsidRPr="000063FC">
        <w:t xml:space="preserve"> </w:t>
      </w:r>
      <w:r w:rsidRPr="000063FC">
        <w:t>CO</w:t>
      </w:r>
      <w:r w:rsidRPr="000063FC">
        <w:rPr>
          <w:vertAlign w:val="subscript"/>
        </w:rPr>
        <w:t>2</w:t>
      </w:r>
      <w:r w:rsidRPr="000063FC">
        <w:t xml:space="preserve"> za scenarij bez mjera i s</w:t>
      </w:r>
      <w:r w:rsidR="006E035F" w:rsidRPr="000063FC">
        <w:t>cenarij s mjerama</w:t>
      </w:r>
      <w:bookmarkEnd w:id="251"/>
      <w:r w:rsidRPr="000063FC">
        <w:t xml:space="preserve"> po sektorima</w:t>
      </w:r>
      <w:bookmarkEnd w:id="252"/>
    </w:p>
    <w:tbl>
      <w:tblPr>
        <w:tblW w:w="8925" w:type="dxa"/>
        <w:tblInd w:w="108" w:type="dxa"/>
        <w:tblBorders>
          <w:top w:val="single" w:sz="4" w:space="0" w:color="4BACC6"/>
          <w:left w:val="single" w:sz="4" w:space="0" w:color="4BACC6"/>
          <w:bottom w:val="single" w:sz="4" w:space="0" w:color="4BACC6"/>
          <w:right w:val="single" w:sz="4" w:space="0" w:color="4BACC6"/>
          <w:insideH w:val="single" w:sz="6" w:space="0" w:color="4BACC6"/>
          <w:insideV w:val="single" w:sz="6" w:space="0" w:color="4BACC6"/>
        </w:tblBorders>
        <w:tblLook w:val="0000" w:firstRow="0" w:lastRow="0" w:firstColumn="0" w:lastColumn="0" w:noHBand="0" w:noVBand="0"/>
      </w:tblPr>
      <w:tblGrid>
        <w:gridCol w:w="2095"/>
        <w:gridCol w:w="1600"/>
        <w:gridCol w:w="1810"/>
        <w:gridCol w:w="1800"/>
        <w:gridCol w:w="1620"/>
      </w:tblGrid>
      <w:tr w:rsidR="00041B6E" w:rsidRPr="006F4251" w:rsidTr="00D027DF">
        <w:trPr>
          <w:trHeight w:val="428"/>
        </w:trPr>
        <w:tc>
          <w:tcPr>
            <w:tcW w:w="2095" w:type="dxa"/>
            <w:tcBorders>
              <w:top w:val="single" w:sz="4" w:space="0" w:color="4BACC6"/>
              <w:right w:val="single" w:sz="6" w:space="0" w:color="FFFFFF"/>
            </w:tcBorders>
            <w:shd w:val="clear" w:color="auto" w:fill="4BACC6"/>
            <w:noWrap/>
            <w:vAlign w:val="center"/>
          </w:tcPr>
          <w:p w:rsidR="00041B6E" w:rsidRPr="006F4251" w:rsidRDefault="00041B6E" w:rsidP="00D027DF">
            <w:pPr>
              <w:jc w:val="center"/>
              <w:rPr>
                <w:b/>
                <w:bCs/>
                <w:color w:val="FFFFFF"/>
                <w:sz w:val="20"/>
                <w:lang w:eastAsia="hr-HR"/>
              </w:rPr>
            </w:pPr>
            <w:r w:rsidRPr="006F4251">
              <w:rPr>
                <w:b/>
                <w:bCs/>
                <w:color w:val="FFFFFF"/>
                <w:sz w:val="20"/>
                <w:lang w:eastAsia="hr-HR"/>
              </w:rPr>
              <w:t>Scenarij</w:t>
            </w:r>
          </w:p>
        </w:tc>
        <w:tc>
          <w:tcPr>
            <w:tcW w:w="1600" w:type="dxa"/>
            <w:tcBorders>
              <w:top w:val="single" w:sz="4" w:space="0" w:color="4BACC6"/>
              <w:left w:val="single" w:sz="6" w:space="0" w:color="FFFFFF"/>
              <w:right w:val="single" w:sz="6" w:space="0" w:color="FFFFFF"/>
            </w:tcBorders>
            <w:shd w:val="clear" w:color="auto" w:fill="4BACC6"/>
            <w:noWrap/>
            <w:vAlign w:val="center"/>
          </w:tcPr>
          <w:p w:rsidR="00041B6E" w:rsidRPr="006F4251" w:rsidRDefault="00041B6E" w:rsidP="00D027DF">
            <w:pPr>
              <w:jc w:val="center"/>
              <w:rPr>
                <w:b/>
                <w:bCs/>
                <w:color w:val="FFFFFF"/>
                <w:sz w:val="20"/>
                <w:lang w:eastAsia="hr-HR"/>
              </w:rPr>
            </w:pPr>
            <w:r w:rsidRPr="006F4251">
              <w:rPr>
                <w:b/>
                <w:bCs/>
                <w:color w:val="FFFFFF"/>
                <w:sz w:val="20"/>
                <w:lang w:eastAsia="hr-HR"/>
              </w:rPr>
              <w:t>Sektor</w:t>
            </w:r>
          </w:p>
        </w:tc>
        <w:tc>
          <w:tcPr>
            <w:tcW w:w="1810" w:type="dxa"/>
            <w:tcBorders>
              <w:top w:val="single" w:sz="4" w:space="0" w:color="4BACC6"/>
              <w:left w:val="single" w:sz="6" w:space="0" w:color="FFFFFF"/>
              <w:right w:val="single" w:sz="6" w:space="0" w:color="FFFFFF"/>
            </w:tcBorders>
            <w:shd w:val="clear" w:color="auto" w:fill="4BACC6"/>
            <w:noWrap/>
            <w:vAlign w:val="center"/>
          </w:tcPr>
          <w:p w:rsidR="00041B6E" w:rsidRPr="006F4251" w:rsidRDefault="00041B6E" w:rsidP="00D027DF">
            <w:pPr>
              <w:jc w:val="center"/>
              <w:rPr>
                <w:b/>
                <w:bCs/>
                <w:color w:val="FFFFFF"/>
                <w:sz w:val="20"/>
                <w:lang w:eastAsia="hr-HR"/>
              </w:rPr>
            </w:pPr>
            <w:r w:rsidRPr="006F4251">
              <w:rPr>
                <w:b/>
                <w:bCs/>
                <w:color w:val="FFFFFF"/>
                <w:sz w:val="20"/>
                <w:lang w:eastAsia="hr-HR"/>
              </w:rPr>
              <w:t>2008</w:t>
            </w:r>
          </w:p>
        </w:tc>
        <w:tc>
          <w:tcPr>
            <w:tcW w:w="1800" w:type="dxa"/>
            <w:tcBorders>
              <w:top w:val="single" w:sz="4" w:space="0" w:color="4BACC6"/>
              <w:left w:val="single" w:sz="6" w:space="0" w:color="FFFFFF"/>
              <w:right w:val="single" w:sz="6" w:space="0" w:color="FFFFFF"/>
            </w:tcBorders>
            <w:shd w:val="clear" w:color="auto" w:fill="4BACC6"/>
            <w:noWrap/>
            <w:vAlign w:val="center"/>
          </w:tcPr>
          <w:p w:rsidR="00041B6E" w:rsidRPr="006F4251" w:rsidRDefault="00041B6E" w:rsidP="00D027DF">
            <w:pPr>
              <w:jc w:val="center"/>
              <w:rPr>
                <w:b/>
                <w:bCs/>
                <w:color w:val="FFFFFF"/>
                <w:sz w:val="20"/>
                <w:lang w:eastAsia="hr-HR"/>
              </w:rPr>
            </w:pPr>
            <w:r w:rsidRPr="006F4251">
              <w:rPr>
                <w:b/>
                <w:bCs/>
                <w:color w:val="FFFFFF"/>
                <w:sz w:val="20"/>
                <w:lang w:eastAsia="hr-HR"/>
              </w:rPr>
              <w:t>2020</w:t>
            </w:r>
          </w:p>
        </w:tc>
        <w:tc>
          <w:tcPr>
            <w:tcW w:w="1620" w:type="dxa"/>
            <w:tcBorders>
              <w:top w:val="single" w:sz="4" w:space="0" w:color="4BACC6"/>
              <w:left w:val="single" w:sz="6" w:space="0" w:color="FFFFFF"/>
            </w:tcBorders>
            <w:shd w:val="clear" w:color="auto" w:fill="4BACC6"/>
            <w:vAlign w:val="center"/>
          </w:tcPr>
          <w:p w:rsidR="00041B6E" w:rsidRPr="006F4251" w:rsidRDefault="00041B6E" w:rsidP="00D027DF">
            <w:pPr>
              <w:jc w:val="center"/>
              <w:rPr>
                <w:b/>
                <w:bCs/>
                <w:color w:val="FFFFFF"/>
                <w:sz w:val="20"/>
                <w:lang w:eastAsia="hr-HR"/>
              </w:rPr>
            </w:pPr>
            <w:r w:rsidRPr="006F4251">
              <w:rPr>
                <w:b/>
                <w:bCs/>
                <w:color w:val="FFFFFF"/>
                <w:sz w:val="20"/>
                <w:lang w:eastAsia="hr-HR"/>
              </w:rPr>
              <w:t>%</w:t>
            </w:r>
            <w:r>
              <w:rPr>
                <w:b/>
                <w:bCs/>
                <w:color w:val="FFFFFF"/>
                <w:sz w:val="20"/>
                <w:lang w:eastAsia="hr-HR"/>
              </w:rPr>
              <w:t xml:space="preserve"> u </w:t>
            </w:r>
            <w:r w:rsidRPr="006F4251">
              <w:rPr>
                <w:b/>
                <w:bCs/>
                <w:color w:val="FFFFFF"/>
                <w:sz w:val="20"/>
                <w:lang w:eastAsia="hr-HR"/>
              </w:rPr>
              <w:t>odnosu na 2008</w:t>
            </w:r>
          </w:p>
        </w:tc>
      </w:tr>
      <w:tr w:rsidR="00041B6E" w:rsidRPr="006F4251" w:rsidTr="00D027DF">
        <w:trPr>
          <w:trHeight w:hRule="exact" w:val="284"/>
        </w:trPr>
        <w:tc>
          <w:tcPr>
            <w:tcW w:w="2095" w:type="dxa"/>
            <w:vMerge w:val="restart"/>
            <w:noWrap/>
            <w:vAlign w:val="center"/>
          </w:tcPr>
          <w:p w:rsidR="00041B6E" w:rsidRPr="006F4251" w:rsidRDefault="00041B6E" w:rsidP="00D027DF">
            <w:pPr>
              <w:jc w:val="center"/>
              <w:rPr>
                <w:color w:val="000000"/>
                <w:sz w:val="20"/>
                <w:lang w:eastAsia="hr-HR"/>
              </w:rPr>
            </w:pPr>
            <w:r w:rsidRPr="006F4251">
              <w:rPr>
                <w:color w:val="000000"/>
                <w:sz w:val="20"/>
                <w:lang w:eastAsia="hr-HR"/>
              </w:rPr>
              <w:t>Scenarij</w:t>
            </w:r>
            <w:r>
              <w:rPr>
                <w:color w:val="000000"/>
                <w:sz w:val="20"/>
                <w:lang w:eastAsia="hr-HR"/>
              </w:rPr>
              <w:t xml:space="preserve"> bez mjera</w:t>
            </w:r>
          </w:p>
        </w:tc>
        <w:tc>
          <w:tcPr>
            <w:tcW w:w="1600" w:type="dxa"/>
            <w:noWrap/>
            <w:vAlign w:val="bottom"/>
          </w:tcPr>
          <w:p w:rsidR="00041B6E" w:rsidRPr="006F4251" w:rsidRDefault="00041B6E" w:rsidP="00D027DF">
            <w:pPr>
              <w:rPr>
                <w:color w:val="000000"/>
                <w:sz w:val="20"/>
                <w:lang w:eastAsia="hr-HR"/>
              </w:rPr>
            </w:pPr>
            <w:r w:rsidRPr="006F4251">
              <w:rPr>
                <w:color w:val="000000"/>
                <w:sz w:val="20"/>
                <w:lang w:eastAsia="hr-HR"/>
              </w:rPr>
              <w:t>Promet</w:t>
            </w:r>
          </w:p>
        </w:tc>
        <w:tc>
          <w:tcPr>
            <w:tcW w:w="1810" w:type="dxa"/>
            <w:noWrap/>
            <w:vAlign w:val="bottom"/>
          </w:tcPr>
          <w:p w:rsidR="00041B6E" w:rsidRPr="00924CDD" w:rsidRDefault="00041B6E" w:rsidP="00D027DF">
            <w:pPr>
              <w:jc w:val="right"/>
              <w:rPr>
                <w:rFonts w:cs="Arial"/>
                <w:color w:val="000000"/>
                <w:sz w:val="20"/>
              </w:rPr>
            </w:pPr>
            <w:r w:rsidRPr="00924CDD">
              <w:rPr>
                <w:rFonts w:cs="Arial"/>
                <w:color w:val="000000"/>
                <w:sz w:val="20"/>
              </w:rPr>
              <w:t>1.007.443,07</w:t>
            </w:r>
          </w:p>
        </w:tc>
        <w:tc>
          <w:tcPr>
            <w:tcW w:w="1800" w:type="dxa"/>
            <w:noWrap/>
            <w:vAlign w:val="bottom"/>
          </w:tcPr>
          <w:p w:rsidR="00041B6E" w:rsidRPr="00924CDD" w:rsidRDefault="00041B6E" w:rsidP="00D027DF">
            <w:pPr>
              <w:jc w:val="right"/>
              <w:rPr>
                <w:rFonts w:cs="Arial"/>
                <w:color w:val="000000"/>
                <w:sz w:val="20"/>
              </w:rPr>
            </w:pPr>
            <w:r w:rsidRPr="00924CDD">
              <w:rPr>
                <w:rFonts w:cs="Arial"/>
                <w:color w:val="000000"/>
                <w:sz w:val="20"/>
              </w:rPr>
              <w:t>1.176.179,86</w:t>
            </w:r>
          </w:p>
        </w:tc>
        <w:tc>
          <w:tcPr>
            <w:tcW w:w="1620" w:type="dxa"/>
            <w:noWrap/>
            <w:vAlign w:val="bottom"/>
          </w:tcPr>
          <w:p w:rsidR="00041B6E" w:rsidRPr="00924CDD" w:rsidRDefault="00041B6E" w:rsidP="00D027DF">
            <w:pPr>
              <w:jc w:val="center"/>
              <w:rPr>
                <w:rFonts w:cs="Arial"/>
                <w:color w:val="000000"/>
                <w:sz w:val="20"/>
              </w:rPr>
            </w:pPr>
            <w:r w:rsidRPr="00924CDD">
              <w:rPr>
                <w:rFonts w:cs="Arial"/>
                <w:color w:val="000000"/>
                <w:sz w:val="20"/>
              </w:rPr>
              <w:t>16,75</w:t>
            </w:r>
          </w:p>
        </w:tc>
      </w:tr>
      <w:tr w:rsidR="00041B6E" w:rsidRPr="006F4251" w:rsidTr="00D027DF">
        <w:trPr>
          <w:trHeight w:hRule="exact" w:val="284"/>
        </w:trPr>
        <w:tc>
          <w:tcPr>
            <w:tcW w:w="2095" w:type="dxa"/>
            <w:vMerge/>
            <w:vAlign w:val="center"/>
          </w:tcPr>
          <w:p w:rsidR="00041B6E" w:rsidRPr="006F4251" w:rsidRDefault="00041B6E" w:rsidP="00D027DF">
            <w:pPr>
              <w:jc w:val="center"/>
              <w:rPr>
                <w:color w:val="000000"/>
                <w:sz w:val="20"/>
                <w:lang w:eastAsia="hr-HR"/>
              </w:rPr>
            </w:pPr>
          </w:p>
        </w:tc>
        <w:tc>
          <w:tcPr>
            <w:tcW w:w="1600" w:type="dxa"/>
            <w:noWrap/>
            <w:vAlign w:val="bottom"/>
          </w:tcPr>
          <w:p w:rsidR="00041B6E" w:rsidRPr="006F4251" w:rsidRDefault="00041B6E" w:rsidP="00D027DF">
            <w:pPr>
              <w:rPr>
                <w:color w:val="000000"/>
                <w:sz w:val="20"/>
                <w:lang w:eastAsia="hr-HR"/>
              </w:rPr>
            </w:pPr>
            <w:r w:rsidRPr="006F4251">
              <w:rPr>
                <w:color w:val="000000"/>
                <w:sz w:val="20"/>
                <w:lang w:eastAsia="hr-HR"/>
              </w:rPr>
              <w:t>Zgradarstvo</w:t>
            </w:r>
          </w:p>
        </w:tc>
        <w:tc>
          <w:tcPr>
            <w:tcW w:w="1810" w:type="dxa"/>
            <w:noWrap/>
            <w:vAlign w:val="bottom"/>
          </w:tcPr>
          <w:p w:rsidR="00041B6E" w:rsidRPr="00924CDD" w:rsidRDefault="00041B6E" w:rsidP="00D027DF">
            <w:pPr>
              <w:jc w:val="right"/>
              <w:rPr>
                <w:rFonts w:cs="Arial"/>
                <w:color w:val="000000"/>
                <w:sz w:val="20"/>
              </w:rPr>
            </w:pPr>
            <w:r w:rsidRPr="00924CDD">
              <w:rPr>
                <w:rFonts w:cs="Arial"/>
                <w:color w:val="000000"/>
                <w:sz w:val="20"/>
              </w:rPr>
              <w:t>1.759.432,26</w:t>
            </w:r>
          </w:p>
        </w:tc>
        <w:tc>
          <w:tcPr>
            <w:tcW w:w="1800" w:type="dxa"/>
            <w:noWrap/>
            <w:vAlign w:val="bottom"/>
          </w:tcPr>
          <w:p w:rsidR="00041B6E" w:rsidRPr="00924CDD" w:rsidRDefault="00041B6E" w:rsidP="00D027DF">
            <w:pPr>
              <w:jc w:val="right"/>
              <w:rPr>
                <w:rFonts w:cs="Arial"/>
                <w:color w:val="000000"/>
                <w:sz w:val="20"/>
              </w:rPr>
            </w:pPr>
            <w:r w:rsidRPr="00924CDD">
              <w:rPr>
                <w:rFonts w:cs="Arial"/>
                <w:color w:val="000000"/>
                <w:sz w:val="20"/>
              </w:rPr>
              <w:t>1.799.993,95</w:t>
            </w:r>
          </w:p>
        </w:tc>
        <w:tc>
          <w:tcPr>
            <w:tcW w:w="1620" w:type="dxa"/>
            <w:noWrap/>
            <w:vAlign w:val="bottom"/>
          </w:tcPr>
          <w:p w:rsidR="00041B6E" w:rsidRPr="00924CDD" w:rsidRDefault="00041B6E" w:rsidP="00D027DF">
            <w:pPr>
              <w:jc w:val="center"/>
              <w:rPr>
                <w:rFonts w:cs="Arial"/>
                <w:color w:val="000000"/>
                <w:sz w:val="20"/>
              </w:rPr>
            </w:pPr>
            <w:r w:rsidRPr="00924CDD">
              <w:rPr>
                <w:rFonts w:cs="Arial"/>
                <w:color w:val="000000"/>
                <w:sz w:val="20"/>
              </w:rPr>
              <w:t>2,31</w:t>
            </w:r>
          </w:p>
        </w:tc>
      </w:tr>
      <w:tr w:rsidR="00041B6E" w:rsidRPr="006F4251" w:rsidTr="00D027DF">
        <w:trPr>
          <w:trHeight w:hRule="exact" w:val="284"/>
        </w:trPr>
        <w:tc>
          <w:tcPr>
            <w:tcW w:w="2095" w:type="dxa"/>
            <w:vMerge/>
            <w:vAlign w:val="center"/>
          </w:tcPr>
          <w:p w:rsidR="00041B6E" w:rsidRPr="006F4251" w:rsidRDefault="00041B6E" w:rsidP="00D027DF">
            <w:pPr>
              <w:jc w:val="center"/>
              <w:rPr>
                <w:color w:val="000000"/>
                <w:sz w:val="20"/>
                <w:lang w:eastAsia="hr-HR"/>
              </w:rPr>
            </w:pPr>
          </w:p>
        </w:tc>
        <w:tc>
          <w:tcPr>
            <w:tcW w:w="1600" w:type="dxa"/>
            <w:noWrap/>
            <w:vAlign w:val="bottom"/>
          </w:tcPr>
          <w:p w:rsidR="00041B6E" w:rsidRPr="006F4251" w:rsidRDefault="00041B6E" w:rsidP="00D027DF">
            <w:pPr>
              <w:rPr>
                <w:color w:val="000000"/>
                <w:sz w:val="20"/>
                <w:lang w:eastAsia="hr-HR"/>
              </w:rPr>
            </w:pPr>
            <w:r w:rsidRPr="006F4251">
              <w:rPr>
                <w:color w:val="000000"/>
                <w:sz w:val="20"/>
                <w:lang w:eastAsia="hr-HR"/>
              </w:rPr>
              <w:t>Javna rasvjeta</w:t>
            </w:r>
          </w:p>
        </w:tc>
        <w:tc>
          <w:tcPr>
            <w:tcW w:w="1810" w:type="dxa"/>
            <w:noWrap/>
            <w:vAlign w:val="bottom"/>
          </w:tcPr>
          <w:p w:rsidR="00041B6E" w:rsidRPr="00924CDD" w:rsidRDefault="00041B6E" w:rsidP="00D027DF">
            <w:pPr>
              <w:jc w:val="right"/>
              <w:rPr>
                <w:rFonts w:cs="Arial"/>
                <w:color w:val="000000"/>
                <w:sz w:val="20"/>
              </w:rPr>
            </w:pPr>
            <w:r w:rsidRPr="00924CDD">
              <w:rPr>
                <w:rFonts w:cs="Arial"/>
                <w:color w:val="000000"/>
                <w:sz w:val="20"/>
              </w:rPr>
              <w:t>29.175,56</w:t>
            </w:r>
          </w:p>
        </w:tc>
        <w:tc>
          <w:tcPr>
            <w:tcW w:w="1800" w:type="dxa"/>
            <w:noWrap/>
            <w:vAlign w:val="bottom"/>
          </w:tcPr>
          <w:p w:rsidR="00041B6E" w:rsidRPr="00924CDD" w:rsidRDefault="00041B6E" w:rsidP="00D027DF">
            <w:pPr>
              <w:jc w:val="right"/>
              <w:rPr>
                <w:rFonts w:cs="Arial"/>
                <w:color w:val="000000"/>
                <w:sz w:val="20"/>
              </w:rPr>
            </w:pPr>
            <w:r w:rsidRPr="00924CDD">
              <w:rPr>
                <w:rFonts w:cs="Arial"/>
                <w:color w:val="000000"/>
                <w:sz w:val="20"/>
              </w:rPr>
              <w:t>32.085,79</w:t>
            </w:r>
          </w:p>
        </w:tc>
        <w:tc>
          <w:tcPr>
            <w:tcW w:w="1620" w:type="dxa"/>
            <w:noWrap/>
            <w:vAlign w:val="bottom"/>
          </w:tcPr>
          <w:p w:rsidR="00041B6E" w:rsidRPr="00924CDD" w:rsidRDefault="00041B6E" w:rsidP="00D027DF">
            <w:pPr>
              <w:jc w:val="center"/>
              <w:rPr>
                <w:rFonts w:cs="Arial"/>
                <w:color w:val="000000"/>
                <w:sz w:val="20"/>
              </w:rPr>
            </w:pPr>
            <w:r w:rsidRPr="00924CDD">
              <w:rPr>
                <w:rFonts w:cs="Arial"/>
                <w:color w:val="000000"/>
                <w:sz w:val="20"/>
              </w:rPr>
              <w:t>9,97</w:t>
            </w:r>
          </w:p>
        </w:tc>
      </w:tr>
      <w:tr w:rsidR="00041B6E" w:rsidRPr="006F4251" w:rsidTr="00D027DF">
        <w:trPr>
          <w:trHeight w:hRule="exact" w:val="284"/>
        </w:trPr>
        <w:tc>
          <w:tcPr>
            <w:tcW w:w="2095" w:type="dxa"/>
            <w:vMerge/>
            <w:vAlign w:val="center"/>
          </w:tcPr>
          <w:p w:rsidR="00041B6E" w:rsidRPr="006F4251" w:rsidRDefault="00041B6E" w:rsidP="00D027DF">
            <w:pPr>
              <w:jc w:val="center"/>
              <w:rPr>
                <w:color w:val="000000"/>
                <w:sz w:val="20"/>
                <w:lang w:eastAsia="hr-HR"/>
              </w:rPr>
            </w:pPr>
          </w:p>
        </w:tc>
        <w:tc>
          <w:tcPr>
            <w:tcW w:w="1600" w:type="dxa"/>
            <w:shd w:val="clear" w:color="auto" w:fill="DAEEF3"/>
            <w:noWrap/>
            <w:vAlign w:val="bottom"/>
          </w:tcPr>
          <w:p w:rsidR="00041B6E" w:rsidRPr="006F4251" w:rsidRDefault="00041B6E" w:rsidP="00D027DF">
            <w:pPr>
              <w:rPr>
                <w:color w:val="000000"/>
                <w:sz w:val="20"/>
                <w:lang w:eastAsia="hr-HR"/>
              </w:rPr>
            </w:pPr>
            <w:r w:rsidRPr="006F4251">
              <w:rPr>
                <w:color w:val="000000"/>
                <w:sz w:val="20"/>
                <w:lang w:eastAsia="hr-HR"/>
              </w:rPr>
              <w:t>UKUPNO</w:t>
            </w:r>
          </w:p>
        </w:tc>
        <w:tc>
          <w:tcPr>
            <w:tcW w:w="1810" w:type="dxa"/>
            <w:shd w:val="clear" w:color="auto" w:fill="DAEEF3"/>
            <w:noWrap/>
            <w:vAlign w:val="bottom"/>
          </w:tcPr>
          <w:p w:rsidR="00041B6E" w:rsidRPr="00924CDD" w:rsidRDefault="00041B6E" w:rsidP="00D027DF">
            <w:pPr>
              <w:jc w:val="right"/>
              <w:rPr>
                <w:rFonts w:cs="Arial"/>
                <w:color w:val="000000"/>
                <w:sz w:val="20"/>
              </w:rPr>
            </w:pPr>
            <w:r w:rsidRPr="00924CDD">
              <w:rPr>
                <w:rFonts w:cs="Arial"/>
                <w:color w:val="000000"/>
                <w:sz w:val="20"/>
              </w:rPr>
              <w:t>2.796.050,89</w:t>
            </w:r>
          </w:p>
        </w:tc>
        <w:tc>
          <w:tcPr>
            <w:tcW w:w="1800" w:type="dxa"/>
            <w:shd w:val="clear" w:color="auto" w:fill="DAEEF3"/>
            <w:noWrap/>
            <w:vAlign w:val="bottom"/>
          </w:tcPr>
          <w:p w:rsidR="00041B6E" w:rsidRPr="00924CDD" w:rsidRDefault="00041B6E" w:rsidP="00D027DF">
            <w:pPr>
              <w:jc w:val="right"/>
              <w:rPr>
                <w:rFonts w:cs="Arial"/>
                <w:color w:val="000000"/>
                <w:sz w:val="20"/>
              </w:rPr>
            </w:pPr>
            <w:r w:rsidRPr="00924CDD">
              <w:rPr>
                <w:rFonts w:cs="Arial"/>
                <w:color w:val="000000"/>
                <w:sz w:val="20"/>
              </w:rPr>
              <w:t>3.008.259,60</w:t>
            </w:r>
          </w:p>
        </w:tc>
        <w:tc>
          <w:tcPr>
            <w:tcW w:w="1620" w:type="dxa"/>
            <w:shd w:val="clear" w:color="auto" w:fill="DAEEF3"/>
            <w:noWrap/>
            <w:vAlign w:val="bottom"/>
          </w:tcPr>
          <w:p w:rsidR="00041B6E" w:rsidRPr="00924CDD" w:rsidRDefault="00041B6E" w:rsidP="00D027DF">
            <w:pPr>
              <w:jc w:val="center"/>
              <w:rPr>
                <w:rFonts w:cs="Arial"/>
                <w:color w:val="000000"/>
                <w:sz w:val="20"/>
              </w:rPr>
            </w:pPr>
            <w:r w:rsidRPr="00924CDD">
              <w:rPr>
                <w:rFonts w:cs="Arial"/>
                <w:color w:val="000000"/>
                <w:sz w:val="20"/>
              </w:rPr>
              <w:t>7,59</w:t>
            </w:r>
          </w:p>
        </w:tc>
      </w:tr>
      <w:tr w:rsidR="00041B6E" w:rsidRPr="006F4251" w:rsidTr="00D027DF">
        <w:trPr>
          <w:trHeight w:hRule="exact" w:val="284"/>
        </w:trPr>
        <w:tc>
          <w:tcPr>
            <w:tcW w:w="2095" w:type="dxa"/>
            <w:vMerge w:val="restart"/>
            <w:noWrap/>
            <w:vAlign w:val="center"/>
          </w:tcPr>
          <w:p w:rsidR="00041B6E" w:rsidRPr="006F4251" w:rsidRDefault="00041B6E" w:rsidP="00D027DF">
            <w:pPr>
              <w:jc w:val="center"/>
              <w:rPr>
                <w:color w:val="000000"/>
                <w:sz w:val="20"/>
                <w:lang w:eastAsia="hr-HR"/>
              </w:rPr>
            </w:pPr>
            <w:r w:rsidRPr="006F4251">
              <w:rPr>
                <w:color w:val="000000"/>
                <w:sz w:val="20"/>
                <w:lang w:eastAsia="hr-HR"/>
              </w:rPr>
              <w:t>Scenarij s mjerama</w:t>
            </w:r>
          </w:p>
        </w:tc>
        <w:tc>
          <w:tcPr>
            <w:tcW w:w="1600" w:type="dxa"/>
            <w:noWrap/>
            <w:vAlign w:val="bottom"/>
          </w:tcPr>
          <w:p w:rsidR="00041B6E" w:rsidRPr="006F4251" w:rsidRDefault="00041B6E" w:rsidP="00D027DF">
            <w:pPr>
              <w:rPr>
                <w:color w:val="000000"/>
                <w:sz w:val="20"/>
                <w:lang w:eastAsia="hr-HR"/>
              </w:rPr>
            </w:pPr>
            <w:r w:rsidRPr="006F4251">
              <w:rPr>
                <w:color w:val="000000"/>
                <w:sz w:val="20"/>
                <w:lang w:eastAsia="hr-HR"/>
              </w:rPr>
              <w:t>Promet</w:t>
            </w:r>
          </w:p>
        </w:tc>
        <w:tc>
          <w:tcPr>
            <w:tcW w:w="1810" w:type="dxa"/>
            <w:noWrap/>
            <w:vAlign w:val="bottom"/>
          </w:tcPr>
          <w:p w:rsidR="00041B6E" w:rsidRPr="00924CDD" w:rsidRDefault="00041B6E" w:rsidP="00D027DF">
            <w:pPr>
              <w:jc w:val="right"/>
              <w:rPr>
                <w:rFonts w:cs="Arial"/>
                <w:color w:val="000000"/>
                <w:sz w:val="20"/>
              </w:rPr>
            </w:pPr>
            <w:r w:rsidRPr="00924CDD">
              <w:rPr>
                <w:rFonts w:cs="Arial"/>
                <w:color w:val="000000"/>
                <w:sz w:val="20"/>
              </w:rPr>
              <w:t>1.007.443,07</w:t>
            </w:r>
          </w:p>
        </w:tc>
        <w:tc>
          <w:tcPr>
            <w:tcW w:w="1800" w:type="dxa"/>
            <w:noWrap/>
            <w:vAlign w:val="bottom"/>
          </w:tcPr>
          <w:p w:rsidR="00041B6E" w:rsidRPr="00924CDD" w:rsidRDefault="00041B6E" w:rsidP="00D027DF">
            <w:pPr>
              <w:jc w:val="right"/>
              <w:rPr>
                <w:rFonts w:cs="Arial"/>
                <w:color w:val="000000"/>
                <w:sz w:val="20"/>
              </w:rPr>
            </w:pPr>
            <w:r w:rsidRPr="00924CDD">
              <w:rPr>
                <w:rFonts w:cs="Arial"/>
                <w:color w:val="000000"/>
                <w:sz w:val="20"/>
              </w:rPr>
              <w:t>876.356,82</w:t>
            </w:r>
          </w:p>
        </w:tc>
        <w:tc>
          <w:tcPr>
            <w:tcW w:w="1620" w:type="dxa"/>
            <w:noWrap/>
            <w:vAlign w:val="bottom"/>
          </w:tcPr>
          <w:p w:rsidR="00041B6E" w:rsidRPr="00924CDD" w:rsidRDefault="00041B6E" w:rsidP="00D027DF">
            <w:pPr>
              <w:jc w:val="center"/>
              <w:rPr>
                <w:rFonts w:cs="Arial"/>
                <w:color w:val="000000"/>
                <w:sz w:val="20"/>
              </w:rPr>
            </w:pPr>
            <w:r w:rsidRPr="00924CDD">
              <w:rPr>
                <w:rFonts w:cs="Arial"/>
                <w:color w:val="000000"/>
                <w:sz w:val="20"/>
              </w:rPr>
              <w:t>-13,01</w:t>
            </w:r>
          </w:p>
        </w:tc>
      </w:tr>
      <w:tr w:rsidR="00041B6E" w:rsidRPr="006F4251" w:rsidTr="00D027DF">
        <w:trPr>
          <w:trHeight w:hRule="exact" w:val="284"/>
        </w:trPr>
        <w:tc>
          <w:tcPr>
            <w:tcW w:w="2095" w:type="dxa"/>
            <w:vMerge/>
            <w:vAlign w:val="center"/>
          </w:tcPr>
          <w:p w:rsidR="00041B6E" w:rsidRPr="006F4251" w:rsidRDefault="00041B6E" w:rsidP="00D027DF">
            <w:pPr>
              <w:rPr>
                <w:color w:val="000000"/>
                <w:sz w:val="20"/>
                <w:lang w:eastAsia="hr-HR"/>
              </w:rPr>
            </w:pPr>
          </w:p>
        </w:tc>
        <w:tc>
          <w:tcPr>
            <w:tcW w:w="1600" w:type="dxa"/>
            <w:noWrap/>
            <w:vAlign w:val="bottom"/>
          </w:tcPr>
          <w:p w:rsidR="00041B6E" w:rsidRPr="006F4251" w:rsidRDefault="00041B6E" w:rsidP="00D027DF">
            <w:pPr>
              <w:rPr>
                <w:color w:val="000000"/>
                <w:sz w:val="20"/>
                <w:lang w:eastAsia="hr-HR"/>
              </w:rPr>
            </w:pPr>
            <w:r w:rsidRPr="006F4251">
              <w:rPr>
                <w:color w:val="000000"/>
                <w:sz w:val="20"/>
                <w:lang w:eastAsia="hr-HR"/>
              </w:rPr>
              <w:t>Zgradarstvo</w:t>
            </w:r>
          </w:p>
        </w:tc>
        <w:tc>
          <w:tcPr>
            <w:tcW w:w="1810" w:type="dxa"/>
            <w:noWrap/>
            <w:vAlign w:val="bottom"/>
          </w:tcPr>
          <w:p w:rsidR="00041B6E" w:rsidRPr="00924CDD" w:rsidRDefault="00041B6E" w:rsidP="00D027DF">
            <w:pPr>
              <w:jc w:val="right"/>
              <w:rPr>
                <w:rFonts w:cs="Arial"/>
                <w:color w:val="000000"/>
                <w:sz w:val="20"/>
              </w:rPr>
            </w:pPr>
            <w:r w:rsidRPr="00924CDD">
              <w:rPr>
                <w:rFonts w:cs="Arial"/>
                <w:color w:val="000000"/>
                <w:sz w:val="20"/>
              </w:rPr>
              <w:t>1.759.432,26</w:t>
            </w:r>
          </w:p>
        </w:tc>
        <w:tc>
          <w:tcPr>
            <w:tcW w:w="1800" w:type="dxa"/>
            <w:noWrap/>
            <w:vAlign w:val="bottom"/>
          </w:tcPr>
          <w:p w:rsidR="00041B6E" w:rsidRPr="00924CDD" w:rsidRDefault="00041B6E" w:rsidP="00D027DF">
            <w:pPr>
              <w:jc w:val="right"/>
              <w:rPr>
                <w:rFonts w:cs="Arial"/>
                <w:color w:val="000000"/>
                <w:sz w:val="20"/>
              </w:rPr>
            </w:pPr>
            <w:r w:rsidRPr="00924CDD">
              <w:rPr>
                <w:rFonts w:cs="Arial"/>
                <w:color w:val="000000"/>
                <w:sz w:val="20"/>
              </w:rPr>
              <w:t>1.193.407,15</w:t>
            </w:r>
          </w:p>
        </w:tc>
        <w:tc>
          <w:tcPr>
            <w:tcW w:w="1620" w:type="dxa"/>
            <w:noWrap/>
            <w:vAlign w:val="bottom"/>
          </w:tcPr>
          <w:p w:rsidR="00041B6E" w:rsidRPr="00924CDD" w:rsidRDefault="00041B6E" w:rsidP="00D027DF">
            <w:pPr>
              <w:jc w:val="center"/>
              <w:rPr>
                <w:rFonts w:cs="Arial"/>
                <w:color w:val="000000"/>
                <w:sz w:val="20"/>
              </w:rPr>
            </w:pPr>
            <w:r w:rsidRPr="00924CDD">
              <w:rPr>
                <w:rFonts w:cs="Arial"/>
                <w:color w:val="000000"/>
                <w:sz w:val="20"/>
              </w:rPr>
              <w:t>-32,17</w:t>
            </w:r>
          </w:p>
        </w:tc>
      </w:tr>
      <w:tr w:rsidR="00041B6E" w:rsidRPr="006F4251" w:rsidTr="00D027DF">
        <w:trPr>
          <w:trHeight w:hRule="exact" w:val="284"/>
        </w:trPr>
        <w:tc>
          <w:tcPr>
            <w:tcW w:w="2095" w:type="dxa"/>
            <w:vMerge/>
            <w:vAlign w:val="center"/>
          </w:tcPr>
          <w:p w:rsidR="00041B6E" w:rsidRPr="006F4251" w:rsidRDefault="00041B6E" w:rsidP="00D027DF">
            <w:pPr>
              <w:rPr>
                <w:color w:val="000000"/>
                <w:sz w:val="20"/>
                <w:lang w:eastAsia="hr-HR"/>
              </w:rPr>
            </w:pPr>
          </w:p>
        </w:tc>
        <w:tc>
          <w:tcPr>
            <w:tcW w:w="1600" w:type="dxa"/>
            <w:noWrap/>
            <w:vAlign w:val="bottom"/>
          </w:tcPr>
          <w:p w:rsidR="00041B6E" w:rsidRPr="006F4251" w:rsidRDefault="00041B6E" w:rsidP="00D027DF">
            <w:pPr>
              <w:rPr>
                <w:color w:val="000000"/>
                <w:sz w:val="20"/>
                <w:lang w:eastAsia="hr-HR"/>
              </w:rPr>
            </w:pPr>
            <w:r w:rsidRPr="006F4251">
              <w:rPr>
                <w:color w:val="000000"/>
                <w:sz w:val="20"/>
                <w:lang w:eastAsia="hr-HR"/>
              </w:rPr>
              <w:t>Javna rasvjeta</w:t>
            </w:r>
          </w:p>
        </w:tc>
        <w:tc>
          <w:tcPr>
            <w:tcW w:w="1810" w:type="dxa"/>
            <w:noWrap/>
            <w:vAlign w:val="bottom"/>
          </w:tcPr>
          <w:p w:rsidR="00041B6E" w:rsidRPr="00924CDD" w:rsidRDefault="00041B6E" w:rsidP="00D027DF">
            <w:pPr>
              <w:jc w:val="right"/>
              <w:rPr>
                <w:rFonts w:cs="Arial"/>
                <w:color w:val="000000"/>
                <w:sz w:val="20"/>
              </w:rPr>
            </w:pPr>
            <w:r w:rsidRPr="00924CDD">
              <w:rPr>
                <w:rFonts w:cs="Arial"/>
                <w:color w:val="000000"/>
                <w:sz w:val="20"/>
              </w:rPr>
              <w:t>29.175,56</w:t>
            </w:r>
          </w:p>
        </w:tc>
        <w:tc>
          <w:tcPr>
            <w:tcW w:w="1800" w:type="dxa"/>
            <w:noWrap/>
            <w:vAlign w:val="bottom"/>
          </w:tcPr>
          <w:p w:rsidR="00041B6E" w:rsidRPr="00924CDD" w:rsidRDefault="00041B6E" w:rsidP="00D027DF">
            <w:pPr>
              <w:jc w:val="right"/>
              <w:rPr>
                <w:rFonts w:cs="Arial"/>
                <w:color w:val="000000"/>
                <w:sz w:val="20"/>
              </w:rPr>
            </w:pPr>
            <w:r w:rsidRPr="00924CDD">
              <w:rPr>
                <w:rFonts w:cs="Arial"/>
                <w:color w:val="000000"/>
                <w:sz w:val="20"/>
              </w:rPr>
              <w:t>24.228,17</w:t>
            </w:r>
          </w:p>
        </w:tc>
        <w:tc>
          <w:tcPr>
            <w:tcW w:w="1620" w:type="dxa"/>
            <w:noWrap/>
            <w:vAlign w:val="bottom"/>
          </w:tcPr>
          <w:p w:rsidR="00041B6E" w:rsidRPr="00924CDD" w:rsidRDefault="00041B6E" w:rsidP="00D027DF">
            <w:pPr>
              <w:jc w:val="center"/>
              <w:rPr>
                <w:rFonts w:cs="Arial"/>
                <w:color w:val="000000"/>
                <w:sz w:val="20"/>
              </w:rPr>
            </w:pPr>
            <w:r w:rsidRPr="00924CDD">
              <w:rPr>
                <w:rFonts w:cs="Arial"/>
                <w:color w:val="000000"/>
                <w:sz w:val="20"/>
              </w:rPr>
              <w:t>-16,96</w:t>
            </w:r>
          </w:p>
        </w:tc>
      </w:tr>
      <w:tr w:rsidR="00041B6E" w:rsidRPr="006F4251" w:rsidTr="00D027DF">
        <w:trPr>
          <w:trHeight w:hRule="exact" w:val="284"/>
        </w:trPr>
        <w:tc>
          <w:tcPr>
            <w:tcW w:w="2095" w:type="dxa"/>
            <w:vMerge/>
            <w:tcBorders>
              <w:bottom w:val="single" w:sz="4" w:space="0" w:color="4BACC6"/>
            </w:tcBorders>
            <w:vAlign w:val="center"/>
          </w:tcPr>
          <w:p w:rsidR="00041B6E" w:rsidRPr="006F4251" w:rsidRDefault="00041B6E" w:rsidP="00D027DF">
            <w:pPr>
              <w:rPr>
                <w:color w:val="000000"/>
                <w:sz w:val="20"/>
                <w:lang w:eastAsia="hr-HR"/>
              </w:rPr>
            </w:pPr>
          </w:p>
        </w:tc>
        <w:tc>
          <w:tcPr>
            <w:tcW w:w="1600" w:type="dxa"/>
            <w:tcBorders>
              <w:bottom w:val="single" w:sz="4" w:space="0" w:color="4BACC6"/>
            </w:tcBorders>
            <w:shd w:val="clear" w:color="auto" w:fill="DAEEF3"/>
            <w:noWrap/>
            <w:vAlign w:val="bottom"/>
          </w:tcPr>
          <w:p w:rsidR="00041B6E" w:rsidRPr="006F4251" w:rsidRDefault="00041B6E" w:rsidP="00D027DF">
            <w:pPr>
              <w:rPr>
                <w:color w:val="000000"/>
                <w:sz w:val="20"/>
                <w:lang w:eastAsia="hr-HR"/>
              </w:rPr>
            </w:pPr>
            <w:r w:rsidRPr="006F4251">
              <w:rPr>
                <w:color w:val="000000"/>
                <w:sz w:val="20"/>
                <w:lang w:eastAsia="hr-HR"/>
              </w:rPr>
              <w:t>UKUPNO</w:t>
            </w:r>
          </w:p>
        </w:tc>
        <w:tc>
          <w:tcPr>
            <w:tcW w:w="1810" w:type="dxa"/>
            <w:tcBorders>
              <w:bottom w:val="single" w:sz="4" w:space="0" w:color="4BACC6"/>
            </w:tcBorders>
            <w:shd w:val="clear" w:color="auto" w:fill="DAEEF3"/>
            <w:noWrap/>
            <w:vAlign w:val="bottom"/>
          </w:tcPr>
          <w:p w:rsidR="00041B6E" w:rsidRPr="00924CDD" w:rsidRDefault="00041B6E" w:rsidP="00D027DF">
            <w:pPr>
              <w:jc w:val="right"/>
              <w:rPr>
                <w:rFonts w:cs="Arial"/>
                <w:color w:val="000000"/>
                <w:sz w:val="20"/>
              </w:rPr>
            </w:pPr>
            <w:r w:rsidRPr="00924CDD">
              <w:rPr>
                <w:rFonts w:cs="Arial"/>
                <w:color w:val="000000"/>
                <w:sz w:val="20"/>
              </w:rPr>
              <w:t>2.796.050,89</w:t>
            </w:r>
          </w:p>
        </w:tc>
        <w:tc>
          <w:tcPr>
            <w:tcW w:w="1800" w:type="dxa"/>
            <w:tcBorders>
              <w:bottom w:val="single" w:sz="4" w:space="0" w:color="4BACC6"/>
            </w:tcBorders>
            <w:shd w:val="clear" w:color="auto" w:fill="DAEEF3"/>
            <w:noWrap/>
            <w:vAlign w:val="bottom"/>
          </w:tcPr>
          <w:p w:rsidR="00041B6E" w:rsidRPr="00924CDD" w:rsidRDefault="00041B6E" w:rsidP="00D027DF">
            <w:pPr>
              <w:jc w:val="right"/>
              <w:rPr>
                <w:rFonts w:cs="Arial"/>
                <w:color w:val="000000"/>
                <w:sz w:val="20"/>
              </w:rPr>
            </w:pPr>
            <w:r w:rsidRPr="00924CDD">
              <w:rPr>
                <w:rFonts w:cs="Arial"/>
                <w:color w:val="000000"/>
                <w:sz w:val="20"/>
              </w:rPr>
              <w:t>2.093.992,13</w:t>
            </w:r>
          </w:p>
        </w:tc>
        <w:tc>
          <w:tcPr>
            <w:tcW w:w="1620" w:type="dxa"/>
            <w:tcBorders>
              <w:bottom w:val="single" w:sz="4" w:space="0" w:color="4BACC6"/>
            </w:tcBorders>
            <w:shd w:val="clear" w:color="auto" w:fill="DAEEF3"/>
            <w:noWrap/>
            <w:vAlign w:val="bottom"/>
          </w:tcPr>
          <w:p w:rsidR="00041B6E" w:rsidRPr="00924CDD" w:rsidRDefault="00041B6E" w:rsidP="00D027DF">
            <w:pPr>
              <w:jc w:val="center"/>
              <w:rPr>
                <w:rFonts w:cs="Arial"/>
                <w:color w:val="000000"/>
                <w:sz w:val="20"/>
              </w:rPr>
            </w:pPr>
            <w:r w:rsidRPr="00924CDD">
              <w:rPr>
                <w:rFonts w:cs="Arial"/>
                <w:color w:val="000000"/>
                <w:sz w:val="20"/>
              </w:rPr>
              <w:t>-25,11</w:t>
            </w:r>
          </w:p>
        </w:tc>
      </w:tr>
    </w:tbl>
    <w:p w:rsidR="00041B6E" w:rsidRDefault="00041B6E" w:rsidP="00041B6E"/>
    <w:p w:rsidR="006E035F" w:rsidRPr="000063FC" w:rsidRDefault="006E035F" w:rsidP="00E17A29">
      <w:pPr>
        <w:spacing w:line="276" w:lineRule="auto"/>
      </w:pPr>
      <w:r w:rsidRPr="000063FC">
        <w:t xml:space="preserve">Ukupna emisija </w:t>
      </w:r>
      <w:r w:rsidR="006349E8" w:rsidRPr="000063FC">
        <w:t>CO</w:t>
      </w:r>
      <w:r w:rsidR="006349E8" w:rsidRPr="000063FC">
        <w:rPr>
          <w:vertAlign w:val="subscript"/>
        </w:rPr>
        <w:t>2</w:t>
      </w:r>
      <w:r w:rsidR="006349E8" w:rsidRPr="000063FC">
        <w:t xml:space="preserve"> s</w:t>
      </w:r>
      <w:r w:rsidRPr="000063FC">
        <w:t>cenarija bez mjera iznosi 2980,7 kt CO</w:t>
      </w:r>
      <w:r w:rsidRPr="000063FC">
        <w:rPr>
          <w:vertAlign w:val="subscript"/>
        </w:rPr>
        <w:t>2</w:t>
      </w:r>
      <w:r w:rsidRPr="000063FC">
        <w:t xml:space="preserve">, što je u odnosu na 2008. godinu povećanje od 7,7%. Ukupni potencijali smanjenja emisija </w:t>
      </w:r>
      <w:r w:rsidR="006349E8" w:rsidRPr="000063FC">
        <w:t>CO</w:t>
      </w:r>
      <w:r w:rsidR="006349E8" w:rsidRPr="000063FC">
        <w:rPr>
          <w:vertAlign w:val="subscript"/>
        </w:rPr>
        <w:t>2</w:t>
      </w:r>
      <w:r w:rsidR="006349E8" w:rsidRPr="000063FC">
        <w:t xml:space="preserve"> </w:t>
      </w:r>
      <w:r w:rsidRPr="000063FC">
        <w:t>po sektorima u 2020. go</w:t>
      </w:r>
      <w:r w:rsidR="006349E8" w:rsidRPr="000063FC">
        <w:t>dini prikazani su u tablici 3.16</w:t>
      </w:r>
      <w:r w:rsidRPr="000063FC">
        <w:t xml:space="preserve">. </w:t>
      </w:r>
    </w:p>
    <w:p w:rsidR="006E035F" w:rsidRPr="000063FC" w:rsidRDefault="006E035F" w:rsidP="006E035F">
      <w:pPr>
        <w:spacing w:line="280" w:lineRule="exact"/>
      </w:pPr>
    </w:p>
    <w:p w:rsidR="006E035F" w:rsidRDefault="006E035F" w:rsidP="00B33E2F">
      <w:pPr>
        <w:pStyle w:val="Heading6"/>
      </w:pPr>
      <w:bookmarkStart w:id="253" w:name="_Toc251161373"/>
      <w:bookmarkStart w:id="254" w:name="_Toc254010272"/>
      <w:r w:rsidRPr="000063FC">
        <w:t xml:space="preserve">Tablica </w:t>
      </w:r>
      <w:r w:rsidR="00E17A29" w:rsidRPr="000063FC">
        <w:t>3.16</w:t>
      </w:r>
      <w:r w:rsidRPr="000063FC">
        <w:t>: Ukupni potencijali smanjenja emisija po sektorima</w:t>
      </w:r>
      <w:bookmarkEnd w:id="253"/>
      <w:bookmarkEnd w:id="254"/>
    </w:p>
    <w:tbl>
      <w:tblPr>
        <w:tblW w:w="8364" w:type="dxa"/>
        <w:tblInd w:w="108" w:type="dxa"/>
        <w:tblBorders>
          <w:top w:val="single" w:sz="4" w:space="0" w:color="4BACC6"/>
          <w:left w:val="single" w:sz="4" w:space="0" w:color="4BACC6"/>
          <w:bottom w:val="single" w:sz="4" w:space="0" w:color="4BACC6"/>
          <w:right w:val="single" w:sz="4" w:space="0" w:color="4BACC6"/>
          <w:insideH w:val="single" w:sz="6" w:space="0" w:color="4BACC6"/>
          <w:insideV w:val="single" w:sz="6" w:space="0" w:color="4BACC6"/>
        </w:tblBorders>
        <w:tblLook w:val="0000" w:firstRow="0" w:lastRow="0" w:firstColumn="0" w:lastColumn="0" w:noHBand="0" w:noVBand="0"/>
      </w:tblPr>
      <w:tblGrid>
        <w:gridCol w:w="2268"/>
        <w:gridCol w:w="2795"/>
        <w:gridCol w:w="3301"/>
      </w:tblGrid>
      <w:tr w:rsidR="00041B6E" w:rsidRPr="006F4251" w:rsidTr="00D027DF">
        <w:trPr>
          <w:trHeight w:val="428"/>
        </w:trPr>
        <w:tc>
          <w:tcPr>
            <w:tcW w:w="2268" w:type="dxa"/>
            <w:tcBorders>
              <w:top w:val="single" w:sz="4" w:space="0" w:color="4BACC6"/>
              <w:left w:val="single" w:sz="6" w:space="0" w:color="4BACC6"/>
              <w:right w:val="single" w:sz="6" w:space="0" w:color="FFFFFF"/>
            </w:tcBorders>
            <w:shd w:val="clear" w:color="auto" w:fill="4BACC6"/>
            <w:noWrap/>
            <w:vAlign w:val="center"/>
          </w:tcPr>
          <w:p w:rsidR="00041B6E" w:rsidRPr="006F4251" w:rsidRDefault="00041B6E" w:rsidP="00D027DF">
            <w:pPr>
              <w:jc w:val="center"/>
              <w:rPr>
                <w:b/>
                <w:bCs/>
                <w:color w:val="FFFFFF"/>
                <w:sz w:val="20"/>
                <w:lang w:eastAsia="hr-HR"/>
              </w:rPr>
            </w:pPr>
            <w:r w:rsidRPr="006F4251">
              <w:rPr>
                <w:b/>
                <w:bCs/>
                <w:color w:val="FFFFFF"/>
                <w:sz w:val="20"/>
                <w:lang w:eastAsia="hr-HR"/>
              </w:rPr>
              <w:t>Sektor</w:t>
            </w:r>
          </w:p>
        </w:tc>
        <w:tc>
          <w:tcPr>
            <w:tcW w:w="2795" w:type="dxa"/>
            <w:tcBorders>
              <w:top w:val="single" w:sz="4" w:space="0" w:color="4BACC6"/>
              <w:left w:val="single" w:sz="6" w:space="0" w:color="FFFFFF"/>
              <w:right w:val="single" w:sz="6" w:space="0" w:color="FFFFFF"/>
            </w:tcBorders>
            <w:shd w:val="clear" w:color="auto" w:fill="4BACC6"/>
            <w:vAlign w:val="center"/>
          </w:tcPr>
          <w:p w:rsidR="00041B6E" w:rsidRPr="006F4251" w:rsidRDefault="00041B6E" w:rsidP="00D027DF">
            <w:pPr>
              <w:jc w:val="center"/>
              <w:rPr>
                <w:b/>
                <w:bCs/>
                <w:color w:val="FFFFFF"/>
                <w:sz w:val="20"/>
                <w:lang w:eastAsia="hr-HR"/>
              </w:rPr>
            </w:pPr>
            <w:r>
              <w:rPr>
                <w:b/>
                <w:bCs/>
                <w:color w:val="FFFFFF"/>
                <w:sz w:val="20"/>
                <w:lang w:eastAsia="hr-HR"/>
              </w:rPr>
              <w:t>Potencijal smanjenja</w:t>
            </w:r>
          </w:p>
        </w:tc>
        <w:tc>
          <w:tcPr>
            <w:tcW w:w="3301" w:type="dxa"/>
            <w:tcBorders>
              <w:top w:val="single" w:sz="4" w:space="0" w:color="4BACC6"/>
              <w:left w:val="single" w:sz="6" w:space="0" w:color="FFFFFF"/>
              <w:right w:val="single" w:sz="4" w:space="0" w:color="4BACC6" w:themeColor="accent5"/>
            </w:tcBorders>
            <w:shd w:val="clear" w:color="auto" w:fill="4BACC6"/>
            <w:vAlign w:val="center"/>
          </w:tcPr>
          <w:p w:rsidR="00041B6E" w:rsidRDefault="00041B6E" w:rsidP="00D027DF">
            <w:pPr>
              <w:jc w:val="center"/>
              <w:rPr>
                <w:b/>
                <w:bCs/>
                <w:color w:val="FFFFFF"/>
                <w:sz w:val="20"/>
                <w:lang w:eastAsia="hr-HR"/>
              </w:rPr>
            </w:pPr>
            <w:r>
              <w:rPr>
                <w:b/>
                <w:bCs/>
                <w:color w:val="FFFFFF"/>
                <w:sz w:val="20"/>
                <w:lang w:eastAsia="hr-HR"/>
              </w:rPr>
              <w:t>Udio u ukupnom potencijalu, %</w:t>
            </w:r>
          </w:p>
        </w:tc>
      </w:tr>
      <w:tr w:rsidR="00041B6E" w:rsidRPr="006F4251" w:rsidTr="00D027DF">
        <w:trPr>
          <w:trHeight w:hRule="exact" w:val="284"/>
        </w:trPr>
        <w:tc>
          <w:tcPr>
            <w:tcW w:w="2268" w:type="dxa"/>
            <w:noWrap/>
            <w:vAlign w:val="bottom"/>
          </w:tcPr>
          <w:p w:rsidR="00041B6E" w:rsidRPr="006F4251" w:rsidRDefault="00041B6E" w:rsidP="00D027DF">
            <w:pPr>
              <w:rPr>
                <w:color w:val="000000"/>
                <w:sz w:val="20"/>
                <w:lang w:eastAsia="hr-HR"/>
              </w:rPr>
            </w:pPr>
            <w:r w:rsidRPr="006F4251">
              <w:rPr>
                <w:color w:val="000000"/>
                <w:sz w:val="20"/>
                <w:lang w:eastAsia="hr-HR"/>
              </w:rPr>
              <w:t>Promet</w:t>
            </w:r>
          </w:p>
        </w:tc>
        <w:tc>
          <w:tcPr>
            <w:tcW w:w="2795" w:type="dxa"/>
            <w:vAlign w:val="bottom"/>
          </w:tcPr>
          <w:p w:rsidR="00041B6E" w:rsidRDefault="00041B6E" w:rsidP="00D027DF">
            <w:pPr>
              <w:jc w:val="center"/>
              <w:rPr>
                <w:rFonts w:cs="Arial"/>
                <w:color w:val="000000"/>
                <w:sz w:val="20"/>
              </w:rPr>
            </w:pPr>
            <w:r>
              <w:rPr>
                <w:rFonts w:cs="Arial"/>
                <w:color w:val="000000"/>
                <w:sz w:val="20"/>
              </w:rPr>
              <w:t>299.823,04</w:t>
            </w:r>
          </w:p>
        </w:tc>
        <w:tc>
          <w:tcPr>
            <w:tcW w:w="3301" w:type="dxa"/>
            <w:tcBorders>
              <w:right w:val="single" w:sz="4" w:space="0" w:color="4BACC6" w:themeColor="accent5"/>
            </w:tcBorders>
            <w:vAlign w:val="bottom"/>
          </w:tcPr>
          <w:p w:rsidR="00041B6E" w:rsidRDefault="00041B6E" w:rsidP="00D027DF">
            <w:pPr>
              <w:jc w:val="center"/>
              <w:rPr>
                <w:rFonts w:cs="Arial"/>
                <w:color w:val="000000"/>
                <w:sz w:val="20"/>
              </w:rPr>
            </w:pPr>
            <w:r>
              <w:rPr>
                <w:rFonts w:cs="Arial"/>
                <w:color w:val="000000"/>
                <w:sz w:val="20"/>
              </w:rPr>
              <w:t>32,8</w:t>
            </w:r>
          </w:p>
        </w:tc>
      </w:tr>
      <w:tr w:rsidR="00041B6E" w:rsidRPr="006F4251" w:rsidTr="00D027DF">
        <w:trPr>
          <w:trHeight w:hRule="exact" w:val="284"/>
        </w:trPr>
        <w:tc>
          <w:tcPr>
            <w:tcW w:w="2268" w:type="dxa"/>
            <w:noWrap/>
            <w:vAlign w:val="bottom"/>
          </w:tcPr>
          <w:p w:rsidR="00041B6E" w:rsidRPr="006F4251" w:rsidRDefault="00041B6E" w:rsidP="00D027DF">
            <w:pPr>
              <w:rPr>
                <w:color w:val="000000"/>
                <w:sz w:val="20"/>
                <w:lang w:eastAsia="hr-HR"/>
              </w:rPr>
            </w:pPr>
            <w:r w:rsidRPr="006F4251">
              <w:rPr>
                <w:color w:val="000000"/>
                <w:sz w:val="20"/>
                <w:lang w:eastAsia="hr-HR"/>
              </w:rPr>
              <w:t>Zgradarstvo</w:t>
            </w:r>
          </w:p>
        </w:tc>
        <w:tc>
          <w:tcPr>
            <w:tcW w:w="2795" w:type="dxa"/>
            <w:vAlign w:val="bottom"/>
          </w:tcPr>
          <w:p w:rsidR="00041B6E" w:rsidRDefault="00041B6E" w:rsidP="00D027DF">
            <w:pPr>
              <w:jc w:val="center"/>
              <w:rPr>
                <w:rFonts w:cs="Arial"/>
                <w:color w:val="000000"/>
                <w:sz w:val="20"/>
              </w:rPr>
            </w:pPr>
            <w:r>
              <w:rPr>
                <w:rFonts w:cs="Arial"/>
                <w:color w:val="000000"/>
                <w:sz w:val="20"/>
              </w:rPr>
              <w:t>606.586,80</w:t>
            </w:r>
          </w:p>
        </w:tc>
        <w:tc>
          <w:tcPr>
            <w:tcW w:w="3301" w:type="dxa"/>
            <w:vAlign w:val="bottom"/>
          </w:tcPr>
          <w:p w:rsidR="00041B6E" w:rsidRDefault="00041B6E" w:rsidP="00D027DF">
            <w:pPr>
              <w:jc w:val="center"/>
              <w:rPr>
                <w:rFonts w:cs="Arial"/>
                <w:color w:val="000000"/>
                <w:sz w:val="20"/>
              </w:rPr>
            </w:pPr>
            <w:r>
              <w:rPr>
                <w:rFonts w:cs="Arial"/>
                <w:color w:val="000000"/>
                <w:sz w:val="20"/>
              </w:rPr>
              <w:t>66,3</w:t>
            </w:r>
          </w:p>
        </w:tc>
      </w:tr>
      <w:tr w:rsidR="00041B6E" w:rsidRPr="006F4251" w:rsidTr="00D027DF">
        <w:trPr>
          <w:trHeight w:hRule="exact" w:val="284"/>
        </w:trPr>
        <w:tc>
          <w:tcPr>
            <w:tcW w:w="2268" w:type="dxa"/>
            <w:noWrap/>
            <w:vAlign w:val="bottom"/>
          </w:tcPr>
          <w:p w:rsidR="00041B6E" w:rsidRPr="006F4251" w:rsidRDefault="00041B6E" w:rsidP="00D027DF">
            <w:pPr>
              <w:rPr>
                <w:color w:val="000000"/>
                <w:sz w:val="20"/>
                <w:lang w:eastAsia="hr-HR"/>
              </w:rPr>
            </w:pPr>
            <w:r w:rsidRPr="006F4251">
              <w:rPr>
                <w:color w:val="000000"/>
                <w:sz w:val="20"/>
                <w:lang w:eastAsia="hr-HR"/>
              </w:rPr>
              <w:t>Javna rasvjeta</w:t>
            </w:r>
          </w:p>
        </w:tc>
        <w:tc>
          <w:tcPr>
            <w:tcW w:w="2795" w:type="dxa"/>
            <w:vAlign w:val="bottom"/>
          </w:tcPr>
          <w:p w:rsidR="00041B6E" w:rsidRDefault="00041B6E" w:rsidP="00D027DF">
            <w:pPr>
              <w:jc w:val="center"/>
              <w:rPr>
                <w:rFonts w:cs="Arial"/>
                <w:color w:val="000000"/>
                <w:sz w:val="20"/>
              </w:rPr>
            </w:pPr>
            <w:r>
              <w:rPr>
                <w:rFonts w:cs="Arial"/>
                <w:color w:val="000000"/>
                <w:sz w:val="20"/>
              </w:rPr>
              <w:t>7.857,62</w:t>
            </w:r>
          </w:p>
        </w:tc>
        <w:tc>
          <w:tcPr>
            <w:tcW w:w="3301" w:type="dxa"/>
            <w:vAlign w:val="bottom"/>
          </w:tcPr>
          <w:p w:rsidR="00041B6E" w:rsidRDefault="00041B6E" w:rsidP="00D027DF">
            <w:pPr>
              <w:jc w:val="center"/>
              <w:rPr>
                <w:rFonts w:cs="Arial"/>
                <w:color w:val="000000"/>
                <w:sz w:val="20"/>
              </w:rPr>
            </w:pPr>
            <w:r>
              <w:rPr>
                <w:rFonts w:cs="Arial"/>
                <w:color w:val="000000"/>
                <w:sz w:val="20"/>
              </w:rPr>
              <w:t>0,9</w:t>
            </w:r>
          </w:p>
        </w:tc>
      </w:tr>
      <w:tr w:rsidR="00041B6E" w:rsidRPr="006F4251" w:rsidTr="00D027DF">
        <w:trPr>
          <w:trHeight w:hRule="exact" w:val="284"/>
        </w:trPr>
        <w:tc>
          <w:tcPr>
            <w:tcW w:w="2268" w:type="dxa"/>
            <w:tcBorders>
              <w:bottom w:val="single" w:sz="4" w:space="0" w:color="4BACC6"/>
            </w:tcBorders>
            <w:shd w:val="clear" w:color="auto" w:fill="DAEEF3"/>
            <w:noWrap/>
            <w:vAlign w:val="bottom"/>
          </w:tcPr>
          <w:p w:rsidR="00041B6E" w:rsidRPr="006F4251" w:rsidRDefault="00041B6E" w:rsidP="00D027DF">
            <w:pPr>
              <w:rPr>
                <w:color w:val="000000"/>
                <w:sz w:val="20"/>
                <w:lang w:eastAsia="hr-HR"/>
              </w:rPr>
            </w:pPr>
            <w:r w:rsidRPr="006F4251">
              <w:rPr>
                <w:color w:val="000000"/>
                <w:sz w:val="20"/>
                <w:lang w:eastAsia="hr-HR"/>
              </w:rPr>
              <w:t>UKUPNO</w:t>
            </w:r>
          </w:p>
        </w:tc>
        <w:tc>
          <w:tcPr>
            <w:tcW w:w="2795" w:type="dxa"/>
            <w:tcBorders>
              <w:bottom w:val="single" w:sz="4" w:space="0" w:color="4BACC6"/>
            </w:tcBorders>
            <w:shd w:val="clear" w:color="auto" w:fill="DAEEF3"/>
            <w:vAlign w:val="bottom"/>
          </w:tcPr>
          <w:p w:rsidR="00041B6E" w:rsidRDefault="00041B6E" w:rsidP="00D027DF">
            <w:pPr>
              <w:jc w:val="center"/>
              <w:rPr>
                <w:rFonts w:cs="Arial"/>
                <w:color w:val="000000"/>
                <w:sz w:val="20"/>
              </w:rPr>
            </w:pPr>
            <w:r>
              <w:rPr>
                <w:rFonts w:cs="Arial"/>
                <w:color w:val="000000"/>
                <w:sz w:val="20"/>
              </w:rPr>
              <w:t>914.267,47</w:t>
            </w:r>
          </w:p>
        </w:tc>
        <w:tc>
          <w:tcPr>
            <w:tcW w:w="3301" w:type="dxa"/>
            <w:tcBorders>
              <w:bottom w:val="single" w:sz="4" w:space="0" w:color="4BACC6"/>
            </w:tcBorders>
            <w:shd w:val="clear" w:color="auto" w:fill="DAEEF3"/>
            <w:vAlign w:val="bottom"/>
          </w:tcPr>
          <w:p w:rsidR="00041B6E" w:rsidRDefault="00041B6E" w:rsidP="00D027DF">
            <w:pPr>
              <w:jc w:val="center"/>
              <w:rPr>
                <w:rFonts w:cs="Arial"/>
                <w:color w:val="000000"/>
                <w:sz w:val="20"/>
              </w:rPr>
            </w:pPr>
            <w:r>
              <w:rPr>
                <w:rFonts w:cs="Arial"/>
                <w:color w:val="000000"/>
                <w:sz w:val="20"/>
              </w:rPr>
              <w:t>-</w:t>
            </w:r>
          </w:p>
        </w:tc>
      </w:tr>
    </w:tbl>
    <w:p w:rsidR="00041B6E" w:rsidRDefault="00041B6E" w:rsidP="00041B6E"/>
    <w:p w:rsidR="006E035F" w:rsidRPr="000063FC" w:rsidRDefault="00E17A29" w:rsidP="006E035F">
      <w:pPr>
        <w:pStyle w:val="Caption"/>
        <w:jc w:val="center"/>
      </w:pPr>
      <w:r w:rsidRPr="000063FC">
        <w:rPr>
          <w:noProof/>
          <w:lang w:eastAsia="hr-HR"/>
        </w:rPr>
        <w:lastRenderedPageBreak/>
        <w:drawing>
          <wp:inline distT="0" distB="0" distL="0" distR="0">
            <wp:extent cx="4984271" cy="2061713"/>
            <wp:effectExtent l="19050" t="0" r="6829" b="0"/>
            <wp:docPr id="3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6E035F" w:rsidRPr="000063FC" w:rsidRDefault="006E035F" w:rsidP="00E17A29">
      <w:pPr>
        <w:pStyle w:val="Heading7"/>
      </w:pPr>
      <w:bookmarkStart w:id="255" w:name="_Toc251161814"/>
      <w:bookmarkStart w:id="256" w:name="_Toc254010307"/>
      <w:r w:rsidRPr="000063FC">
        <w:t xml:space="preserve">Slika </w:t>
      </w:r>
      <w:r w:rsidR="00E17A29" w:rsidRPr="000063FC">
        <w:t>3.8</w:t>
      </w:r>
      <w:r w:rsidRPr="000063FC">
        <w:t>: Raspodjela potencijala smanjenja emisije CO</w:t>
      </w:r>
      <w:r w:rsidRPr="000063FC">
        <w:rPr>
          <w:vertAlign w:val="subscript"/>
        </w:rPr>
        <w:t>2</w:t>
      </w:r>
      <w:r w:rsidRPr="000063FC">
        <w:t xml:space="preserve"> (%)po sektorima</w:t>
      </w:r>
      <w:bookmarkEnd w:id="255"/>
      <w:bookmarkEnd w:id="256"/>
    </w:p>
    <w:p w:rsidR="006E035F" w:rsidRPr="000063FC" w:rsidRDefault="006E035F" w:rsidP="006E035F">
      <w:pPr>
        <w:pStyle w:val="Caption"/>
        <w:spacing w:line="280" w:lineRule="exact"/>
      </w:pPr>
    </w:p>
    <w:p w:rsidR="006E035F" w:rsidRPr="000063FC" w:rsidRDefault="006349E8" w:rsidP="006E035F">
      <w:pPr>
        <w:spacing w:line="280" w:lineRule="exact"/>
      </w:pPr>
      <w:r w:rsidRPr="000063FC">
        <w:t>Ukupni potencijal</w:t>
      </w:r>
      <w:r w:rsidR="006E035F" w:rsidRPr="000063FC">
        <w:t xml:space="preserve"> smanjenja emisija </w:t>
      </w:r>
      <w:r w:rsidRPr="000063FC">
        <w:t>CO</w:t>
      </w:r>
      <w:r w:rsidRPr="000063FC">
        <w:rPr>
          <w:vertAlign w:val="subscript"/>
        </w:rPr>
        <w:t>2</w:t>
      </w:r>
      <w:r w:rsidRPr="000063FC">
        <w:t xml:space="preserve"> </w:t>
      </w:r>
      <w:r w:rsidR="006E035F" w:rsidRPr="000063FC">
        <w:t>u 2020. godini za Grad Zagreb iznosi 914.267,5 t CO</w:t>
      </w:r>
      <w:r w:rsidR="006E035F" w:rsidRPr="000063FC">
        <w:rPr>
          <w:vertAlign w:val="subscript"/>
        </w:rPr>
        <w:t>2</w:t>
      </w:r>
      <w:r w:rsidRPr="000063FC">
        <w:t>. Z</w:t>
      </w:r>
      <w:r w:rsidR="006E035F" w:rsidRPr="000063FC">
        <w:t>gradarstvo je sektor s najvećim potencijalom smanjenja emisija koji iznosi 606.586,8 t CO</w:t>
      </w:r>
      <w:r w:rsidR="006E035F" w:rsidRPr="000063FC">
        <w:rPr>
          <w:vertAlign w:val="subscript"/>
        </w:rPr>
        <w:t>2</w:t>
      </w:r>
      <w:r w:rsidR="006E035F" w:rsidRPr="000063FC">
        <w:t>, što je ekvivalentno  udjelu od 66,3%. Potencijal smanjenja emisije sektora promet iznosi 299.823,0 t CO</w:t>
      </w:r>
      <w:r w:rsidR="006E035F" w:rsidRPr="000063FC">
        <w:rPr>
          <w:vertAlign w:val="subscript"/>
        </w:rPr>
        <w:t>2</w:t>
      </w:r>
      <w:r w:rsidR="006E035F" w:rsidRPr="000063FC">
        <w:t xml:space="preserve">, što prikazano preko udjela iznosi 32,8%. Najmanji udio od 0,9% u odnosu na ukupni potencijal ima sektor javne rasvjete. </w:t>
      </w:r>
    </w:p>
    <w:p w:rsidR="006E035F" w:rsidRPr="000063FC" w:rsidRDefault="006E035F" w:rsidP="006E035F">
      <w:pPr>
        <w:spacing w:line="280" w:lineRule="exact"/>
      </w:pPr>
    </w:p>
    <w:p w:rsidR="006E035F" w:rsidRPr="000063FC" w:rsidRDefault="006E035F" w:rsidP="006E035F">
      <w:pPr>
        <w:spacing w:line="280" w:lineRule="exact"/>
      </w:pPr>
      <w:r w:rsidRPr="000063FC">
        <w:t xml:space="preserve">Na slici </w:t>
      </w:r>
      <w:r w:rsidR="00E642FD" w:rsidRPr="000063FC">
        <w:t>3.9</w:t>
      </w:r>
      <w:r w:rsidRPr="000063FC">
        <w:t xml:space="preserve"> prikazane su ukupne emisije CO</w:t>
      </w:r>
      <w:r w:rsidRPr="000063FC">
        <w:rPr>
          <w:vertAlign w:val="subscript"/>
        </w:rPr>
        <w:t>2</w:t>
      </w:r>
      <w:r w:rsidRPr="000063FC">
        <w:t xml:space="preserve"> u 2020. godini za </w:t>
      </w:r>
      <w:r w:rsidR="00E642FD" w:rsidRPr="000063FC">
        <w:t>s</w:t>
      </w:r>
      <w:r w:rsidRPr="000063FC">
        <w:t xml:space="preserve">cenarij bez mjera i </w:t>
      </w:r>
      <w:r w:rsidR="00E642FD" w:rsidRPr="000063FC">
        <w:t>s</w:t>
      </w:r>
      <w:r w:rsidRPr="000063FC">
        <w:t>cenarij s mjerama te usporedba s emisijom iz 2008. godine i indikativnim ciljem.</w:t>
      </w:r>
    </w:p>
    <w:p w:rsidR="006E035F" w:rsidRDefault="006E035F" w:rsidP="006E035F">
      <w:pPr>
        <w:pStyle w:val="Caption"/>
        <w:jc w:val="center"/>
      </w:pPr>
    </w:p>
    <w:p w:rsidR="00041B6E" w:rsidRDefault="00041B6E" w:rsidP="00041B6E"/>
    <w:p w:rsidR="00041B6E" w:rsidRPr="00041B6E" w:rsidRDefault="00041B6E" w:rsidP="00041B6E">
      <w:pPr>
        <w:jc w:val="center"/>
      </w:pPr>
      <w:r w:rsidRPr="00041B6E">
        <w:rPr>
          <w:noProof/>
          <w:lang w:eastAsia="hr-HR"/>
        </w:rPr>
        <w:drawing>
          <wp:inline distT="0" distB="0" distL="0" distR="0">
            <wp:extent cx="5038725" cy="2924175"/>
            <wp:effectExtent l="0" t="0" r="0" b="0"/>
            <wp:docPr id="3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6E035F" w:rsidRPr="000063FC" w:rsidRDefault="006E035F" w:rsidP="00E642FD">
      <w:pPr>
        <w:pStyle w:val="Heading7"/>
      </w:pPr>
      <w:bookmarkStart w:id="257" w:name="_Toc251161815"/>
      <w:bookmarkStart w:id="258" w:name="_Toc254010308"/>
      <w:r w:rsidRPr="000063FC">
        <w:t xml:space="preserve">Slika </w:t>
      </w:r>
      <w:r w:rsidR="00E642FD" w:rsidRPr="000063FC">
        <w:t>3.9</w:t>
      </w:r>
      <w:r w:rsidRPr="000063FC">
        <w:t>: Ukupne projekcije emisije CO</w:t>
      </w:r>
      <w:r w:rsidRPr="000063FC">
        <w:rPr>
          <w:vertAlign w:val="subscript"/>
        </w:rPr>
        <w:t>2</w:t>
      </w:r>
      <w:r w:rsidRPr="000063FC">
        <w:t xml:space="preserve"> po scenarijima</w:t>
      </w:r>
      <w:bookmarkEnd w:id="257"/>
      <w:bookmarkEnd w:id="258"/>
    </w:p>
    <w:p w:rsidR="006E035F" w:rsidRPr="000063FC" w:rsidRDefault="006E035F" w:rsidP="006E035F">
      <w:pPr>
        <w:spacing w:line="280" w:lineRule="exact"/>
      </w:pPr>
    </w:p>
    <w:p w:rsidR="006E035F" w:rsidRPr="000063FC" w:rsidRDefault="006E035F" w:rsidP="006E035F">
      <w:pPr>
        <w:rPr>
          <w:color w:val="000000"/>
        </w:rPr>
      </w:pPr>
      <w:r w:rsidRPr="000063FC">
        <w:t>Predloženi indikativni cilj smanjenja emisije CO</w:t>
      </w:r>
      <w:r w:rsidRPr="000063FC">
        <w:rPr>
          <w:vertAlign w:val="subscript"/>
        </w:rPr>
        <w:t>2</w:t>
      </w:r>
      <w:r w:rsidRPr="000063FC">
        <w:t xml:space="preserve"> je 21% u 2020. godini, u odnosu na emisiju 2008. godine što je ekvivalentno emisiji </w:t>
      </w:r>
      <w:r w:rsidRPr="000063FC">
        <w:rPr>
          <w:rFonts w:cs="Arial"/>
          <w:szCs w:val="22"/>
        </w:rPr>
        <w:t xml:space="preserve">od </w:t>
      </w:r>
      <w:r w:rsidRPr="000063FC">
        <w:rPr>
          <w:rFonts w:cs="Arial"/>
          <w:bCs/>
          <w:szCs w:val="22"/>
          <w:lang w:eastAsia="hr-HR"/>
        </w:rPr>
        <w:t>2.</w:t>
      </w:r>
      <w:r w:rsidR="00041B6E">
        <w:rPr>
          <w:rFonts w:cs="Arial"/>
          <w:bCs/>
          <w:szCs w:val="22"/>
          <w:lang w:eastAsia="hr-HR"/>
        </w:rPr>
        <w:t>208.880,2</w:t>
      </w:r>
      <w:r w:rsidRPr="000063FC">
        <w:rPr>
          <w:rFonts w:cs="Arial"/>
          <w:bCs/>
          <w:szCs w:val="22"/>
          <w:lang w:eastAsia="hr-HR"/>
        </w:rPr>
        <w:t xml:space="preserve"> </w:t>
      </w:r>
      <w:r w:rsidRPr="000063FC">
        <w:t>t CO</w:t>
      </w:r>
      <w:r w:rsidRPr="000063FC">
        <w:rPr>
          <w:vertAlign w:val="subscript"/>
        </w:rPr>
        <w:t>2</w:t>
      </w:r>
      <w:r w:rsidRPr="000063FC">
        <w:t xml:space="preserve"> (crvena crta na slici </w:t>
      </w:r>
      <w:r w:rsidR="00E642FD" w:rsidRPr="000063FC">
        <w:t>3.9</w:t>
      </w:r>
      <w:r w:rsidRPr="000063FC">
        <w:t>). Ukupna</w:t>
      </w:r>
      <w:r w:rsidR="0059088E" w:rsidRPr="000063FC">
        <w:t xml:space="preserve"> emisija s</w:t>
      </w:r>
      <w:r w:rsidRPr="000063FC">
        <w:t xml:space="preserve">cenarija s mjerama u 2020. </w:t>
      </w:r>
      <w:r w:rsidRPr="000063FC">
        <w:rPr>
          <w:szCs w:val="22"/>
        </w:rPr>
        <w:t xml:space="preserve">godini iznosi </w:t>
      </w:r>
      <w:r w:rsidRPr="000063FC">
        <w:rPr>
          <w:rFonts w:cs="Arial"/>
          <w:color w:val="000000"/>
          <w:szCs w:val="22"/>
        </w:rPr>
        <w:t>2.0</w:t>
      </w:r>
      <w:r w:rsidR="00041B6E">
        <w:rPr>
          <w:rFonts w:cs="Arial"/>
          <w:color w:val="000000"/>
          <w:szCs w:val="22"/>
        </w:rPr>
        <w:t>93.992,13</w:t>
      </w:r>
      <w:r w:rsidRPr="000063FC">
        <w:rPr>
          <w:rFonts w:cs="Arial"/>
          <w:color w:val="000000"/>
          <w:szCs w:val="22"/>
        </w:rPr>
        <w:t xml:space="preserve"> </w:t>
      </w:r>
      <w:r w:rsidRPr="000063FC">
        <w:rPr>
          <w:szCs w:val="22"/>
        </w:rPr>
        <w:t>t CO</w:t>
      </w:r>
      <w:r w:rsidRPr="000063FC">
        <w:rPr>
          <w:szCs w:val="22"/>
          <w:vertAlign w:val="subscript"/>
        </w:rPr>
        <w:t>2</w:t>
      </w:r>
      <w:r w:rsidRPr="000063FC">
        <w:rPr>
          <w:szCs w:val="22"/>
        </w:rPr>
        <w:t xml:space="preserve"> što</w:t>
      </w:r>
      <w:r w:rsidRPr="000063FC">
        <w:t xml:space="preserve"> je za</w:t>
      </w:r>
      <w:r w:rsidRPr="000063FC">
        <w:rPr>
          <w:rFonts w:cs="Arial"/>
        </w:rPr>
        <w:t xml:space="preserve"> </w:t>
      </w:r>
      <w:r w:rsidRPr="000063FC">
        <w:rPr>
          <w:rFonts w:cs="Arial"/>
          <w:color w:val="000000"/>
          <w:szCs w:val="22"/>
          <w:lang w:eastAsia="hr-HR"/>
        </w:rPr>
        <w:t>1</w:t>
      </w:r>
      <w:r w:rsidR="00041B6E">
        <w:rPr>
          <w:rFonts w:cs="Arial"/>
          <w:color w:val="000000"/>
          <w:szCs w:val="22"/>
          <w:lang w:eastAsia="hr-HR"/>
        </w:rPr>
        <w:t>14.888,07</w:t>
      </w:r>
      <w:r w:rsidRPr="000063FC">
        <w:rPr>
          <w:color w:val="000000"/>
          <w:szCs w:val="22"/>
          <w:lang w:eastAsia="hr-HR"/>
        </w:rPr>
        <w:t xml:space="preserve"> </w:t>
      </w:r>
      <w:r w:rsidRPr="000063FC">
        <w:rPr>
          <w:color w:val="000000"/>
        </w:rPr>
        <w:t>t CO</w:t>
      </w:r>
      <w:r w:rsidRPr="000063FC">
        <w:rPr>
          <w:color w:val="000000"/>
          <w:vertAlign w:val="subscript"/>
        </w:rPr>
        <w:t>2</w:t>
      </w:r>
      <w:r w:rsidRPr="000063FC">
        <w:rPr>
          <w:color w:val="000000"/>
        </w:rPr>
        <w:t xml:space="preserve"> ispod predloženog cilja. </w:t>
      </w:r>
    </w:p>
    <w:p w:rsidR="005171B2" w:rsidRPr="000063FC" w:rsidRDefault="0047434A" w:rsidP="005171B2">
      <w:pPr>
        <w:pStyle w:val="Heading1"/>
      </w:pPr>
      <w:r w:rsidRPr="000063FC">
        <w:rPr>
          <w:szCs w:val="22"/>
        </w:rPr>
        <w:br w:type="page"/>
      </w:r>
      <w:bookmarkStart w:id="259" w:name="_Toc254010201"/>
      <w:r w:rsidR="005171B2" w:rsidRPr="000063FC">
        <w:lastRenderedPageBreak/>
        <w:t xml:space="preserve">Izrada Plana prioritetnih aktivnosti </w:t>
      </w:r>
      <w:r w:rsidR="0059088E" w:rsidRPr="000063FC">
        <w:t>i mjera za smanjenje emisija CO</w:t>
      </w:r>
      <w:r w:rsidR="0059088E" w:rsidRPr="000063FC">
        <w:rPr>
          <w:vertAlign w:val="subscript"/>
        </w:rPr>
        <w:t>2</w:t>
      </w:r>
      <w:r w:rsidR="0059088E" w:rsidRPr="000063FC">
        <w:t xml:space="preserve"> po definiranim </w:t>
      </w:r>
      <w:r w:rsidR="005171B2" w:rsidRPr="000063FC">
        <w:t>sektorima do 2020. godine</w:t>
      </w:r>
      <w:bookmarkEnd w:id="259"/>
    </w:p>
    <w:p w:rsidR="005171B2" w:rsidRPr="000063FC" w:rsidRDefault="005171B2" w:rsidP="005171B2">
      <w:pPr>
        <w:spacing w:line="276" w:lineRule="auto"/>
      </w:pPr>
      <w:r w:rsidRPr="000063FC">
        <w:t xml:space="preserve">U ovom poglavlju definirane su prioritetne mjere, čijom će se primjenom ostvariti zacrtani cilj smanjenja emisija stakleničkih plinova od 21% do 2020. godine u odnosu na 2008. godinu. Prioritetne mjere podijeljene su po sektorima zgradarstva, prometa i javne rasvjete. </w:t>
      </w:r>
    </w:p>
    <w:p w:rsidR="005171B2" w:rsidRPr="000063FC" w:rsidRDefault="005171B2" w:rsidP="005171B2">
      <w:pPr>
        <w:spacing w:line="276" w:lineRule="auto"/>
      </w:pPr>
    </w:p>
    <w:p w:rsidR="005171B2" w:rsidRPr="000063FC" w:rsidRDefault="00F56931" w:rsidP="005171B2">
      <w:pPr>
        <w:pStyle w:val="Heading2"/>
      </w:pPr>
      <w:bookmarkStart w:id="260" w:name="_Toc254010202"/>
      <w:r w:rsidRPr="000063FC">
        <w:rPr>
          <w:caps w:val="0"/>
        </w:rPr>
        <w:t>MJERE ZA SMANJENJE EMISIJA CO</w:t>
      </w:r>
      <w:r w:rsidRPr="000063FC">
        <w:rPr>
          <w:caps w:val="0"/>
          <w:vertAlign w:val="subscript"/>
        </w:rPr>
        <w:t>2</w:t>
      </w:r>
      <w:r w:rsidRPr="000063FC">
        <w:rPr>
          <w:caps w:val="0"/>
        </w:rPr>
        <w:t xml:space="preserve"> U SEKTORU ZGRADARSTVA</w:t>
      </w:r>
      <w:bookmarkEnd w:id="260"/>
    </w:p>
    <w:p w:rsidR="005171B2" w:rsidRPr="000063FC" w:rsidRDefault="005171B2" w:rsidP="005171B2">
      <w:pPr>
        <w:pStyle w:val="NoSpacing"/>
        <w:spacing w:line="276" w:lineRule="auto"/>
      </w:pPr>
      <w:r w:rsidRPr="000063FC">
        <w:t>U nastavku su analizirane mjere za smanjenje emisij</w:t>
      </w:r>
      <w:r w:rsidR="00032E38">
        <w:t>a</w:t>
      </w:r>
      <w:r w:rsidRPr="000063FC">
        <w:t xml:space="preserve"> stakleničkih plinova iz sektora zgradarstva Grada Zagreba, pri čemu su mjere i aktivnosti podijeljene na sljedeće </w:t>
      </w:r>
      <w:r w:rsidR="000063FC" w:rsidRPr="000063FC">
        <w:t>potkategorije</w:t>
      </w:r>
      <w:r w:rsidRPr="000063FC">
        <w:t>:</w:t>
      </w:r>
    </w:p>
    <w:p w:rsidR="005171B2" w:rsidRPr="000063FC" w:rsidRDefault="005171B2" w:rsidP="00C20113">
      <w:pPr>
        <w:pStyle w:val="NoSpacing"/>
        <w:numPr>
          <w:ilvl w:val="0"/>
          <w:numId w:val="26"/>
        </w:numPr>
        <w:spacing w:line="276" w:lineRule="auto"/>
        <w:jc w:val="both"/>
      </w:pPr>
      <w:r w:rsidRPr="000063FC">
        <w:t>Promocija, obrazovanje i promjena ponašanja građana Grada Zagreba;</w:t>
      </w:r>
    </w:p>
    <w:p w:rsidR="005171B2" w:rsidRPr="000063FC" w:rsidRDefault="005171B2" w:rsidP="00C20113">
      <w:pPr>
        <w:pStyle w:val="NoSpacing"/>
        <w:numPr>
          <w:ilvl w:val="0"/>
          <w:numId w:val="26"/>
        </w:numPr>
        <w:spacing w:line="276" w:lineRule="auto"/>
        <w:jc w:val="both"/>
      </w:pPr>
      <w:r w:rsidRPr="000063FC">
        <w:t>Zgrade i poduzeća u vlasništvu Grada Zagreba;</w:t>
      </w:r>
    </w:p>
    <w:p w:rsidR="005171B2" w:rsidRPr="000063FC" w:rsidRDefault="005171B2" w:rsidP="00C20113">
      <w:pPr>
        <w:pStyle w:val="NoSpacing"/>
        <w:numPr>
          <w:ilvl w:val="0"/>
          <w:numId w:val="26"/>
        </w:numPr>
        <w:spacing w:line="276" w:lineRule="auto"/>
        <w:jc w:val="both"/>
      </w:pPr>
      <w:r w:rsidRPr="000063FC">
        <w:t>Stambene zgrade;</w:t>
      </w:r>
    </w:p>
    <w:p w:rsidR="005171B2" w:rsidRPr="000063FC" w:rsidRDefault="005171B2" w:rsidP="00C20113">
      <w:pPr>
        <w:pStyle w:val="NoSpacing"/>
        <w:numPr>
          <w:ilvl w:val="0"/>
          <w:numId w:val="26"/>
        </w:numPr>
        <w:spacing w:line="276" w:lineRule="auto"/>
        <w:jc w:val="both"/>
      </w:pPr>
      <w:r w:rsidRPr="000063FC">
        <w:t>Zgrade komercijalnih i uslužnih djelatnosti.</w:t>
      </w:r>
    </w:p>
    <w:p w:rsidR="005171B2" w:rsidRPr="000063FC" w:rsidRDefault="005171B2" w:rsidP="005171B2">
      <w:pPr>
        <w:spacing w:line="276" w:lineRule="auto"/>
      </w:pPr>
    </w:p>
    <w:p w:rsidR="005171B2" w:rsidRPr="000063FC" w:rsidRDefault="005171B2" w:rsidP="00C3073D">
      <w:pPr>
        <w:pStyle w:val="Heading3"/>
      </w:pPr>
      <w:bookmarkStart w:id="261" w:name="_Toc254010203"/>
      <w:r w:rsidRPr="000063FC">
        <w:t>Promocija, obrazovanje i promjena ponašanja</w:t>
      </w:r>
      <w:bookmarkEnd w:id="261"/>
    </w:p>
    <w:p w:rsidR="005171B2" w:rsidRPr="000063FC" w:rsidRDefault="005171B2" w:rsidP="005171B2">
      <w:pPr>
        <w:spacing w:line="276" w:lineRule="auto"/>
      </w:pPr>
      <w:r w:rsidRPr="000063FC">
        <w:t>Identificirane mjere za smanjenje emisija CO</w:t>
      </w:r>
      <w:r w:rsidRPr="000063FC">
        <w:rPr>
          <w:vertAlign w:val="subscript"/>
        </w:rPr>
        <w:t>2</w:t>
      </w:r>
      <w:r w:rsidR="00276C96">
        <w:t xml:space="preserve"> za </w:t>
      </w:r>
      <w:r w:rsidR="000063FC" w:rsidRPr="000063FC">
        <w:t>potkategoriju</w:t>
      </w:r>
      <w:r w:rsidRPr="000063FC">
        <w:t xml:space="preserve"> </w:t>
      </w:r>
      <w:r w:rsidR="00032E38">
        <w:t>promocija</w:t>
      </w:r>
      <w:r w:rsidR="00276C96">
        <w:t xml:space="preserve">, obrazovanje i promjena ponašanja </w:t>
      </w:r>
      <w:r w:rsidRPr="000063FC">
        <w:t>su slijedeće:</w:t>
      </w:r>
    </w:p>
    <w:p w:rsidR="005171B2" w:rsidRPr="000063FC" w:rsidRDefault="005171B2" w:rsidP="00C20113">
      <w:pPr>
        <w:numPr>
          <w:ilvl w:val="0"/>
          <w:numId w:val="27"/>
        </w:numPr>
        <w:tabs>
          <w:tab w:val="clear" w:pos="720"/>
          <w:tab w:val="clear" w:pos="6912"/>
        </w:tabs>
        <w:spacing w:line="276" w:lineRule="auto"/>
        <w:rPr>
          <w:i/>
        </w:rPr>
      </w:pPr>
      <w:r w:rsidRPr="000063FC">
        <w:rPr>
          <w:i/>
        </w:rPr>
        <w:t>Obrazovanje i promjena ponašanja djelatnika/korisnika zgrada u vlasništvu Grada Zagreba.</w:t>
      </w:r>
    </w:p>
    <w:p w:rsidR="005171B2" w:rsidRPr="000063FC" w:rsidRDefault="005171B2" w:rsidP="005171B2">
      <w:pPr>
        <w:spacing w:line="276" w:lineRule="auto"/>
      </w:pPr>
      <w:r w:rsidRPr="000063FC">
        <w:t>Mjera predviđa cijeli niz obrazovnih aktivnosti koje će se redovno provoditi:</w:t>
      </w:r>
    </w:p>
    <w:p w:rsidR="005171B2" w:rsidRPr="000063FC" w:rsidRDefault="005171B2" w:rsidP="00C20113">
      <w:pPr>
        <w:numPr>
          <w:ilvl w:val="0"/>
          <w:numId w:val="38"/>
        </w:numPr>
        <w:tabs>
          <w:tab w:val="clear" w:pos="720"/>
          <w:tab w:val="clear" w:pos="6912"/>
        </w:tabs>
        <w:spacing w:line="276" w:lineRule="auto"/>
      </w:pPr>
      <w:r w:rsidRPr="000063FC">
        <w:t>Organizacija obrazovnih radionica o načinima uštede energije;</w:t>
      </w:r>
    </w:p>
    <w:p w:rsidR="005171B2" w:rsidRPr="000063FC" w:rsidRDefault="005171B2" w:rsidP="00C20113">
      <w:pPr>
        <w:numPr>
          <w:ilvl w:val="0"/>
          <w:numId w:val="38"/>
        </w:numPr>
        <w:tabs>
          <w:tab w:val="clear" w:pos="720"/>
          <w:tab w:val="clear" w:pos="6912"/>
        </w:tabs>
        <w:spacing w:line="276" w:lineRule="auto"/>
      </w:pPr>
      <w:r w:rsidRPr="000063FC">
        <w:t>Izrada i distribucija obrazovnih materijala (letaka, brošura, postera, naljepnica, i sl.);</w:t>
      </w:r>
    </w:p>
    <w:p w:rsidR="005171B2" w:rsidRPr="000063FC" w:rsidRDefault="005171B2" w:rsidP="00C20113">
      <w:pPr>
        <w:numPr>
          <w:ilvl w:val="0"/>
          <w:numId w:val="38"/>
        </w:numPr>
        <w:tabs>
          <w:tab w:val="clear" w:pos="720"/>
          <w:tab w:val="clear" w:pos="6912"/>
        </w:tabs>
        <w:spacing w:line="276" w:lineRule="auto"/>
      </w:pPr>
      <w:r w:rsidRPr="000063FC">
        <w:t>Organizacija javnih tribina, okruglih stolova, seminara i dr.</w:t>
      </w:r>
    </w:p>
    <w:p w:rsidR="005171B2" w:rsidRPr="000063FC" w:rsidRDefault="005171B2" w:rsidP="005171B2">
      <w:pPr>
        <w:spacing w:line="276" w:lineRule="auto"/>
      </w:pPr>
      <w:r w:rsidRPr="000063FC">
        <w:t>Osim obrazovnih aktivnosti u okviru ove mjere potrebno je uvesti i poticajnu shemu za štednju energije (shema 50/50) prema kojoj dio financijskih sredstava od ostvarene uštede u energiji ostaje na raspolaganju pojedinoj ustanovi u kojoj je ušteda ostvarena.</w:t>
      </w:r>
    </w:p>
    <w:p w:rsidR="005171B2" w:rsidRPr="000063FC" w:rsidRDefault="005171B2" w:rsidP="00C20113">
      <w:pPr>
        <w:numPr>
          <w:ilvl w:val="0"/>
          <w:numId w:val="27"/>
        </w:numPr>
        <w:tabs>
          <w:tab w:val="clear" w:pos="720"/>
          <w:tab w:val="clear" w:pos="6912"/>
        </w:tabs>
        <w:spacing w:line="276" w:lineRule="auto"/>
        <w:rPr>
          <w:i/>
        </w:rPr>
      </w:pPr>
      <w:r w:rsidRPr="000063FC">
        <w:rPr>
          <w:i/>
        </w:rPr>
        <w:t>Obrazovanje i promocija energetske učinkovitosti za građane.</w:t>
      </w:r>
    </w:p>
    <w:p w:rsidR="005171B2" w:rsidRPr="000063FC" w:rsidRDefault="005171B2" w:rsidP="005171B2">
      <w:pPr>
        <w:spacing w:line="276" w:lineRule="auto"/>
      </w:pPr>
      <w:r w:rsidRPr="000063FC">
        <w:t>Mjera predviđa niz obrazovnih aktivnosti koje će se redovito provoditi:</w:t>
      </w:r>
    </w:p>
    <w:p w:rsidR="005171B2" w:rsidRPr="000063FC" w:rsidRDefault="005171B2" w:rsidP="00C20113">
      <w:pPr>
        <w:numPr>
          <w:ilvl w:val="0"/>
          <w:numId w:val="39"/>
        </w:numPr>
        <w:tabs>
          <w:tab w:val="clear" w:pos="720"/>
          <w:tab w:val="clear" w:pos="6912"/>
        </w:tabs>
        <w:spacing w:line="276" w:lineRule="auto"/>
      </w:pPr>
      <w:r w:rsidRPr="000063FC">
        <w:t>Kontinuirano informiranje potrošača o načinima energetskih ušteda i aktualnim  energetskim temama;</w:t>
      </w:r>
    </w:p>
    <w:p w:rsidR="005171B2" w:rsidRPr="000063FC" w:rsidRDefault="005171B2" w:rsidP="00C20113">
      <w:pPr>
        <w:numPr>
          <w:ilvl w:val="0"/>
          <w:numId w:val="39"/>
        </w:numPr>
        <w:tabs>
          <w:tab w:val="clear" w:pos="720"/>
          <w:tab w:val="clear" w:pos="6912"/>
        </w:tabs>
        <w:spacing w:line="276" w:lineRule="auto"/>
      </w:pPr>
      <w:r w:rsidRPr="000063FC">
        <w:t>Provedba tematskih promotivno- informativnih kampanja za podizanje svijesti građana o energetskoj učinkovitosti u zgradama;</w:t>
      </w:r>
    </w:p>
    <w:p w:rsidR="005171B2" w:rsidRPr="000063FC" w:rsidRDefault="005171B2" w:rsidP="00C20113">
      <w:pPr>
        <w:numPr>
          <w:ilvl w:val="0"/>
          <w:numId w:val="39"/>
        </w:numPr>
        <w:tabs>
          <w:tab w:val="clear" w:pos="720"/>
          <w:tab w:val="clear" w:pos="6912"/>
        </w:tabs>
        <w:spacing w:line="276" w:lineRule="auto"/>
      </w:pPr>
      <w:r w:rsidRPr="000063FC">
        <w:t>Organizacija skupova za promicanje racionalne uporabe energije i smanjenja emisije;</w:t>
      </w:r>
    </w:p>
    <w:p w:rsidR="005171B2" w:rsidRPr="000063FC" w:rsidRDefault="005171B2" w:rsidP="00C20113">
      <w:pPr>
        <w:numPr>
          <w:ilvl w:val="0"/>
          <w:numId w:val="39"/>
        </w:numPr>
        <w:tabs>
          <w:tab w:val="clear" w:pos="720"/>
          <w:tab w:val="clear" w:pos="6912"/>
        </w:tabs>
        <w:spacing w:line="276" w:lineRule="auto"/>
      </w:pPr>
      <w:r w:rsidRPr="000063FC">
        <w:t>Obrazovne kampanje o projektiranju, izgradnji i korištenju zgrada na održivi način za ciljne grupe građana;</w:t>
      </w:r>
    </w:p>
    <w:p w:rsidR="005171B2" w:rsidRPr="000063FC" w:rsidRDefault="005171B2" w:rsidP="00C20113">
      <w:pPr>
        <w:numPr>
          <w:ilvl w:val="0"/>
          <w:numId w:val="39"/>
        </w:numPr>
        <w:tabs>
          <w:tab w:val="clear" w:pos="720"/>
          <w:tab w:val="clear" w:pos="6912"/>
        </w:tabs>
        <w:spacing w:line="276" w:lineRule="auto"/>
      </w:pPr>
      <w:r w:rsidRPr="000063FC">
        <w:t>Izrada i distribucija obrazovnih i promotivnih materijala o energetskoj učinkovitosti i korištenju obnovljivih izvora energije,</w:t>
      </w:r>
    </w:p>
    <w:p w:rsidR="005171B2" w:rsidRPr="000063FC" w:rsidRDefault="005171B2" w:rsidP="00C20113">
      <w:pPr>
        <w:numPr>
          <w:ilvl w:val="0"/>
          <w:numId w:val="39"/>
        </w:numPr>
        <w:tabs>
          <w:tab w:val="clear" w:pos="720"/>
          <w:tab w:val="clear" w:pos="6912"/>
        </w:tabs>
        <w:spacing w:line="276" w:lineRule="auto"/>
      </w:pPr>
      <w:r w:rsidRPr="000063FC">
        <w:t>Nastavak i unapređenje rada info-galerija energetske učinkovitosti, info-kutaka i info-vitrina, i dr.</w:t>
      </w:r>
    </w:p>
    <w:p w:rsidR="005171B2" w:rsidRPr="000063FC" w:rsidRDefault="005171B2" w:rsidP="005171B2">
      <w:pPr>
        <w:spacing w:line="276" w:lineRule="auto"/>
      </w:pPr>
    </w:p>
    <w:p w:rsidR="005171B2" w:rsidRPr="000063FC" w:rsidRDefault="005171B2" w:rsidP="00C3073D">
      <w:pPr>
        <w:pStyle w:val="Heading3"/>
      </w:pPr>
      <w:bookmarkStart w:id="262" w:name="_Toc254010204"/>
      <w:r w:rsidRPr="000063FC">
        <w:lastRenderedPageBreak/>
        <w:t>Zgrade i poduzeća u vlasništvu Grada Zagreba</w:t>
      </w:r>
      <w:bookmarkEnd w:id="262"/>
    </w:p>
    <w:p w:rsidR="005171B2" w:rsidRPr="000063FC" w:rsidRDefault="005171B2" w:rsidP="005171B2">
      <w:pPr>
        <w:spacing w:line="276" w:lineRule="auto"/>
      </w:pPr>
      <w:r w:rsidRPr="000063FC">
        <w:t>Identificirane mjere za smanjenje emisija CO</w:t>
      </w:r>
      <w:r w:rsidRPr="000063FC">
        <w:rPr>
          <w:vertAlign w:val="subscript"/>
        </w:rPr>
        <w:t>2</w:t>
      </w:r>
      <w:r w:rsidR="00276C96">
        <w:t xml:space="preserve"> u </w:t>
      </w:r>
      <w:r w:rsidRPr="000063FC">
        <w:t>podsektoru</w:t>
      </w:r>
      <w:r w:rsidR="00276C96">
        <w:t xml:space="preserve"> zgrade i poduzeća u vlasništvu Grada Zagreba</w:t>
      </w:r>
      <w:r w:rsidRPr="000063FC">
        <w:t xml:space="preserve"> su slijedeće:</w:t>
      </w:r>
    </w:p>
    <w:p w:rsidR="005171B2" w:rsidRPr="000063FC" w:rsidRDefault="005171B2" w:rsidP="00C20113">
      <w:pPr>
        <w:numPr>
          <w:ilvl w:val="0"/>
          <w:numId w:val="43"/>
        </w:numPr>
        <w:tabs>
          <w:tab w:val="clear" w:pos="720"/>
          <w:tab w:val="clear" w:pos="6912"/>
        </w:tabs>
        <w:spacing w:line="276" w:lineRule="auto"/>
        <w:rPr>
          <w:i/>
        </w:rPr>
      </w:pPr>
      <w:r w:rsidRPr="000063FC">
        <w:rPr>
          <w:i/>
        </w:rPr>
        <w:t>Uvođenje solarnih kolektora za zdravstvene ustanove u vlasništvu Grada Zagreba.</w:t>
      </w:r>
    </w:p>
    <w:p w:rsidR="005171B2" w:rsidRPr="000063FC" w:rsidRDefault="005171B2" w:rsidP="005171B2">
      <w:pPr>
        <w:spacing w:line="276" w:lineRule="auto"/>
      </w:pPr>
      <w:r w:rsidRPr="000063FC">
        <w:t xml:space="preserve">Mjera predviđa ugradnju solarnih kolektora za pripremu tople vode u sve zgrade u sektoru zdravstva (bolnice, domovi zdravlja, domovi za starije i nemoćne). </w:t>
      </w:r>
    </w:p>
    <w:p w:rsidR="005171B2" w:rsidRPr="000063FC" w:rsidRDefault="005171B2" w:rsidP="00C20113">
      <w:pPr>
        <w:numPr>
          <w:ilvl w:val="0"/>
          <w:numId w:val="43"/>
        </w:numPr>
        <w:tabs>
          <w:tab w:val="clear" w:pos="720"/>
          <w:tab w:val="clear" w:pos="6912"/>
        </w:tabs>
        <w:spacing w:line="276" w:lineRule="auto"/>
        <w:rPr>
          <w:i/>
        </w:rPr>
      </w:pPr>
      <w:r w:rsidRPr="000063FC">
        <w:rPr>
          <w:i/>
        </w:rPr>
        <w:t>Modernizacija rasvjete u 500 školskih učionica.</w:t>
      </w:r>
    </w:p>
    <w:p w:rsidR="005171B2" w:rsidRPr="000063FC" w:rsidRDefault="005171B2" w:rsidP="005171B2">
      <w:pPr>
        <w:spacing w:line="276" w:lineRule="auto"/>
      </w:pPr>
      <w:r w:rsidRPr="000063FC">
        <w:t xml:space="preserve">Mjera predviđa modernizaciju rasvjete (po uzoru na projekt Zdrave oči) u 500 školskih učionica osnovnih i srednjih škola u Gradu Zagrebu. </w:t>
      </w:r>
    </w:p>
    <w:p w:rsidR="005171B2" w:rsidRPr="000063FC" w:rsidRDefault="005171B2" w:rsidP="00C20113">
      <w:pPr>
        <w:numPr>
          <w:ilvl w:val="0"/>
          <w:numId w:val="43"/>
        </w:numPr>
        <w:tabs>
          <w:tab w:val="clear" w:pos="720"/>
          <w:tab w:val="clear" w:pos="6912"/>
        </w:tabs>
        <w:spacing w:line="276" w:lineRule="auto"/>
        <w:rPr>
          <w:i/>
        </w:rPr>
      </w:pPr>
      <w:r w:rsidRPr="000063FC">
        <w:rPr>
          <w:i/>
        </w:rPr>
        <w:t>Modernizacija kotlovnica na lož ulje za osnovne škole i vrtiće – zamjena kotlovima na pelete.</w:t>
      </w:r>
    </w:p>
    <w:p w:rsidR="005171B2" w:rsidRPr="000063FC" w:rsidRDefault="005171B2" w:rsidP="005171B2">
      <w:pPr>
        <w:spacing w:line="276" w:lineRule="auto"/>
      </w:pPr>
      <w:r w:rsidRPr="000063FC">
        <w:t>Mjera predviđa modernizaciju kotlovnica na lož ulje za osnovne škole i vrtiće, pri čemu je predviđeno da 50% postojećih kotlova bude zamijenjeno kotlovima na pelete.</w:t>
      </w:r>
    </w:p>
    <w:p w:rsidR="005171B2" w:rsidRPr="000063FC" w:rsidRDefault="005171B2" w:rsidP="00C20113">
      <w:pPr>
        <w:numPr>
          <w:ilvl w:val="0"/>
          <w:numId w:val="43"/>
        </w:numPr>
        <w:tabs>
          <w:tab w:val="clear" w:pos="720"/>
          <w:tab w:val="clear" w:pos="6912"/>
        </w:tabs>
        <w:spacing w:line="276" w:lineRule="auto"/>
        <w:rPr>
          <w:i/>
        </w:rPr>
      </w:pPr>
      <w:r w:rsidRPr="000063FC">
        <w:rPr>
          <w:i/>
        </w:rPr>
        <w:t>Modernizacija kotlovnica na lož ulje za osnovne škole i vrtiće - zamjena kotlovima na plin.</w:t>
      </w:r>
    </w:p>
    <w:p w:rsidR="005171B2" w:rsidRPr="000063FC" w:rsidRDefault="005171B2" w:rsidP="005171B2">
      <w:pPr>
        <w:spacing w:line="276" w:lineRule="auto"/>
      </w:pPr>
      <w:r w:rsidRPr="000063FC">
        <w:t>Mjera predviđa modernizaciju kotlovnica na lož ulje za osnovne škole i vrtiće, pri čemu je predviđeno da 50% postojećih kotlova bude zamijenjeno kotlovima na prirodni plin.</w:t>
      </w:r>
    </w:p>
    <w:p w:rsidR="005171B2" w:rsidRPr="000063FC" w:rsidRDefault="005171B2" w:rsidP="00C20113">
      <w:pPr>
        <w:numPr>
          <w:ilvl w:val="0"/>
          <w:numId w:val="43"/>
        </w:numPr>
        <w:tabs>
          <w:tab w:val="clear" w:pos="720"/>
          <w:tab w:val="clear" w:pos="6912"/>
        </w:tabs>
        <w:spacing w:line="276" w:lineRule="auto"/>
        <w:rPr>
          <w:i/>
        </w:rPr>
      </w:pPr>
      <w:r w:rsidRPr="000063FC">
        <w:rPr>
          <w:i/>
        </w:rPr>
        <w:t>Toplinska izolacija vanjske ovojnice i krovišta za zgrade u vlasništvu Grada Zagreba.</w:t>
      </w:r>
    </w:p>
    <w:p w:rsidR="005171B2" w:rsidRPr="000063FC" w:rsidRDefault="005171B2" w:rsidP="005171B2">
      <w:pPr>
        <w:spacing w:line="276" w:lineRule="auto"/>
      </w:pPr>
      <w:r w:rsidRPr="000063FC">
        <w:t>Mjera predviđa obnovu toplinske izolacije vanjske ovojnice i krovišta za 50% svih zgrada u vlasništvu Grada Zagreba.</w:t>
      </w:r>
    </w:p>
    <w:p w:rsidR="005171B2" w:rsidRPr="000063FC" w:rsidRDefault="005171B2" w:rsidP="00C20113">
      <w:pPr>
        <w:numPr>
          <w:ilvl w:val="0"/>
          <w:numId w:val="43"/>
        </w:numPr>
        <w:tabs>
          <w:tab w:val="clear" w:pos="720"/>
          <w:tab w:val="clear" w:pos="6912"/>
        </w:tabs>
        <w:spacing w:line="276" w:lineRule="auto"/>
        <w:rPr>
          <w:i/>
        </w:rPr>
      </w:pPr>
      <w:r w:rsidRPr="000063FC">
        <w:rPr>
          <w:i/>
        </w:rPr>
        <w:t>Zamjena dotrajale stolarije za zgrade u vlasništvu Grada Zagreba.</w:t>
      </w:r>
    </w:p>
    <w:p w:rsidR="005171B2" w:rsidRPr="000063FC" w:rsidRDefault="005171B2" w:rsidP="005171B2">
      <w:pPr>
        <w:spacing w:line="276" w:lineRule="auto"/>
      </w:pPr>
      <w:r w:rsidRPr="000063FC">
        <w:t>Mjera predviđa zamjenu dotrajale stolarije u 30% zgrada u vlasništvu Grada Zagreba.</w:t>
      </w:r>
    </w:p>
    <w:p w:rsidR="005171B2" w:rsidRPr="000063FC" w:rsidRDefault="005171B2" w:rsidP="00C20113">
      <w:pPr>
        <w:numPr>
          <w:ilvl w:val="0"/>
          <w:numId w:val="43"/>
        </w:numPr>
        <w:tabs>
          <w:tab w:val="clear" w:pos="720"/>
          <w:tab w:val="clear" w:pos="6912"/>
        </w:tabs>
        <w:spacing w:line="276" w:lineRule="auto"/>
        <w:rPr>
          <w:i/>
        </w:rPr>
      </w:pPr>
      <w:r w:rsidRPr="000063FC">
        <w:rPr>
          <w:i/>
        </w:rPr>
        <w:t>Ugradnja termostatskih ventila za zgrade u vlasništvu Grada Zagreba.</w:t>
      </w:r>
    </w:p>
    <w:p w:rsidR="005171B2" w:rsidRPr="000063FC" w:rsidRDefault="005171B2" w:rsidP="005171B2">
      <w:pPr>
        <w:spacing w:line="276" w:lineRule="auto"/>
      </w:pPr>
      <w:r w:rsidRPr="000063FC">
        <w:t>Mjera predviđa ugradnju termostatskih ventila za sve zgrade u vlasništvu Grada Zagreba. Za školske i zdravstvene ustanove predviđeni su antivandalni termostatski ventili.</w:t>
      </w:r>
    </w:p>
    <w:p w:rsidR="005171B2" w:rsidRPr="000063FC" w:rsidRDefault="005171B2" w:rsidP="00C20113">
      <w:pPr>
        <w:numPr>
          <w:ilvl w:val="0"/>
          <w:numId w:val="43"/>
        </w:numPr>
        <w:tabs>
          <w:tab w:val="clear" w:pos="720"/>
          <w:tab w:val="clear" w:pos="6912"/>
        </w:tabs>
        <w:spacing w:line="276" w:lineRule="auto"/>
        <w:rPr>
          <w:i/>
        </w:rPr>
      </w:pPr>
      <w:r w:rsidRPr="000063FC">
        <w:rPr>
          <w:i/>
        </w:rPr>
        <w:t>Uvođenje kriterija zelene javne nabave za kupovinu električnih uređaja za zgrade u vlasništvu Grada Zagreba.</w:t>
      </w:r>
    </w:p>
    <w:p w:rsidR="005171B2" w:rsidRPr="000063FC" w:rsidRDefault="005171B2" w:rsidP="005171B2">
      <w:pPr>
        <w:spacing w:line="276" w:lineRule="auto"/>
      </w:pPr>
      <w:r w:rsidRPr="000063FC">
        <w:t xml:space="preserve">Mjera predviđa poticanje kupovine energetski učinkovitih električnih uređaja za sve zgrade u vlasništvu Grada Zagreba putem uvođenja </w:t>
      </w:r>
      <w:r w:rsidRPr="000063FC">
        <w:rPr>
          <w:i/>
        </w:rPr>
        <w:t>Zelene javne nabave</w:t>
      </w:r>
      <w:r w:rsidRPr="000063FC">
        <w:t>. Kriteriji pri kupovini uređaja trebaju biti unaprijed definirani i standardizirani posebnim Pravilnikom, a svi novi uređaji trebaju zadovoljavati kriterije.</w:t>
      </w:r>
    </w:p>
    <w:p w:rsidR="005171B2" w:rsidRPr="000063FC" w:rsidRDefault="005171B2" w:rsidP="00C20113">
      <w:pPr>
        <w:numPr>
          <w:ilvl w:val="0"/>
          <w:numId w:val="43"/>
        </w:numPr>
        <w:tabs>
          <w:tab w:val="clear" w:pos="720"/>
          <w:tab w:val="clear" w:pos="6912"/>
        </w:tabs>
        <w:spacing w:line="276" w:lineRule="auto"/>
        <w:rPr>
          <w:i/>
        </w:rPr>
      </w:pPr>
      <w:r w:rsidRPr="000063FC">
        <w:rPr>
          <w:i/>
        </w:rPr>
        <w:t>Uvođenje štednih žarulja u zgrade u vlasništvu Grada Zagreba.</w:t>
      </w:r>
    </w:p>
    <w:p w:rsidR="005171B2" w:rsidRPr="000063FC" w:rsidRDefault="005171B2" w:rsidP="005171B2">
      <w:pPr>
        <w:spacing w:line="276" w:lineRule="auto"/>
      </w:pPr>
      <w:r w:rsidRPr="000063FC">
        <w:t>Prema EU uredbi o proizvodima za rasvjetu u privatnim kućanstvima (EC Regulation 244/2009) predviđeno je da će se do 2016. godine prestati proizvoditi klasične žarulje sa žarnom niti te će se sve klasične žarulje zamijeniti štednima. U skladu s navedenim mjera predviđa zamjenu svih starih žarulja sa žarnom niti u zgradama u vlasništvu Grada Zagreba štednim žaruljama.</w:t>
      </w:r>
    </w:p>
    <w:p w:rsidR="005171B2" w:rsidRPr="000063FC" w:rsidRDefault="005171B2" w:rsidP="00C20113">
      <w:pPr>
        <w:numPr>
          <w:ilvl w:val="0"/>
          <w:numId w:val="43"/>
        </w:numPr>
        <w:tabs>
          <w:tab w:val="clear" w:pos="720"/>
          <w:tab w:val="clear" w:pos="6912"/>
        </w:tabs>
        <w:spacing w:line="276" w:lineRule="auto"/>
        <w:rPr>
          <w:i/>
        </w:rPr>
      </w:pPr>
      <w:r w:rsidRPr="000063FC">
        <w:rPr>
          <w:i/>
        </w:rPr>
        <w:t>Sanacija toplinske ovojnice svih zgrada na Gornjem gradu.</w:t>
      </w:r>
    </w:p>
    <w:p w:rsidR="005171B2" w:rsidRPr="000063FC" w:rsidRDefault="005171B2" w:rsidP="005171B2">
      <w:pPr>
        <w:spacing w:line="276" w:lineRule="auto"/>
      </w:pPr>
      <w:r w:rsidRPr="000063FC">
        <w:t>Mjera predviđa sanaciju toplinske ovojnice svih zgrada (u vlasništvu Grada Zagreba, ali i ostalih) na Gornjem gradu. Za zgrade koje nisu u vlasništvu Grada Zagreba predlaže se da Grad subvencionira sanaciju s 20%, dok za zgrade u svom vlasništvu sudjeluje s 100%.</w:t>
      </w:r>
    </w:p>
    <w:p w:rsidR="005171B2" w:rsidRPr="000063FC" w:rsidRDefault="00FE5690" w:rsidP="00FE5690">
      <w:pPr>
        <w:tabs>
          <w:tab w:val="clear" w:pos="720"/>
          <w:tab w:val="clear" w:pos="6912"/>
        </w:tabs>
        <w:spacing w:line="240" w:lineRule="auto"/>
        <w:jc w:val="left"/>
      </w:pPr>
      <w:r w:rsidRPr="000063FC">
        <w:br w:type="page"/>
      </w:r>
    </w:p>
    <w:p w:rsidR="005171B2" w:rsidRPr="000063FC" w:rsidRDefault="005171B2" w:rsidP="00C3073D">
      <w:pPr>
        <w:pStyle w:val="Heading3"/>
      </w:pPr>
      <w:bookmarkStart w:id="263" w:name="_Toc254010205"/>
      <w:r w:rsidRPr="000063FC">
        <w:lastRenderedPageBreak/>
        <w:t>Stambene zgrade Grada Zagreba</w:t>
      </w:r>
      <w:bookmarkEnd w:id="263"/>
    </w:p>
    <w:p w:rsidR="005171B2" w:rsidRPr="000063FC" w:rsidRDefault="005171B2" w:rsidP="005171B2">
      <w:pPr>
        <w:spacing w:line="276" w:lineRule="auto"/>
      </w:pPr>
      <w:r w:rsidRPr="000063FC">
        <w:t>Identificirane mjere za smanjenje emisija CO</w:t>
      </w:r>
      <w:r w:rsidRPr="000063FC">
        <w:rPr>
          <w:vertAlign w:val="subscript"/>
        </w:rPr>
        <w:t>2</w:t>
      </w:r>
      <w:r w:rsidRPr="000063FC">
        <w:t xml:space="preserve"> u </w:t>
      </w:r>
      <w:r w:rsidR="00276C96">
        <w:t>podsektoru stambene zgrade Grada Zagreba</w:t>
      </w:r>
      <w:r w:rsidRPr="000063FC">
        <w:t xml:space="preserve"> su slijedeće:</w:t>
      </w:r>
    </w:p>
    <w:p w:rsidR="005171B2" w:rsidRPr="000063FC" w:rsidRDefault="005171B2" w:rsidP="00C20113">
      <w:pPr>
        <w:numPr>
          <w:ilvl w:val="0"/>
          <w:numId w:val="28"/>
        </w:numPr>
        <w:tabs>
          <w:tab w:val="clear" w:pos="720"/>
          <w:tab w:val="clear" w:pos="6912"/>
        </w:tabs>
        <w:spacing w:line="276" w:lineRule="auto"/>
        <w:rPr>
          <w:i/>
        </w:rPr>
      </w:pPr>
      <w:r w:rsidRPr="000063FC">
        <w:rPr>
          <w:i/>
        </w:rPr>
        <w:t>Subvencija za rekonstrukciju toplinske zaštite vanjske ovojnice i sanaciju krovišta stambenih zgrada.</w:t>
      </w:r>
    </w:p>
    <w:p w:rsidR="005171B2" w:rsidRPr="000063FC" w:rsidRDefault="005171B2" w:rsidP="005171B2">
      <w:pPr>
        <w:spacing w:line="276" w:lineRule="auto"/>
      </w:pPr>
      <w:r w:rsidRPr="000063FC">
        <w:t>Mjera predviđa subvencioniranje poboljšanja toplinske zaštite vanjske ovojnice i sanaciju krovišta za 35% postojećeg stambenog sektora. Predlaže se da Grad Zagreb subvencionira 20% troškova rekonstrukcije, 20% bit će potrebno osigurati iz drugih mogućih izvora, a građani bi sudjelovali s 60% ukupne investicije.</w:t>
      </w:r>
    </w:p>
    <w:p w:rsidR="005171B2" w:rsidRPr="000063FC" w:rsidRDefault="005171B2" w:rsidP="00C20113">
      <w:pPr>
        <w:numPr>
          <w:ilvl w:val="0"/>
          <w:numId w:val="28"/>
        </w:numPr>
        <w:tabs>
          <w:tab w:val="clear" w:pos="720"/>
          <w:tab w:val="clear" w:pos="6912"/>
        </w:tabs>
        <w:spacing w:line="276" w:lineRule="auto"/>
        <w:rPr>
          <w:i/>
        </w:rPr>
      </w:pPr>
      <w:r w:rsidRPr="000063FC">
        <w:rPr>
          <w:i/>
        </w:rPr>
        <w:t>Subvencija ugradnje solarnih kolektora za 3000 kuća/stanova.</w:t>
      </w:r>
    </w:p>
    <w:p w:rsidR="005171B2" w:rsidRPr="000063FC" w:rsidRDefault="005171B2" w:rsidP="005171B2">
      <w:pPr>
        <w:spacing w:line="276" w:lineRule="auto"/>
      </w:pPr>
      <w:r w:rsidRPr="000063FC">
        <w:t>Mjera predviđa subvencioniranje ukupno 3.000 solarnih kolektorskih sustava za kuće/stanove. Predlaže se da Grad Zagreb sudjeluje s 20% u subvencioniranju, 20% bit će potrebno osigurati iz drugih mogućih izvora, a građani bi sudjelovali s 60% ukupne investicije.</w:t>
      </w:r>
    </w:p>
    <w:p w:rsidR="005171B2" w:rsidRPr="000063FC" w:rsidRDefault="005171B2" w:rsidP="00C20113">
      <w:pPr>
        <w:numPr>
          <w:ilvl w:val="0"/>
          <w:numId w:val="28"/>
        </w:numPr>
        <w:tabs>
          <w:tab w:val="clear" w:pos="720"/>
          <w:tab w:val="clear" w:pos="6912"/>
        </w:tabs>
        <w:spacing w:line="276" w:lineRule="auto"/>
        <w:rPr>
          <w:i/>
        </w:rPr>
      </w:pPr>
      <w:r w:rsidRPr="000063FC">
        <w:rPr>
          <w:i/>
        </w:rPr>
        <w:t>Subvencija zamjene kotlova na lož ulje kotlovima na pelete za kuće/stanove.</w:t>
      </w:r>
    </w:p>
    <w:p w:rsidR="005171B2" w:rsidRPr="000063FC" w:rsidRDefault="005171B2" w:rsidP="005171B2">
      <w:pPr>
        <w:spacing w:line="276" w:lineRule="auto"/>
      </w:pPr>
      <w:r w:rsidRPr="000063FC">
        <w:t>Mjera predviđa subvencioniranje ugradnje kotlova na pelete za 50% kućanstava koja koriste lož ulje.  Predlaže se da Grad Zagreb subvencionira 20% troškova, 20% bit će potrebno osigurati iz raznih mogućih izvora, a građani bi sudjelovali s 60% ukupne investicije.</w:t>
      </w:r>
    </w:p>
    <w:p w:rsidR="005171B2" w:rsidRPr="000063FC" w:rsidRDefault="005171B2" w:rsidP="00C20113">
      <w:pPr>
        <w:numPr>
          <w:ilvl w:val="0"/>
          <w:numId w:val="28"/>
        </w:numPr>
        <w:tabs>
          <w:tab w:val="clear" w:pos="720"/>
          <w:tab w:val="clear" w:pos="6912"/>
        </w:tabs>
        <w:spacing w:line="276" w:lineRule="auto"/>
        <w:rPr>
          <w:i/>
        </w:rPr>
      </w:pPr>
      <w:r w:rsidRPr="000063FC">
        <w:rPr>
          <w:i/>
        </w:rPr>
        <w:t xml:space="preserve">Subvencioniranje uvođenja mjerenja </w:t>
      </w:r>
      <w:r w:rsidR="000063FC" w:rsidRPr="000063FC">
        <w:rPr>
          <w:i/>
        </w:rPr>
        <w:t>individualne</w:t>
      </w:r>
      <w:r w:rsidRPr="000063FC">
        <w:rPr>
          <w:i/>
        </w:rPr>
        <w:t xml:space="preserve"> potrošnje toplinske energije po stanu za zgrade koje se griju iz  toplane.</w:t>
      </w:r>
    </w:p>
    <w:p w:rsidR="005171B2" w:rsidRPr="000063FC" w:rsidRDefault="005171B2" w:rsidP="005171B2">
      <w:pPr>
        <w:spacing w:line="276" w:lineRule="auto"/>
      </w:pPr>
      <w:r w:rsidRPr="000063FC">
        <w:t>Mjera predviđa ugradnju uređaja za mjerenje potrošnje toplinske energije u svaki stan za zgrade koje toplinsku energiju dobivaju iz toplane. Bazirano na iskustvima drugih EU gradova u kojima je provedena ova mjera uštede u potrošnji toplinske energije kreću se i do 25%, pri čemu je za Grad Zagreb pretpostavljena prosječna ušteda od 20%. Predlaže se da Grad Zagreb subvencionira ugradnju mjernih uređaja s 20% ukupne investicije, a građani sudjeluju s 80% ukupne investicije.</w:t>
      </w:r>
    </w:p>
    <w:p w:rsidR="005171B2" w:rsidRPr="000063FC" w:rsidRDefault="005171B2" w:rsidP="00C20113">
      <w:pPr>
        <w:numPr>
          <w:ilvl w:val="0"/>
          <w:numId w:val="28"/>
        </w:numPr>
        <w:tabs>
          <w:tab w:val="clear" w:pos="720"/>
          <w:tab w:val="clear" w:pos="6912"/>
        </w:tabs>
        <w:spacing w:line="276" w:lineRule="auto"/>
        <w:rPr>
          <w:i/>
        </w:rPr>
      </w:pPr>
      <w:r w:rsidRPr="000063FC">
        <w:rPr>
          <w:i/>
        </w:rPr>
        <w:t>Solarna priprema tople vode i izolacija zgrada u Zapruđu.</w:t>
      </w:r>
    </w:p>
    <w:p w:rsidR="005171B2" w:rsidRPr="000063FC" w:rsidRDefault="005171B2" w:rsidP="005171B2">
      <w:pPr>
        <w:spacing w:line="276" w:lineRule="auto"/>
      </w:pPr>
      <w:r w:rsidRPr="000063FC">
        <w:t>Mjera predviđa sanaciju toplinske ovojnice svih zgrada u Zapruđu te uvođenje solarnih kolektora za pripremu tople vode. Predlaže se da Grad Zagreb subvencionira 20% troškova, 20% investicijskih troškova  trebat će osigurati iz raznih drugih izvora, a građani bi sudjelovali s 60% ukupne investicije.</w:t>
      </w:r>
    </w:p>
    <w:p w:rsidR="005171B2" w:rsidRPr="000063FC" w:rsidRDefault="005171B2" w:rsidP="00C20113">
      <w:pPr>
        <w:numPr>
          <w:ilvl w:val="0"/>
          <w:numId w:val="28"/>
        </w:numPr>
        <w:tabs>
          <w:tab w:val="clear" w:pos="720"/>
          <w:tab w:val="clear" w:pos="6912"/>
        </w:tabs>
        <w:spacing w:line="276" w:lineRule="auto"/>
        <w:rPr>
          <w:i/>
        </w:rPr>
      </w:pPr>
      <w:r w:rsidRPr="000063FC">
        <w:rPr>
          <w:i/>
        </w:rPr>
        <w:t>Energetski učinkovita obnova zgrada u Trnskom – Projekt ZG FAKTOR 10.</w:t>
      </w:r>
    </w:p>
    <w:p w:rsidR="005171B2" w:rsidRPr="000063FC" w:rsidRDefault="005171B2" w:rsidP="005171B2">
      <w:pPr>
        <w:spacing w:line="276" w:lineRule="auto"/>
      </w:pPr>
      <w:r w:rsidRPr="000063FC">
        <w:t>Rezultati znanstveno-istraživačkog hrvatsko-američkog projekta (Arhitektonski fakultet Sveučilišta u Zagrebu i Lawrence Berkeley National Institute, Barkeley, California) za Energetsku i ambijentalnu rehabilitaciju (obnovu) na primjeru naselja Trnsko u Zagrebu, PN 777 iz 1985. godine, potvrđuju visoku isplativost energetski učinkovite obnove. Prema ovom istraživačkom projektu u jednoj od mnogih simuliranih varijanti  (povećanje toplinske izolacije za samo 5,0 cm, trostruko ostakljenje i smanjenje ventilacijskih gubitaka) drastično se smanjuje energetska potrošnja (u prosjeku za 78%). Mjera predviđa obnovu oko 15.750 stanova izgrađenih između 1957. i 1962. godine</w:t>
      </w:r>
      <w:r w:rsidRPr="000063FC">
        <w:rPr>
          <w:i/>
        </w:rPr>
        <w:t>.</w:t>
      </w:r>
      <w:r w:rsidRPr="000063FC">
        <w:t xml:space="preserve"> </w:t>
      </w:r>
    </w:p>
    <w:p w:rsidR="005171B2" w:rsidRPr="000063FC" w:rsidRDefault="005171B2" w:rsidP="00C20113">
      <w:pPr>
        <w:numPr>
          <w:ilvl w:val="0"/>
          <w:numId w:val="28"/>
        </w:numPr>
        <w:tabs>
          <w:tab w:val="clear" w:pos="720"/>
          <w:tab w:val="clear" w:pos="6912"/>
        </w:tabs>
        <w:spacing w:line="276" w:lineRule="auto"/>
        <w:rPr>
          <w:i/>
        </w:rPr>
      </w:pPr>
      <w:r w:rsidRPr="000063FC">
        <w:rPr>
          <w:i/>
        </w:rPr>
        <w:t>Poticanje kupovine energetski učinkovitih električnih uređaja za stambene zgrade.</w:t>
      </w:r>
    </w:p>
    <w:p w:rsidR="005171B2" w:rsidRPr="000063FC" w:rsidRDefault="005171B2" w:rsidP="005171B2">
      <w:pPr>
        <w:spacing w:line="276" w:lineRule="auto"/>
      </w:pPr>
      <w:r w:rsidRPr="000063FC">
        <w:t>Mjera predviđa poticanje kupovine energetski učinkovitih električnih uređaja (isključivo energetski razred A ) u kućanstvima. Predlaže se da Grad Zagreb subvencionira ovu mjeru s 10%, a ostatak sufinanciraju građani.</w:t>
      </w:r>
    </w:p>
    <w:p w:rsidR="005171B2" w:rsidRPr="000063FC" w:rsidRDefault="005171B2" w:rsidP="00C20113">
      <w:pPr>
        <w:numPr>
          <w:ilvl w:val="0"/>
          <w:numId w:val="28"/>
        </w:numPr>
        <w:tabs>
          <w:tab w:val="clear" w:pos="720"/>
          <w:tab w:val="clear" w:pos="6912"/>
        </w:tabs>
        <w:spacing w:line="276" w:lineRule="auto"/>
        <w:rPr>
          <w:i/>
        </w:rPr>
      </w:pPr>
      <w:r w:rsidRPr="000063FC">
        <w:rPr>
          <w:i/>
        </w:rPr>
        <w:t>Uvođenje štednih žarulja u sve stambene zgrade.</w:t>
      </w:r>
    </w:p>
    <w:p w:rsidR="005171B2" w:rsidRPr="000063FC" w:rsidRDefault="005171B2" w:rsidP="005171B2">
      <w:pPr>
        <w:spacing w:line="276" w:lineRule="auto"/>
      </w:pPr>
      <w:r w:rsidRPr="000063FC">
        <w:t xml:space="preserve">Prema EU uredbi o proizvodima za rasvjetu u privatnim domaćinstvima (EC Regulation 244/2009) predviđeno je da će se do 2016. godine prestati proizvoditi klasične žarulje sa žarnom niti te će se sve </w:t>
      </w:r>
      <w:r w:rsidRPr="000063FC">
        <w:lastRenderedPageBreak/>
        <w:t>klasične žarulje zamijeniti štednima. Budući da će zamjena žarulja sa žarnom niti štednim žaruljama biti  obvezna za cjelokupni stambeni sektor, mjera ne predviđa subvencioniranje štednih žarulja.</w:t>
      </w:r>
    </w:p>
    <w:p w:rsidR="005171B2" w:rsidRPr="000063FC" w:rsidRDefault="005171B2" w:rsidP="00C20113">
      <w:pPr>
        <w:numPr>
          <w:ilvl w:val="0"/>
          <w:numId w:val="28"/>
        </w:numPr>
        <w:tabs>
          <w:tab w:val="clear" w:pos="720"/>
          <w:tab w:val="clear" w:pos="6912"/>
        </w:tabs>
        <w:spacing w:line="276" w:lineRule="auto"/>
        <w:rPr>
          <w:i/>
        </w:rPr>
      </w:pPr>
      <w:r w:rsidRPr="000063FC">
        <w:rPr>
          <w:i/>
        </w:rPr>
        <w:t>Donošenje Pravilnika o obvezi ugradnje solarnih kolektora za pripremu PTV u nove zgrade.</w:t>
      </w:r>
    </w:p>
    <w:p w:rsidR="005171B2" w:rsidRPr="000063FC" w:rsidRDefault="005171B2" w:rsidP="005171B2">
      <w:pPr>
        <w:spacing w:line="276" w:lineRule="auto"/>
      </w:pPr>
      <w:r w:rsidRPr="000063FC">
        <w:t>Mjera predviđa donošenje Pravilnika o obvezi ugradnje solarnih kolektora za sve nove stambene zgrade. Predlaže se da Grad Zagreb subvencionira ovu mjeru s 10%.</w:t>
      </w:r>
    </w:p>
    <w:p w:rsidR="005171B2" w:rsidRPr="000063FC" w:rsidRDefault="005171B2" w:rsidP="00C20113">
      <w:pPr>
        <w:numPr>
          <w:ilvl w:val="0"/>
          <w:numId w:val="28"/>
        </w:numPr>
        <w:tabs>
          <w:tab w:val="clear" w:pos="720"/>
          <w:tab w:val="clear" w:pos="6912"/>
        </w:tabs>
        <w:spacing w:line="276" w:lineRule="auto"/>
        <w:rPr>
          <w:i/>
        </w:rPr>
      </w:pPr>
      <w:r w:rsidRPr="000063FC">
        <w:rPr>
          <w:i/>
        </w:rPr>
        <w:t>Poticanje gradnje pasivnih i nisko-energetskih obiteljskih kuća i stambenih zgrada.</w:t>
      </w:r>
    </w:p>
    <w:p w:rsidR="005171B2" w:rsidRPr="000063FC" w:rsidRDefault="005171B2" w:rsidP="005171B2">
      <w:pPr>
        <w:spacing w:line="276" w:lineRule="auto"/>
      </w:pPr>
      <w:r w:rsidRPr="000063FC">
        <w:t>Mjera predviđa poticanje gradnje pasivnih i nisko-energetskih obiteljskih kuća i stambenih zgrada. Predlaže se da Grad Zagreb subvencionira ovu mjeru s 10%.</w:t>
      </w:r>
    </w:p>
    <w:p w:rsidR="005171B2" w:rsidRPr="000063FC" w:rsidRDefault="005171B2" w:rsidP="005171B2">
      <w:pPr>
        <w:spacing w:line="276" w:lineRule="auto"/>
      </w:pPr>
    </w:p>
    <w:p w:rsidR="005171B2" w:rsidRPr="000063FC" w:rsidRDefault="005171B2" w:rsidP="00C3073D">
      <w:pPr>
        <w:pStyle w:val="Heading3"/>
      </w:pPr>
      <w:bookmarkStart w:id="264" w:name="_Toc254010206"/>
      <w:r w:rsidRPr="000063FC">
        <w:t>Zgrade komercijalnih i uslužnih djelatnosti</w:t>
      </w:r>
      <w:bookmarkEnd w:id="264"/>
    </w:p>
    <w:p w:rsidR="005171B2" w:rsidRPr="000063FC" w:rsidRDefault="005171B2" w:rsidP="005171B2">
      <w:pPr>
        <w:spacing w:line="276" w:lineRule="auto"/>
      </w:pPr>
      <w:r w:rsidRPr="000063FC">
        <w:t>Identificirane mjere za smanjenje emisija CO</w:t>
      </w:r>
      <w:r w:rsidRPr="000063FC">
        <w:rPr>
          <w:vertAlign w:val="subscript"/>
        </w:rPr>
        <w:t>2</w:t>
      </w:r>
      <w:r w:rsidRPr="000063FC">
        <w:t xml:space="preserve"> u podsektoru </w:t>
      </w:r>
      <w:r w:rsidR="00276C96">
        <w:t xml:space="preserve">zgrade komercijalnih i uslužnih djelatnosti </w:t>
      </w:r>
      <w:r w:rsidRPr="000063FC">
        <w:t>su slijedeće:</w:t>
      </w:r>
    </w:p>
    <w:p w:rsidR="005171B2" w:rsidRPr="000063FC" w:rsidRDefault="005171B2" w:rsidP="00C20113">
      <w:pPr>
        <w:numPr>
          <w:ilvl w:val="0"/>
          <w:numId w:val="29"/>
        </w:numPr>
        <w:tabs>
          <w:tab w:val="clear" w:pos="720"/>
          <w:tab w:val="clear" w:pos="6912"/>
        </w:tabs>
        <w:spacing w:line="276" w:lineRule="auto"/>
        <w:rPr>
          <w:i/>
        </w:rPr>
      </w:pPr>
      <w:r w:rsidRPr="000063FC">
        <w:rPr>
          <w:i/>
        </w:rPr>
        <w:t>Uvjetovanje dobivanja poticaja poboljšanjem toplinske izolacije zgrade.</w:t>
      </w:r>
    </w:p>
    <w:p w:rsidR="005171B2" w:rsidRPr="000063FC" w:rsidRDefault="005171B2" w:rsidP="005171B2">
      <w:pPr>
        <w:spacing w:line="276" w:lineRule="auto"/>
      </w:pPr>
      <w:r w:rsidRPr="000063FC">
        <w:t xml:space="preserve">Mjera predviđa uvjetovanje dobivanja poticaja za postojeće zgrade/poduzeća u komercijalnom i uslužnom sektoru poboljšanjem toplinske izolacije i krovišta zgrade na način da odgovara važećim propisima. </w:t>
      </w:r>
    </w:p>
    <w:p w:rsidR="005171B2" w:rsidRPr="000063FC" w:rsidRDefault="005171B2" w:rsidP="00C20113">
      <w:pPr>
        <w:numPr>
          <w:ilvl w:val="0"/>
          <w:numId w:val="29"/>
        </w:numPr>
        <w:tabs>
          <w:tab w:val="clear" w:pos="720"/>
          <w:tab w:val="clear" w:pos="6912"/>
        </w:tabs>
        <w:spacing w:line="276" w:lineRule="auto"/>
        <w:rPr>
          <w:i/>
        </w:rPr>
      </w:pPr>
      <w:r w:rsidRPr="000063FC">
        <w:rPr>
          <w:i/>
        </w:rPr>
        <w:t>Uvjetovanje dobivanja poticaja korištenjem obnovljivih izvora energije.</w:t>
      </w:r>
    </w:p>
    <w:p w:rsidR="005171B2" w:rsidRPr="000063FC" w:rsidRDefault="005171B2" w:rsidP="005171B2">
      <w:pPr>
        <w:spacing w:line="276" w:lineRule="auto"/>
      </w:pPr>
      <w:r w:rsidRPr="000063FC">
        <w:t xml:space="preserve">Mjera predviđa uvjetovanje dobivanja poticaja za postojeće zgrade/poduzeća u komercijalnom i uslužnom sektoru korištenjem obnovljivih izvora energije za proizvodnju toplinske energije. </w:t>
      </w:r>
    </w:p>
    <w:p w:rsidR="005171B2" w:rsidRPr="000063FC" w:rsidRDefault="005171B2" w:rsidP="00C20113">
      <w:pPr>
        <w:numPr>
          <w:ilvl w:val="0"/>
          <w:numId w:val="29"/>
        </w:numPr>
        <w:tabs>
          <w:tab w:val="clear" w:pos="720"/>
          <w:tab w:val="clear" w:pos="6912"/>
        </w:tabs>
        <w:spacing w:line="276" w:lineRule="auto"/>
        <w:rPr>
          <w:i/>
        </w:rPr>
      </w:pPr>
      <w:r w:rsidRPr="000063FC">
        <w:rPr>
          <w:i/>
        </w:rPr>
        <w:t>Poticanje kupovine energetski učinkovitih električnih uređaja za postojeće zgrade.</w:t>
      </w:r>
    </w:p>
    <w:p w:rsidR="005171B2" w:rsidRPr="000063FC" w:rsidRDefault="005171B2" w:rsidP="005171B2">
      <w:pPr>
        <w:spacing w:line="276" w:lineRule="auto"/>
      </w:pPr>
      <w:r w:rsidRPr="000063FC">
        <w:t xml:space="preserve">Mjera predviđa poticanje kupovine energetski učinkovitih električnih uređaja za postojeće zgrade iz komercijalnog i uslužnog sektora. </w:t>
      </w:r>
    </w:p>
    <w:p w:rsidR="005171B2" w:rsidRPr="000063FC" w:rsidRDefault="005171B2" w:rsidP="00C20113">
      <w:pPr>
        <w:numPr>
          <w:ilvl w:val="0"/>
          <w:numId w:val="29"/>
        </w:numPr>
        <w:tabs>
          <w:tab w:val="clear" w:pos="720"/>
          <w:tab w:val="clear" w:pos="6912"/>
        </w:tabs>
        <w:spacing w:line="276" w:lineRule="auto"/>
        <w:rPr>
          <w:i/>
        </w:rPr>
      </w:pPr>
      <w:r w:rsidRPr="000063FC">
        <w:rPr>
          <w:i/>
        </w:rPr>
        <w:t>Ugradnja štednih žarulja za komercijalni i uslužni sektor.</w:t>
      </w:r>
    </w:p>
    <w:p w:rsidR="005171B2" w:rsidRPr="000063FC" w:rsidRDefault="005171B2" w:rsidP="00C20113">
      <w:pPr>
        <w:numPr>
          <w:ilvl w:val="0"/>
          <w:numId w:val="29"/>
        </w:numPr>
        <w:tabs>
          <w:tab w:val="clear" w:pos="720"/>
          <w:tab w:val="clear" w:pos="6912"/>
        </w:tabs>
        <w:spacing w:line="276" w:lineRule="auto"/>
        <w:rPr>
          <w:i/>
        </w:rPr>
      </w:pPr>
      <w:r w:rsidRPr="000063FC">
        <w:rPr>
          <w:i/>
        </w:rPr>
        <w:t>Smanjene komunalne naknade za nove zgrade u komercijalnom i uslužnom sektoru toplinskih karakteristika boljih od važećih propisa.</w:t>
      </w:r>
    </w:p>
    <w:p w:rsidR="005171B2" w:rsidRPr="000063FC" w:rsidRDefault="005171B2" w:rsidP="005171B2">
      <w:pPr>
        <w:spacing w:line="276" w:lineRule="auto"/>
      </w:pPr>
      <w:r w:rsidRPr="000063FC">
        <w:t xml:space="preserve">Mjera predviđa smanjene komunalne naknade za nove zgrade u komercijalnom i uslužnom sektoru toplinskih karakteristika iznad onih propisanih Tehničkim propisom o racionalnoj uporabi energije i toplinskoj zaštiti u zgradama (NN 110/08), pogotovo za građevine s A i A+ (pasivna zgrada) energetskim certifikatima. </w:t>
      </w:r>
    </w:p>
    <w:p w:rsidR="005171B2" w:rsidRPr="000063FC" w:rsidRDefault="005171B2" w:rsidP="00C20113">
      <w:pPr>
        <w:numPr>
          <w:ilvl w:val="0"/>
          <w:numId w:val="29"/>
        </w:numPr>
        <w:tabs>
          <w:tab w:val="clear" w:pos="720"/>
          <w:tab w:val="clear" w:pos="6912"/>
        </w:tabs>
        <w:spacing w:line="276" w:lineRule="auto"/>
        <w:rPr>
          <w:i/>
        </w:rPr>
      </w:pPr>
      <w:r w:rsidRPr="000063FC">
        <w:rPr>
          <w:i/>
        </w:rPr>
        <w:t>Smanjene komunalne naknade za nove zgrade u komercijalnom i uslužnom sektoru koje koriste obnovljive izvore energije.</w:t>
      </w:r>
    </w:p>
    <w:p w:rsidR="005171B2" w:rsidRPr="000063FC" w:rsidRDefault="005171B2" w:rsidP="005171B2">
      <w:pPr>
        <w:spacing w:line="276" w:lineRule="auto"/>
      </w:pPr>
      <w:r w:rsidRPr="000063FC">
        <w:t xml:space="preserve">Mjera predlaže smanjene komunalne naknade za nove zgrade u komercijalnom i uslužnom sektoru koje koriste obnovljive izvore energije. </w:t>
      </w:r>
    </w:p>
    <w:p w:rsidR="005171B2" w:rsidRPr="000063FC" w:rsidRDefault="005171B2" w:rsidP="00C20113">
      <w:pPr>
        <w:numPr>
          <w:ilvl w:val="0"/>
          <w:numId w:val="29"/>
        </w:numPr>
        <w:tabs>
          <w:tab w:val="clear" w:pos="720"/>
          <w:tab w:val="clear" w:pos="6912"/>
        </w:tabs>
        <w:spacing w:line="276" w:lineRule="auto"/>
        <w:rPr>
          <w:i/>
        </w:rPr>
      </w:pPr>
      <w:r w:rsidRPr="000063FC">
        <w:rPr>
          <w:i/>
        </w:rPr>
        <w:t>Poticanje kupovine energetski učinkovitih električnih uređaja u komercijalnom i uslužnom sektoru.</w:t>
      </w:r>
    </w:p>
    <w:p w:rsidR="005171B2" w:rsidRPr="000063FC" w:rsidRDefault="005171B2" w:rsidP="005171B2">
      <w:pPr>
        <w:spacing w:line="276" w:lineRule="auto"/>
      </w:pPr>
      <w:r w:rsidRPr="000063FC">
        <w:t xml:space="preserve">Mjera predviđa poticanje kupovine energetski učinkovitih električnih uređaja. </w:t>
      </w:r>
    </w:p>
    <w:p w:rsidR="00FE5690" w:rsidRPr="000063FC" w:rsidRDefault="00FE5690">
      <w:pPr>
        <w:tabs>
          <w:tab w:val="clear" w:pos="720"/>
          <w:tab w:val="clear" w:pos="6912"/>
        </w:tabs>
        <w:spacing w:line="240" w:lineRule="auto"/>
        <w:jc w:val="left"/>
      </w:pPr>
      <w:r w:rsidRPr="000063FC">
        <w:br w:type="page"/>
      </w:r>
    </w:p>
    <w:p w:rsidR="005171B2" w:rsidRPr="000063FC" w:rsidRDefault="00F56931" w:rsidP="00C3073D">
      <w:pPr>
        <w:pStyle w:val="Heading2"/>
      </w:pPr>
      <w:bookmarkStart w:id="265" w:name="_Toc254010207"/>
      <w:r w:rsidRPr="000063FC">
        <w:rPr>
          <w:caps w:val="0"/>
        </w:rPr>
        <w:lastRenderedPageBreak/>
        <w:t>MJERE ZA SMANJENJE EMISIJA CO</w:t>
      </w:r>
      <w:r w:rsidRPr="000063FC">
        <w:rPr>
          <w:caps w:val="0"/>
          <w:vertAlign w:val="subscript"/>
        </w:rPr>
        <w:t>2</w:t>
      </w:r>
      <w:r w:rsidRPr="000063FC">
        <w:rPr>
          <w:caps w:val="0"/>
        </w:rPr>
        <w:t xml:space="preserve"> U SEKTORU PROMETA</w:t>
      </w:r>
      <w:bookmarkEnd w:id="265"/>
    </w:p>
    <w:p w:rsidR="005171B2" w:rsidRPr="000063FC" w:rsidRDefault="005171B2" w:rsidP="005171B2">
      <w:pPr>
        <w:pStyle w:val="NoSpacing"/>
        <w:spacing w:line="276" w:lineRule="auto"/>
      </w:pPr>
      <w:r w:rsidRPr="000063FC">
        <w:t>U nastavku je dan prikaz mjera za smanjenje emisija CO</w:t>
      </w:r>
      <w:r w:rsidRPr="000063FC">
        <w:rPr>
          <w:vertAlign w:val="subscript"/>
        </w:rPr>
        <w:t>2</w:t>
      </w:r>
      <w:r w:rsidRPr="000063FC">
        <w:t xml:space="preserve"> iz sektora prometa Grada Zagreba, pri čemu su mjere podijeljene na sljedeće potkategorije:</w:t>
      </w:r>
    </w:p>
    <w:p w:rsidR="005171B2" w:rsidRPr="000063FC" w:rsidRDefault="005171B2" w:rsidP="00C20113">
      <w:pPr>
        <w:pStyle w:val="NoSpacing"/>
        <w:numPr>
          <w:ilvl w:val="0"/>
          <w:numId w:val="26"/>
        </w:numPr>
        <w:spacing w:line="276" w:lineRule="auto"/>
        <w:jc w:val="both"/>
      </w:pPr>
      <w:r w:rsidRPr="000063FC">
        <w:t>Planske, promotivne, informativne i obrazovne mjere i aktivnosti,</w:t>
      </w:r>
    </w:p>
    <w:p w:rsidR="005171B2" w:rsidRPr="000063FC" w:rsidRDefault="005171B2" w:rsidP="00C20113">
      <w:pPr>
        <w:pStyle w:val="NoSpacing"/>
        <w:numPr>
          <w:ilvl w:val="0"/>
          <w:numId w:val="26"/>
        </w:numPr>
        <w:spacing w:line="276" w:lineRule="auto"/>
        <w:jc w:val="both"/>
      </w:pPr>
      <w:r w:rsidRPr="000063FC">
        <w:t>Vozila u vlasništvu i korištenju Grada Zagreba,</w:t>
      </w:r>
    </w:p>
    <w:p w:rsidR="005171B2" w:rsidRPr="000063FC" w:rsidRDefault="005171B2" w:rsidP="00C20113">
      <w:pPr>
        <w:pStyle w:val="NoSpacing"/>
        <w:numPr>
          <w:ilvl w:val="0"/>
          <w:numId w:val="26"/>
        </w:numPr>
        <w:spacing w:line="276" w:lineRule="auto"/>
        <w:jc w:val="both"/>
      </w:pPr>
      <w:r w:rsidRPr="000063FC">
        <w:t>Javni prijevoz,</w:t>
      </w:r>
    </w:p>
    <w:p w:rsidR="005171B2" w:rsidRPr="000063FC" w:rsidRDefault="005171B2" w:rsidP="00C20113">
      <w:pPr>
        <w:pStyle w:val="NoSpacing"/>
        <w:numPr>
          <w:ilvl w:val="0"/>
          <w:numId w:val="26"/>
        </w:numPr>
        <w:spacing w:line="276" w:lineRule="auto"/>
        <w:jc w:val="both"/>
      </w:pPr>
      <w:r w:rsidRPr="000063FC">
        <w:t>Osobna i komercijalna vozila.</w:t>
      </w:r>
    </w:p>
    <w:p w:rsidR="005171B2" w:rsidRPr="000063FC" w:rsidRDefault="005171B2" w:rsidP="005171B2">
      <w:pPr>
        <w:pStyle w:val="NoSpacing"/>
        <w:spacing w:line="276" w:lineRule="auto"/>
      </w:pPr>
    </w:p>
    <w:p w:rsidR="005171B2" w:rsidRPr="000063FC" w:rsidRDefault="005171B2" w:rsidP="00C3073D">
      <w:pPr>
        <w:pStyle w:val="Heading3"/>
      </w:pPr>
      <w:bookmarkStart w:id="266" w:name="_Toc254010208"/>
      <w:r w:rsidRPr="000063FC">
        <w:t>Planske, promotivne, informativne i obrazovne mjere i aktivnosti</w:t>
      </w:r>
      <w:bookmarkEnd w:id="266"/>
    </w:p>
    <w:p w:rsidR="005171B2" w:rsidRPr="000063FC" w:rsidRDefault="005171B2" w:rsidP="00276C96">
      <w:pPr>
        <w:pStyle w:val="NoSpacing"/>
        <w:spacing w:line="276" w:lineRule="auto"/>
      </w:pPr>
      <w:r w:rsidRPr="00276C96">
        <w:t>Identificirane mjere za smanjenje emisija CO2 u po</w:t>
      </w:r>
      <w:r w:rsidR="00276C96" w:rsidRPr="00276C96">
        <w:t>tkategoriji Planske, promotivne, informativne i obrazovne mjere i aktivnosti</w:t>
      </w:r>
      <w:r w:rsidRPr="000063FC">
        <w:t xml:space="preserve"> su slijedeće:</w:t>
      </w:r>
    </w:p>
    <w:p w:rsidR="005171B2" w:rsidRPr="000063FC" w:rsidRDefault="005171B2" w:rsidP="00C20113">
      <w:pPr>
        <w:numPr>
          <w:ilvl w:val="0"/>
          <w:numId w:val="30"/>
        </w:numPr>
        <w:tabs>
          <w:tab w:val="clear" w:pos="720"/>
          <w:tab w:val="clear" w:pos="6912"/>
        </w:tabs>
        <w:spacing w:line="276" w:lineRule="auto"/>
        <w:rPr>
          <w:i/>
        </w:rPr>
      </w:pPr>
      <w:r w:rsidRPr="000063FC">
        <w:rPr>
          <w:i/>
        </w:rPr>
        <w:t>Uvođenje naknada za prometno onečišćenje u centru Grada Zagreba.</w:t>
      </w:r>
    </w:p>
    <w:p w:rsidR="005171B2" w:rsidRPr="000063FC" w:rsidRDefault="005171B2" w:rsidP="005171B2">
      <w:pPr>
        <w:pStyle w:val="NoSpacing"/>
        <w:spacing w:line="276" w:lineRule="auto"/>
      </w:pPr>
      <w:r w:rsidRPr="000063FC">
        <w:t>Mjera predviđa uvođenje naknade za prometno onečišćenje centra Grada Zagreba. Preusmjeravanjem prometa iz centra grada neće se bitno smanjiti emisija CO2, već će do smanjenja štetnih emisija doći većim odnosno učestalijim korištenjem javnog gradskog prijevoza. Iz prikupljenih naknada za prometno onečišćenje moguće je financirati javni gradski prijevoz s ciljem povećanja kvalitete usluge prijevoza te uspostavljanjem šire zone besplatnog korištenja, a dio sredstava moguće je usmjeriti u obrazovanje i promociju o prednostima korištenja javnog gradskog prijevoza. Prije provođenja mjere potrebno je izraditi detaljnu studiju koja treba odrediti kategorije vozila koje bi bile obuhvaćene naknadom, visinu naknada za vozila ovisno o razini štetne emisije, dijelove grada tj. zone koje su obuhvaćene naplatom naknade za onečišćenje. Također, studijom je potrebno odrediti sustav naplate naknade kao i kontrolne mehanizme provedbe.</w:t>
      </w:r>
    </w:p>
    <w:p w:rsidR="005171B2" w:rsidRPr="000063FC" w:rsidRDefault="005171B2" w:rsidP="00C20113">
      <w:pPr>
        <w:numPr>
          <w:ilvl w:val="0"/>
          <w:numId w:val="30"/>
        </w:numPr>
        <w:tabs>
          <w:tab w:val="clear" w:pos="720"/>
          <w:tab w:val="clear" w:pos="6912"/>
        </w:tabs>
        <w:spacing w:line="276" w:lineRule="auto"/>
        <w:rPr>
          <w:i/>
        </w:rPr>
      </w:pPr>
      <w:r w:rsidRPr="000063FC">
        <w:rPr>
          <w:i/>
        </w:rPr>
        <w:t>Ugradnja sustava za praćenje i usmjeravanje prometa na području Grada Zagreba.</w:t>
      </w:r>
    </w:p>
    <w:p w:rsidR="005171B2" w:rsidRPr="000063FC" w:rsidRDefault="005171B2" w:rsidP="005171B2">
      <w:pPr>
        <w:pStyle w:val="NoSpacing"/>
        <w:spacing w:line="276" w:lineRule="auto"/>
      </w:pPr>
      <w:r w:rsidRPr="000063FC">
        <w:t xml:space="preserve">Mjera predviđa osiguranje prioriteta javnog gradskog prometa na semaforiziranim raskrižjima te optimiziranje rada semaforskih uređaja. </w:t>
      </w:r>
    </w:p>
    <w:p w:rsidR="005171B2" w:rsidRPr="000063FC" w:rsidRDefault="005171B2" w:rsidP="00C20113">
      <w:pPr>
        <w:numPr>
          <w:ilvl w:val="0"/>
          <w:numId w:val="30"/>
        </w:numPr>
        <w:tabs>
          <w:tab w:val="clear" w:pos="720"/>
          <w:tab w:val="clear" w:pos="6912"/>
        </w:tabs>
        <w:spacing w:line="276" w:lineRule="auto"/>
      </w:pPr>
      <w:r w:rsidRPr="000063FC">
        <w:rPr>
          <w:i/>
        </w:rPr>
        <w:t>Informiranje i treniranje ekološki prihvatljivog načina vožnje (auto škole).</w:t>
      </w:r>
    </w:p>
    <w:p w:rsidR="005171B2" w:rsidRPr="000063FC" w:rsidRDefault="005171B2" w:rsidP="005171B2">
      <w:pPr>
        <w:pStyle w:val="NoSpacing"/>
        <w:spacing w:line="276" w:lineRule="auto"/>
      </w:pPr>
      <w:r w:rsidRPr="000063FC">
        <w:t>Mjera predviđa provođenje slijedećih aktivnosti:</w:t>
      </w:r>
    </w:p>
    <w:p w:rsidR="005171B2" w:rsidRPr="000063FC" w:rsidRDefault="005171B2" w:rsidP="00C20113">
      <w:pPr>
        <w:pStyle w:val="NoSpacing"/>
        <w:numPr>
          <w:ilvl w:val="0"/>
          <w:numId w:val="40"/>
        </w:numPr>
        <w:spacing w:line="276" w:lineRule="auto"/>
        <w:jc w:val="both"/>
      </w:pPr>
      <w:r w:rsidRPr="000063FC">
        <w:t>sastavljanje programa jednodnevnih ili dvodnevnih tečajeva za ustanove nadležne za osposobljavanje vozača,</w:t>
      </w:r>
    </w:p>
    <w:p w:rsidR="005171B2" w:rsidRPr="000063FC" w:rsidRDefault="005171B2" w:rsidP="00C20113">
      <w:pPr>
        <w:pStyle w:val="NoSpacing"/>
        <w:numPr>
          <w:ilvl w:val="0"/>
          <w:numId w:val="40"/>
        </w:numPr>
        <w:spacing w:line="276" w:lineRule="auto"/>
        <w:jc w:val="both"/>
      </w:pPr>
      <w:r w:rsidRPr="000063FC">
        <w:t>ekološki prihvatljiv način vožnje treba postati sastavni dio osposobljavanja vozača tijekom vozačkih ispita,</w:t>
      </w:r>
    </w:p>
    <w:p w:rsidR="005171B2" w:rsidRPr="000063FC" w:rsidRDefault="005171B2" w:rsidP="00C20113">
      <w:pPr>
        <w:pStyle w:val="NoSpacing"/>
        <w:numPr>
          <w:ilvl w:val="0"/>
          <w:numId w:val="40"/>
        </w:numPr>
        <w:spacing w:line="276" w:lineRule="auto"/>
        <w:jc w:val="both"/>
      </w:pPr>
      <w:r w:rsidRPr="000063FC">
        <w:t>izrada smjernica, tj. konkretnih uputa vozačima (redovita provjera tlaka u gumama, smanjenje nepotrebnog tereta u vozilu, vožnja s češćim prebacivanjem u viši stupanj prijenosa, umjerene brzine vožnje, praćenje potrošnje goriva na putnom računalu i dr.),</w:t>
      </w:r>
    </w:p>
    <w:p w:rsidR="005171B2" w:rsidRPr="000063FC" w:rsidRDefault="005171B2" w:rsidP="00C20113">
      <w:pPr>
        <w:pStyle w:val="NoSpacing"/>
        <w:numPr>
          <w:ilvl w:val="0"/>
          <w:numId w:val="40"/>
        </w:numPr>
        <w:spacing w:line="276" w:lineRule="auto"/>
        <w:jc w:val="both"/>
      </w:pPr>
      <w:r w:rsidRPr="000063FC">
        <w:t>promocija ekološki prihvatljivog načina vožnje za vozače javnog prijevoza u obliku seminara i radionica.</w:t>
      </w:r>
    </w:p>
    <w:p w:rsidR="005171B2" w:rsidRPr="000063FC" w:rsidRDefault="005171B2" w:rsidP="00C20113">
      <w:pPr>
        <w:numPr>
          <w:ilvl w:val="0"/>
          <w:numId w:val="30"/>
        </w:numPr>
        <w:tabs>
          <w:tab w:val="clear" w:pos="720"/>
          <w:tab w:val="clear" w:pos="6912"/>
        </w:tabs>
        <w:spacing w:line="276" w:lineRule="auto"/>
        <w:rPr>
          <w:i/>
        </w:rPr>
      </w:pPr>
      <w:r w:rsidRPr="000063FC">
        <w:rPr>
          <w:i/>
        </w:rPr>
        <w:t>Promoviranje upotrebe alternativnih goriva.</w:t>
      </w:r>
    </w:p>
    <w:p w:rsidR="005171B2" w:rsidRPr="000063FC" w:rsidRDefault="000063FC" w:rsidP="005171B2">
      <w:pPr>
        <w:pStyle w:val="NoSpacing"/>
        <w:spacing w:line="276" w:lineRule="auto"/>
      </w:pPr>
      <w:r w:rsidRPr="000063FC">
        <w:t xml:space="preserve">Mjera predviđa povećanje opće razine znanja građana o vozilima pogonjenima alternativnim gorivom kroz razne promotivne aktivnosti i treninge korištenja takvih vozila, poticanje uvođenja vozila pogonjenih alternativnim gorivom za taksi službe kroz subvencije pri kupnji novog vozila. </w:t>
      </w:r>
      <w:r w:rsidR="005171B2" w:rsidRPr="000063FC">
        <w:t xml:space="preserve">U okviru </w:t>
      </w:r>
      <w:r w:rsidR="005171B2" w:rsidRPr="000063FC">
        <w:lastRenderedPageBreak/>
        <w:t>kratkoročnih mjera može se razmotriti i subvencioniranje pregradnji postojećih vozila na pogon UNP-om (LNG).</w:t>
      </w:r>
    </w:p>
    <w:p w:rsidR="005171B2" w:rsidRPr="000063FC" w:rsidRDefault="005171B2" w:rsidP="00C20113">
      <w:pPr>
        <w:numPr>
          <w:ilvl w:val="0"/>
          <w:numId w:val="30"/>
        </w:numPr>
        <w:tabs>
          <w:tab w:val="clear" w:pos="720"/>
          <w:tab w:val="clear" w:pos="6912"/>
        </w:tabs>
        <w:spacing w:line="276" w:lineRule="auto"/>
        <w:rPr>
          <w:i/>
        </w:rPr>
      </w:pPr>
      <w:r w:rsidRPr="000063FC">
        <w:rPr>
          <w:i/>
        </w:rPr>
        <w:t>Osnivanje informativno-demonstracijskog centra za građane o načinu rada i uporabe vozila pogonjenih alternativnim gorivima (električna energija, prirodni plin, biogoriva i dr.).</w:t>
      </w:r>
    </w:p>
    <w:p w:rsidR="005171B2" w:rsidRPr="000063FC" w:rsidRDefault="005171B2" w:rsidP="005171B2">
      <w:pPr>
        <w:pStyle w:val="NoSpacing"/>
        <w:spacing w:line="276" w:lineRule="auto"/>
      </w:pPr>
      <w:r w:rsidRPr="000063FC">
        <w:t>Mjera predviđa izradu seriju predavanja o razlikama i načinu rada motora pogonjenih alternativnim gorivima u suradnji sa visokoškolskim ili znanstvenim ustanovom. Da bi se predavanja učinila atraktivnija za širi krug zainteresiranih svakako ih treba popratiti demonstracijskim modelima kao i s nekoliko potpuno funkcionalnih vozila, čija bi se uporaba probnim vožnjama demonstrirala tijekom predavanja.</w:t>
      </w:r>
    </w:p>
    <w:p w:rsidR="005171B2" w:rsidRPr="000063FC" w:rsidRDefault="005171B2" w:rsidP="005171B2">
      <w:pPr>
        <w:pStyle w:val="NoSpacing"/>
        <w:spacing w:line="276" w:lineRule="auto"/>
      </w:pPr>
      <w:r w:rsidRPr="000063FC">
        <w:t>Kao dodatna ponuda u kasnijoj fazi mogao bi se napraviti demonstracijski rent-a-car u kojem bi se mogla iznajmljivati isključivo vozila pogonjena alternativnim pogonskim sustavima.</w:t>
      </w:r>
    </w:p>
    <w:p w:rsidR="005171B2" w:rsidRPr="000063FC" w:rsidRDefault="005171B2" w:rsidP="00C20113">
      <w:pPr>
        <w:numPr>
          <w:ilvl w:val="0"/>
          <w:numId w:val="30"/>
        </w:numPr>
        <w:tabs>
          <w:tab w:val="clear" w:pos="720"/>
          <w:tab w:val="clear" w:pos="6912"/>
        </w:tabs>
        <w:spacing w:line="276" w:lineRule="auto"/>
        <w:rPr>
          <w:i/>
        </w:rPr>
      </w:pPr>
      <w:r w:rsidRPr="000063FC">
        <w:rPr>
          <w:i/>
        </w:rPr>
        <w:t>Kampanja Jedan dan tjedno bez automobila.</w:t>
      </w:r>
    </w:p>
    <w:p w:rsidR="005171B2" w:rsidRPr="000063FC" w:rsidRDefault="005171B2" w:rsidP="005171B2">
      <w:pPr>
        <w:pStyle w:val="NoSpacing"/>
        <w:spacing w:line="276" w:lineRule="auto"/>
      </w:pPr>
      <w:r w:rsidRPr="000063FC">
        <w:t xml:space="preserve">Mjera predviđa provođenje kampanje </w:t>
      </w:r>
      <w:r w:rsidRPr="000063FC">
        <w:rPr>
          <w:i/>
        </w:rPr>
        <w:t>Jedan dan tjedno bez automobila</w:t>
      </w:r>
      <w:r w:rsidRPr="000063FC">
        <w:t xml:space="preserve"> u kojoj se vozače potiče da jedan dan u tjednu ostave svoje automobile kod kuće, a zauzvrat, dobivaju jeftiniju kartu u javnom prijevozu, popuste za kulturne i sportske aktivnosti, te popuste u trgovinama ili trgovačkim centrima.</w:t>
      </w:r>
    </w:p>
    <w:p w:rsidR="005171B2" w:rsidRPr="000063FC" w:rsidRDefault="005171B2" w:rsidP="005171B2">
      <w:pPr>
        <w:spacing w:line="276" w:lineRule="auto"/>
      </w:pPr>
    </w:p>
    <w:p w:rsidR="005171B2" w:rsidRPr="000063FC" w:rsidRDefault="005171B2" w:rsidP="00E00AD1">
      <w:pPr>
        <w:pStyle w:val="Heading3"/>
      </w:pPr>
      <w:bookmarkStart w:id="267" w:name="_Toc254010209"/>
      <w:r w:rsidRPr="000063FC">
        <w:t>Vozila u vlasništvu i korištenju Grada Zagreba</w:t>
      </w:r>
      <w:bookmarkEnd w:id="267"/>
    </w:p>
    <w:p w:rsidR="005171B2" w:rsidRPr="000063FC" w:rsidRDefault="005171B2" w:rsidP="005171B2">
      <w:pPr>
        <w:spacing w:line="276" w:lineRule="auto"/>
      </w:pPr>
      <w:r w:rsidRPr="000063FC">
        <w:t>Identificirane mjere za smanjenje emisija CO</w:t>
      </w:r>
      <w:r w:rsidRPr="000063FC">
        <w:rPr>
          <w:vertAlign w:val="subscript"/>
        </w:rPr>
        <w:t>2</w:t>
      </w:r>
      <w:r w:rsidRPr="000063FC">
        <w:t xml:space="preserve"> u podsektoru </w:t>
      </w:r>
      <w:r w:rsidR="00276C96">
        <w:t xml:space="preserve">vozila u vlasništvu i korištenju Grada Zagreba </w:t>
      </w:r>
      <w:r w:rsidRPr="000063FC">
        <w:t>su slijedeće:</w:t>
      </w:r>
    </w:p>
    <w:p w:rsidR="005171B2" w:rsidRPr="000063FC" w:rsidRDefault="005171B2" w:rsidP="00C20113">
      <w:pPr>
        <w:numPr>
          <w:ilvl w:val="0"/>
          <w:numId w:val="42"/>
        </w:numPr>
        <w:tabs>
          <w:tab w:val="clear" w:pos="720"/>
          <w:tab w:val="clear" w:pos="6912"/>
        </w:tabs>
        <w:spacing w:line="276" w:lineRule="auto"/>
        <w:rPr>
          <w:i/>
        </w:rPr>
      </w:pPr>
      <w:r w:rsidRPr="000063FC">
        <w:rPr>
          <w:i/>
        </w:rPr>
        <w:t>Uvođenje Sustavnog gospodarenja energijom u vozilima u vlasništvu Grada.</w:t>
      </w:r>
    </w:p>
    <w:p w:rsidR="005171B2" w:rsidRPr="000063FC" w:rsidRDefault="005171B2" w:rsidP="005171B2">
      <w:pPr>
        <w:spacing w:line="276" w:lineRule="auto"/>
      </w:pPr>
      <w:r w:rsidRPr="000063FC">
        <w:t>Mjera predviđa sljedeće aktivnosti:</w:t>
      </w:r>
    </w:p>
    <w:p w:rsidR="005171B2" w:rsidRPr="000063FC" w:rsidRDefault="005171B2" w:rsidP="00C20113">
      <w:pPr>
        <w:numPr>
          <w:ilvl w:val="0"/>
          <w:numId w:val="31"/>
        </w:numPr>
        <w:tabs>
          <w:tab w:val="clear" w:pos="720"/>
          <w:tab w:val="clear" w:pos="6912"/>
        </w:tabs>
        <w:spacing w:line="276" w:lineRule="auto"/>
      </w:pPr>
      <w:r w:rsidRPr="000063FC">
        <w:t>Utvrđivanje trenutnog stanja ruta vožnji i potrošnje vozila u vlasništvu Grada (svih voznih parkova pojedinih sektora i podružnica);</w:t>
      </w:r>
    </w:p>
    <w:p w:rsidR="005171B2" w:rsidRPr="000063FC" w:rsidRDefault="005171B2" w:rsidP="00C20113">
      <w:pPr>
        <w:numPr>
          <w:ilvl w:val="0"/>
          <w:numId w:val="31"/>
        </w:numPr>
        <w:tabs>
          <w:tab w:val="clear" w:pos="720"/>
          <w:tab w:val="clear" w:pos="6912"/>
        </w:tabs>
        <w:spacing w:line="276" w:lineRule="auto"/>
      </w:pPr>
      <w:r w:rsidRPr="000063FC">
        <w:t>Investicija u sustave za GPS tracking i sustave za kontrolu tlaka u gumama u svim vozilima koja su u vlasništvu Grada;</w:t>
      </w:r>
    </w:p>
    <w:p w:rsidR="005171B2" w:rsidRPr="000063FC" w:rsidRDefault="005171B2" w:rsidP="00C20113">
      <w:pPr>
        <w:numPr>
          <w:ilvl w:val="0"/>
          <w:numId w:val="31"/>
        </w:numPr>
        <w:tabs>
          <w:tab w:val="clear" w:pos="720"/>
          <w:tab w:val="clear" w:pos="6912"/>
        </w:tabs>
        <w:spacing w:line="276" w:lineRule="auto"/>
      </w:pPr>
      <w:r w:rsidRPr="000063FC">
        <w:t>Na temelju postojećeg stanja napraviti prijedlog mjera za povećanje učinkovitosti (optimizacija ruta i vremena vožnje);</w:t>
      </w:r>
    </w:p>
    <w:p w:rsidR="005171B2" w:rsidRPr="000063FC" w:rsidRDefault="005171B2" w:rsidP="00C20113">
      <w:pPr>
        <w:numPr>
          <w:ilvl w:val="0"/>
          <w:numId w:val="31"/>
        </w:numPr>
        <w:tabs>
          <w:tab w:val="clear" w:pos="720"/>
          <w:tab w:val="clear" w:pos="6912"/>
        </w:tabs>
        <w:spacing w:line="276" w:lineRule="auto"/>
      </w:pPr>
      <w:r w:rsidRPr="000063FC">
        <w:t>Praćenje provedbe.</w:t>
      </w:r>
    </w:p>
    <w:p w:rsidR="005171B2" w:rsidRPr="000063FC" w:rsidRDefault="005171B2" w:rsidP="00C20113">
      <w:pPr>
        <w:numPr>
          <w:ilvl w:val="0"/>
          <w:numId w:val="42"/>
        </w:numPr>
        <w:tabs>
          <w:tab w:val="clear" w:pos="720"/>
          <w:tab w:val="clear" w:pos="6912"/>
        </w:tabs>
        <w:spacing w:line="276" w:lineRule="auto"/>
        <w:rPr>
          <w:i/>
        </w:rPr>
      </w:pPr>
      <w:r w:rsidRPr="000063FC">
        <w:rPr>
          <w:i/>
        </w:rPr>
        <w:t>Uvođenje Zelene javne nabave za sva vozila u vlasništvu Grada Zagreba.</w:t>
      </w:r>
    </w:p>
    <w:p w:rsidR="005171B2" w:rsidRPr="000063FC" w:rsidRDefault="005171B2" w:rsidP="005171B2">
      <w:pPr>
        <w:spacing w:line="276" w:lineRule="auto"/>
      </w:pPr>
      <w:r w:rsidRPr="000063FC">
        <w:t>Zelenom javnom nabavom za sva vozila u vlasništvu grada Zagreba propisala bi se nabavka isključivo vozila s malom emisijom CO</w:t>
      </w:r>
      <w:r w:rsidRPr="000063FC">
        <w:rPr>
          <w:vertAlign w:val="subscript"/>
        </w:rPr>
        <w:t>2</w:t>
      </w:r>
      <w:r w:rsidRPr="000063FC">
        <w:t xml:space="preserve"> (osobna vozila &lt; 120 g/km) odnosno vozila na alternativna goriva. Izradom studije utvrdilo bi se trenutno stanje voznog parka u vlasništvu grada Zagreba, napravio pregled postojećih vozila obzirom na veličinu i razinu emisije CO2 kao i planovi za nabavku novih vozila. Studijom o zelenoj javnoj nabavi vozila definirali bi se kriteriji koje nova vozila moraju zadovoljiti, a temeljem toga bi se izradio pravilnik o Zelenoj javnoj nabavi vozila. Zelena javna nabava trebala bi poticati nabavku vozila primjerene veličine i tipa za pojedine namjene, primijeniti pravila Pozitivne diskriminacije pri odabiru vozila s malom emisijom CO</w:t>
      </w:r>
      <w:r w:rsidRPr="000063FC">
        <w:rPr>
          <w:vertAlign w:val="subscript"/>
        </w:rPr>
        <w:t>2</w:t>
      </w:r>
      <w:r w:rsidRPr="000063FC">
        <w:t>, vozila pogonjenih alternativnim gorivima, kao i uporabu alternativnih goriva u novim vozilima.</w:t>
      </w:r>
    </w:p>
    <w:p w:rsidR="005171B2" w:rsidRPr="000063FC" w:rsidRDefault="005171B2" w:rsidP="00C20113">
      <w:pPr>
        <w:numPr>
          <w:ilvl w:val="0"/>
          <w:numId w:val="42"/>
        </w:numPr>
        <w:tabs>
          <w:tab w:val="clear" w:pos="720"/>
          <w:tab w:val="clear" w:pos="6912"/>
        </w:tabs>
        <w:spacing w:line="276" w:lineRule="auto"/>
      </w:pPr>
      <w:r w:rsidRPr="000063FC">
        <w:rPr>
          <w:i/>
        </w:rPr>
        <w:t xml:space="preserve">Car sharing za djelatnike Gradske uprave grada Zagreba odnosno iste podružnice Zagrebačkog holdinga </w:t>
      </w:r>
    </w:p>
    <w:p w:rsidR="005171B2" w:rsidRPr="000063FC" w:rsidRDefault="005171B2" w:rsidP="005171B2">
      <w:pPr>
        <w:spacing w:line="276" w:lineRule="auto"/>
      </w:pPr>
      <w:r w:rsidRPr="000063FC">
        <w:t>Više zaposlenika koji žive u istom dijelu grada mogu na posao dolaziti u zajedničkom vozilu, čime bi se racionalizirala uporaba vozila, smanjila potrošnja goriva i pripadajućih emisija CO</w:t>
      </w:r>
      <w:r w:rsidRPr="000063FC">
        <w:rPr>
          <w:vertAlign w:val="subscript"/>
        </w:rPr>
        <w:t>2</w:t>
      </w:r>
      <w:r w:rsidRPr="000063FC">
        <w:t xml:space="preserve">. U tu svrhu trebalo </w:t>
      </w:r>
      <w:r w:rsidRPr="000063FC">
        <w:lastRenderedPageBreak/>
        <w:t>bi napraviti bazu korisnika i zaposlenika pojedinog poduzeća, odnosno sustav upravljanja voznim parkom unutar kojeg bi se rasporedila vozila prema broju korisnika.</w:t>
      </w:r>
    </w:p>
    <w:p w:rsidR="00EC7AC6" w:rsidRPr="000063FC" w:rsidRDefault="00EC7AC6" w:rsidP="005171B2">
      <w:pPr>
        <w:spacing w:line="276" w:lineRule="auto"/>
      </w:pPr>
    </w:p>
    <w:p w:rsidR="005171B2" w:rsidRPr="000063FC" w:rsidRDefault="005171B2" w:rsidP="00EC7AC6">
      <w:pPr>
        <w:pStyle w:val="Heading3"/>
      </w:pPr>
      <w:bookmarkStart w:id="268" w:name="_Toc254010210"/>
      <w:r w:rsidRPr="000063FC">
        <w:t>Javni prijevoz</w:t>
      </w:r>
      <w:bookmarkEnd w:id="268"/>
    </w:p>
    <w:p w:rsidR="005171B2" w:rsidRPr="000063FC" w:rsidRDefault="005171B2" w:rsidP="005171B2">
      <w:pPr>
        <w:spacing w:line="276" w:lineRule="auto"/>
      </w:pPr>
      <w:r w:rsidRPr="000063FC">
        <w:t>Identificirane mjere za smanjenje emisija CO</w:t>
      </w:r>
      <w:r w:rsidRPr="000063FC">
        <w:rPr>
          <w:vertAlign w:val="subscript"/>
        </w:rPr>
        <w:t>2</w:t>
      </w:r>
      <w:r w:rsidRPr="000063FC">
        <w:t xml:space="preserve"> u podsektoru </w:t>
      </w:r>
      <w:r w:rsidR="00276C96">
        <w:t xml:space="preserve">javni prijevoz </w:t>
      </w:r>
      <w:r w:rsidRPr="000063FC">
        <w:t>su slijedeće:</w:t>
      </w:r>
    </w:p>
    <w:p w:rsidR="005171B2" w:rsidRPr="000063FC" w:rsidRDefault="005171B2" w:rsidP="00C20113">
      <w:pPr>
        <w:numPr>
          <w:ilvl w:val="0"/>
          <w:numId w:val="32"/>
        </w:numPr>
        <w:tabs>
          <w:tab w:val="clear" w:pos="720"/>
          <w:tab w:val="clear" w:pos="6912"/>
        </w:tabs>
        <w:spacing w:line="276" w:lineRule="auto"/>
        <w:rPr>
          <w:i/>
        </w:rPr>
      </w:pPr>
      <w:r w:rsidRPr="000063FC">
        <w:rPr>
          <w:i/>
        </w:rPr>
        <w:t>Uvođenje Sustavnog gospodarenja energijom u vozilima javnog prijevoza.</w:t>
      </w:r>
    </w:p>
    <w:p w:rsidR="005171B2" w:rsidRPr="000063FC" w:rsidRDefault="005171B2" w:rsidP="005171B2">
      <w:pPr>
        <w:spacing w:line="276" w:lineRule="auto"/>
      </w:pPr>
      <w:r w:rsidRPr="000063FC">
        <w:t>Mjera predviđa utvrđivanje ruta vožnje i potrošnje vozila javnog prometa.</w:t>
      </w:r>
    </w:p>
    <w:p w:rsidR="005171B2" w:rsidRPr="000063FC" w:rsidRDefault="005171B2" w:rsidP="00C20113">
      <w:pPr>
        <w:numPr>
          <w:ilvl w:val="0"/>
          <w:numId w:val="32"/>
        </w:numPr>
        <w:tabs>
          <w:tab w:val="clear" w:pos="720"/>
          <w:tab w:val="clear" w:pos="6912"/>
        </w:tabs>
        <w:spacing w:line="276" w:lineRule="auto"/>
      </w:pPr>
      <w:r w:rsidRPr="000063FC">
        <w:rPr>
          <w:i/>
        </w:rPr>
        <w:t>Uvođenje novog, brzog gradskog, podzemno-nadzemnog tračničkog sustava (metro, laki tračnički sustav).</w:t>
      </w:r>
    </w:p>
    <w:p w:rsidR="005171B2" w:rsidRPr="000063FC" w:rsidRDefault="005171B2" w:rsidP="005171B2">
      <w:pPr>
        <w:spacing w:line="276" w:lineRule="auto"/>
      </w:pPr>
      <w:r w:rsidRPr="000063FC">
        <w:t>Od svih elaboriranih mjera ova bi mjera imala dugoročno najsnažniji utjecaj glede energetske učinkovitosti i smanjenja emisije CO</w:t>
      </w:r>
      <w:r w:rsidRPr="000063FC">
        <w:rPr>
          <w:vertAlign w:val="subscript"/>
        </w:rPr>
        <w:t>2</w:t>
      </w:r>
      <w:r w:rsidRPr="000063FC">
        <w:t xml:space="preserve"> budući se radi o sustavu potpuno neovisnom o ostalom prometu s visokom razinom, pouzdanosti i točnosti, koja nedostaje konvencionalnim oblicima javnog gradskog prijevoza tipa tramvaj i autobus. </w:t>
      </w:r>
    </w:p>
    <w:p w:rsidR="005171B2" w:rsidRPr="000063FC" w:rsidRDefault="005171B2" w:rsidP="00C20113">
      <w:pPr>
        <w:numPr>
          <w:ilvl w:val="0"/>
          <w:numId w:val="32"/>
        </w:numPr>
        <w:tabs>
          <w:tab w:val="clear" w:pos="720"/>
          <w:tab w:val="clear" w:pos="6912"/>
        </w:tabs>
        <w:spacing w:line="276" w:lineRule="auto"/>
        <w:rPr>
          <w:i/>
        </w:rPr>
      </w:pPr>
      <w:r w:rsidRPr="000063FC">
        <w:rPr>
          <w:i/>
        </w:rPr>
        <w:t>Razvoj i unaprjeđenje gradsko-prigradske željeznice.</w:t>
      </w:r>
    </w:p>
    <w:p w:rsidR="005171B2" w:rsidRPr="000063FC" w:rsidRDefault="005171B2" w:rsidP="005171B2">
      <w:pPr>
        <w:spacing w:line="276" w:lineRule="auto"/>
      </w:pPr>
      <w:r w:rsidRPr="000063FC">
        <w:t>Ova mjera predviđa unapređenje odnosno zamjenu signalne tehnike na Glavnom željezničkom kolodvoru, obnovu voznog parka gradsko prigradskih vlakova, izgradnju ili rekonstrukciju većeg broja željezničkih postaja i kolodvora na gradsko prigradskim relacijama, informatizaciju sustava, primjenu taktnog voznog reda i drugo. Trenutno je učešće željeznice u prijevoznom učinku u gradsko prigradskom putničkom prijevozu oko 10 %. Uvođenjem Tarifno prijevozničke unije i integracijom prijevozničkih sustava na području regije još bi se više povećao utjecaj željeznice u preraspodjeli putnika na javni prijevoz. Ključni čimbenik te pozitivne preraspodjele je znatno veća putna brzina od tramvaja i autobusa.</w:t>
      </w:r>
    </w:p>
    <w:p w:rsidR="005171B2" w:rsidRPr="000063FC" w:rsidRDefault="005171B2" w:rsidP="00C20113">
      <w:pPr>
        <w:numPr>
          <w:ilvl w:val="0"/>
          <w:numId w:val="32"/>
        </w:numPr>
        <w:tabs>
          <w:tab w:val="clear" w:pos="720"/>
          <w:tab w:val="clear" w:pos="6912"/>
        </w:tabs>
        <w:spacing w:line="276" w:lineRule="auto"/>
        <w:rPr>
          <w:i/>
        </w:rPr>
      </w:pPr>
      <w:r w:rsidRPr="000063FC">
        <w:rPr>
          <w:i/>
        </w:rPr>
        <w:t>Razvoj i unapređenje mreže javnog prijevoza.</w:t>
      </w:r>
    </w:p>
    <w:p w:rsidR="005171B2" w:rsidRPr="000063FC" w:rsidRDefault="005171B2" w:rsidP="005171B2">
      <w:pPr>
        <w:spacing w:line="276" w:lineRule="auto"/>
      </w:pPr>
      <w:r w:rsidRPr="000063FC">
        <w:t xml:space="preserve">Razvojem i unaprjeđenjem mreže javnog prijevoza on postaje dostupniji korisnicima i može direktno utjecati na promjenu načina ostvarivanja putovanja, odnosno na izbor javnog prijevoza. </w:t>
      </w:r>
    </w:p>
    <w:p w:rsidR="005171B2" w:rsidRPr="000063FC" w:rsidRDefault="005171B2" w:rsidP="00C20113">
      <w:pPr>
        <w:numPr>
          <w:ilvl w:val="0"/>
          <w:numId w:val="32"/>
        </w:numPr>
        <w:tabs>
          <w:tab w:val="clear" w:pos="720"/>
          <w:tab w:val="clear" w:pos="6912"/>
        </w:tabs>
        <w:spacing w:line="276" w:lineRule="auto"/>
        <w:rPr>
          <w:i/>
        </w:rPr>
      </w:pPr>
      <w:r w:rsidRPr="000063FC">
        <w:rPr>
          <w:i/>
        </w:rPr>
        <w:t>Osiguranje prioriteta javnog gradskog prometa na koridorima kojima prometuje zajedno s ostalim vozilima.</w:t>
      </w:r>
    </w:p>
    <w:p w:rsidR="005171B2" w:rsidRPr="000063FC" w:rsidRDefault="005171B2" w:rsidP="005171B2">
      <w:pPr>
        <w:spacing w:line="276" w:lineRule="auto"/>
      </w:pPr>
      <w:r w:rsidRPr="000063FC">
        <w:t xml:space="preserve">Mjera predviđa ostvarenje prioriteta javnoga gradskog prijevoza putem posebnih traka namijenjenih javnom gradskom prijevozu, a perspektivno je to moguće postizati ugradnjom suvremene signalne opreme i uređaja koji se planiraju u okviru realizacije projekta uspostavljanja i opremanja sustava automatskog upravljanja prometom. </w:t>
      </w:r>
    </w:p>
    <w:p w:rsidR="005171B2" w:rsidRPr="000063FC" w:rsidRDefault="005171B2" w:rsidP="00C20113">
      <w:pPr>
        <w:numPr>
          <w:ilvl w:val="0"/>
          <w:numId w:val="32"/>
        </w:numPr>
        <w:tabs>
          <w:tab w:val="clear" w:pos="720"/>
          <w:tab w:val="clear" w:pos="6912"/>
        </w:tabs>
        <w:spacing w:line="276" w:lineRule="auto"/>
        <w:rPr>
          <w:i/>
        </w:rPr>
      </w:pPr>
      <w:r w:rsidRPr="000063FC">
        <w:rPr>
          <w:i/>
        </w:rPr>
        <w:t>Uvođenje Zelene javne nabave za sva vozila javnog prijevoza u Gradu Zagrebu.</w:t>
      </w:r>
    </w:p>
    <w:p w:rsidR="005171B2" w:rsidRPr="000063FC" w:rsidRDefault="005171B2" w:rsidP="005171B2">
      <w:pPr>
        <w:spacing w:line="276" w:lineRule="auto"/>
      </w:pPr>
      <w:r w:rsidRPr="000063FC">
        <w:t xml:space="preserve">Zelenom javnom nabavom za sva vozila javnog prijevoza u vlasništvu grada Zagreba propisala bi se nabavka isključivo ili barem najvećim dijelom vozila s malom emisijom CO2. Izradom studije utvrdilo bi se trenutno stanje voznog parka u vlasništvu grada Zagreba, napravio pregled postojećih vozila, ruta na kojima se ta vozila koriste i planovi za nabavku novih vozila. Studijom o zelenoj javnoj nabavi vozila definirali bi se kriteriji koje nova vozila moraju zadovoljiti, a temeljem toga bi se izradio pravilnik o Zelenoj javnoj nabavi vozila. Zelena javna nabava trebala bi poticati nabavku vozila prilagođenih pojedinim namjenama, kao što su autobusi određene veličine za pojedinu rutu, posebna vozila (minibus) za noćne ili vožnje sa smanjenim intenzitetom putnika. </w:t>
      </w:r>
    </w:p>
    <w:p w:rsidR="005171B2" w:rsidRPr="000063FC" w:rsidRDefault="005171B2" w:rsidP="00C20113">
      <w:pPr>
        <w:numPr>
          <w:ilvl w:val="0"/>
          <w:numId w:val="32"/>
        </w:numPr>
        <w:tabs>
          <w:tab w:val="clear" w:pos="720"/>
          <w:tab w:val="clear" w:pos="6912"/>
        </w:tabs>
        <w:spacing w:line="276" w:lineRule="auto"/>
        <w:rPr>
          <w:i/>
        </w:rPr>
      </w:pPr>
      <w:r w:rsidRPr="000063FC">
        <w:rPr>
          <w:i/>
        </w:rPr>
        <w:t>Zamjena postojećih dotrajalih autobusa ZET-a autobusima s hibridnim i pogonom na alternativna goriva.</w:t>
      </w:r>
    </w:p>
    <w:p w:rsidR="005171B2" w:rsidRPr="000063FC" w:rsidRDefault="005171B2" w:rsidP="005171B2">
      <w:pPr>
        <w:spacing w:line="276" w:lineRule="auto"/>
      </w:pPr>
      <w:r w:rsidRPr="000063FC">
        <w:lastRenderedPageBreak/>
        <w:t>Mjera predviđa utvrđivanje potrošnje fosilnih goriva trenutne flote gradskih autobusa u gradu Zagrebu, kupovinu nekoliko testnih autobusa pogonjenih alternativnim gorivom i hibridnim pogonom te izradu studije u kojoj bi se usporedilo smanjenje emisije stakleničkih plinova pojedinih testnih autobusa i njihove operativne učinkovitosti (troškovi održavanja) u usporedbi s konvencionalnim autobusima iz flote gradskih autobusa Grada Zagreba. Na temelju studije treba donijeti odluku o nabavki adekvatnog autobusa.</w:t>
      </w:r>
    </w:p>
    <w:p w:rsidR="005171B2" w:rsidRPr="000063FC" w:rsidRDefault="005171B2" w:rsidP="00C20113">
      <w:pPr>
        <w:numPr>
          <w:ilvl w:val="0"/>
          <w:numId w:val="32"/>
        </w:numPr>
        <w:tabs>
          <w:tab w:val="clear" w:pos="720"/>
          <w:tab w:val="clear" w:pos="6912"/>
        </w:tabs>
        <w:spacing w:line="276" w:lineRule="auto"/>
        <w:rPr>
          <w:i/>
        </w:rPr>
      </w:pPr>
      <w:r w:rsidRPr="000063FC">
        <w:rPr>
          <w:i/>
        </w:rPr>
        <w:t>Proizvodnja biodizela iz otpadnog jestivog ulja za potrebe javnog prijevoza.</w:t>
      </w:r>
    </w:p>
    <w:p w:rsidR="005171B2" w:rsidRPr="000063FC" w:rsidRDefault="005171B2" w:rsidP="005171B2">
      <w:pPr>
        <w:spacing w:line="276" w:lineRule="auto"/>
      </w:pPr>
      <w:r w:rsidRPr="000063FC">
        <w:t>Mjera predviđa proizvodnju biodizela iz otpadnog jestivog ulja. Do sada su izrađene studije s ciljem određivanja potencijala za prikupljanje otpadnog jestivog ulja na području Zagreba. Iako procijenjene količine nisu znatne, treba imati na umu da su koristi od provedbe ovakvog projekta višestruke, jer proizvodnja goriva nije jedini cilj, nego i sprječavanje izlijevanja otpadnog jestivog ulja u kanalizacijski sustav koji ga na taj način lako može začepiti. Osnovna uloga Grada Zagreba u ovoj mjeri sastoji se u pružanju potpore poduzetničkih inicijativama, u dijelu prikupljanja otpadnog jestivog ulja i eventualno u izboru i osiguranju lokacije pogona za proizvodnju biodizela.</w:t>
      </w:r>
    </w:p>
    <w:p w:rsidR="005171B2" w:rsidRPr="000063FC" w:rsidRDefault="005171B2" w:rsidP="00C20113">
      <w:pPr>
        <w:numPr>
          <w:ilvl w:val="0"/>
          <w:numId w:val="32"/>
        </w:numPr>
        <w:tabs>
          <w:tab w:val="clear" w:pos="720"/>
          <w:tab w:val="clear" w:pos="6912"/>
        </w:tabs>
        <w:spacing w:line="276" w:lineRule="auto"/>
        <w:rPr>
          <w:i/>
        </w:rPr>
      </w:pPr>
      <w:r w:rsidRPr="000063FC">
        <w:rPr>
          <w:i/>
        </w:rPr>
        <w:t>Uspostava mreže bicikala za iznajmljivanje opremljenih IT zaštitom od krađe.</w:t>
      </w:r>
    </w:p>
    <w:p w:rsidR="005171B2" w:rsidRPr="000063FC" w:rsidRDefault="005171B2" w:rsidP="005171B2">
      <w:pPr>
        <w:spacing w:line="276" w:lineRule="auto"/>
      </w:pPr>
      <w:r w:rsidRPr="000063FC">
        <w:t xml:space="preserve">Mjera predviđa provođenje slijedećih aktivnosti: </w:t>
      </w:r>
    </w:p>
    <w:p w:rsidR="005171B2" w:rsidRPr="000063FC" w:rsidRDefault="005171B2" w:rsidP="00C20113">
      <w:pPr>
        <w:numPr>
          <w:ilvl w:val="0"/>
          <w:numId w:val="33"/>
        </w:numPr>
        <w:tabs>
          <w:tab w:val="clear" w:pos="720"/>
          <w:tab w:val="clear" w:pos="6912"/>
        </w:tabs>
        <w:spacing w:line="276" w:lineRule="auto"/>
      </w:pPr>
      <w:r w:rsidRPr="000063FC">
        <w:t>uređenje i označavanje nove biciklističke staze u gradu,</w:t>
      </w:r>
    </w:p>
    <w:p w:rsidR="005171B2" w:rsidRPr="000063FC" w:rsidRDefault="005171B2" w:rsidP="00C20113">
      <w:pPr>
        <w:numPr>
          <w:ilvl w:val="0"/>
          <w:numId w:val="33"/>
        </w:numPr>
        <w:tabs>
          <w:tab w:val="clear" w:pos="720"/>
          <w:tab w:val="clear" w:pos="6912"/>
        </w:tabs>
        <w:spacing w:line="276" w:lineRule="auto"/>
      </w:pPr>
      <w:r w:rsidRPr="000063FC">
        <w:t>izrada panoa s kartama označenih biciklističkih staza,</w:t>
      </w:r>
    </w:p>
    <w:p w:rsidR="005171B2" w:rsidRPr="000063FC" w:rsidRDefault="005171B2" w:rsidP="00C20113">
      <w:pPr>
        <w:numPr>
          <w:ilvl w:val="0"/>
          <w:numId w:val="33"/>
        </w:numPr>
        <w:tabs>
          <w:tab w:val="clear" w:pos="720"/>
          <w:tab w:val="clear" w:pos="6912"/>
        </w:tabs>
        <w:spacing w:line="276" w:lineRule="auto"/>
      </w:pPr>
      <w:r w:rsidRPr="000063FC">
        <w:t>smanjenje mogućnosti broja mogućih nesreća biciklista odvajanjem biciklističkih staza od prometnica namijenih motornim vozilima,</w:t>
      </w:r>
    </w:p>
    <w:p w:rsidR="005171B2" w:rsidRPr="000063FC" w:rsidRDefault="005171B2" w:rsidP="00C20113">
      <w:pPr>
        <w:numPr>
          <w:ilvl w:val="0"/>
          <w:numId w:val="33"/>
        </w:numPr>
        <w:tabs>
          <w:tab w:val="clear" w:pos="720"/>
          <w:tab w:val="clear" w:pos="6912"/>
        </w:tabs>
        <w:spacing w:line="276" w:lineRule="auto"/>
      </w:pPr>
      <w:r w:rsidRPr="000063FC">
        <w:t>uspostavljanje mreže garaža za bicikle (garaže treba smjestiti u blizini autobusnih i željezničkih kolodvora, škola, ureda i tvornica te ih je potrebno opremiti video nadzorom i omogućiti ostavljanje i privatnih bicikala),</w:t>
      </w:r>
    </w:p>
    <w:p w:rsidR="005171B2" w:rsidRPr="000063FC" w:rsidRDefault="005171B2" w:rsidP="00C20113">
      <w:pPr>
        <w:numPr>
          <w:ilvl w:val="0"/>
          <w:numId w:val="33"/>
        </w:numPr>
        <w:tabs>
          <w:tab w:val="clear" w:pos="720"/>
          <w:tab w:val="clear" w:pos="6912"/>
        </w:tabs>
        <w:spacing w:line="276" w:lineRule="auto"/>
      </w:pPr>
      <w:r w:rsidRPr="000063FC">
        <w:t>nabava bicikla koji će se iznajmljivati pri čemu već pri nabavci treba voditi računa da bicikli trebaju biti opremljene zaštitom od krađe,</w:t>
      </w:r>
    </w:p>
    <w:p w:rsidR="005171B2" w:rsidRPr="000063FC" w:rsidRDefault="005171B2" w:rsidP="00C20113">
      <w:pPr>
        <w:numPr>
          <w:ilvl w:val="0"/>
          <w:numId w:val="33"/>
        </w:numPr>
        <w:tabs>
          <w:tab w:val="clear" w:pos="720"/>
          <w:tab w:val="clear" w:pos="6912"/>
        </w:tabs>
        <w:spacing w:line="276" w:lineRule="auto"/>
      </w:pPr>
      <w:r w:rsidRPr="000063FC">
        <w:t>promoviranje i poticanje korištenja bicikla kao prijevoznog sredstva posebno na kratkim udaljenosti do 5 (10) km,</w:t>
      </w:r>
    </w:p>
    <w:p w:rsidR="005171B2" w:rsidRPr="000063FC" w:rsidRDefault="005171B2" w:rsidP="00C20113">
      <w:pPr>
        <w:numPr>
          <w:ilvl w:val="0"/>
          <w:numId w:val="33"/>
        </w:numPr>
        <w:tabs>
          <w:tab w:val="clear" w:pos="720"/>
          <w:tab w:val="clear" w:pos="6912"/>
        </w:tabs>
        <w:spacing w:line="276" w:lineRule="auto"/>
      </w:pPr>
      <w:r w:rsidRPr="000063FC">
        <w:t>započinjanje edukacije programima ponašanja u prometu i školama vožnje već u osnovnim školama.</w:t>
      </w:r>
    </w:p>
    <w:p w:rsidR="005171B2" w:rsidRPr="000063FC" w:rsidRDefault="005171B2" w:rsidP="005171B2">
      <w:pPr>
        <w:spacing w:line="276" w:lineRule="auto"/>
        <w:rPr>
          <w:i/>
        </w:rPr>
      </w:pPr>
    </w:p>
    <w:p w:rsidR="005171B2" w:rsidRPr="000063FC" w:rsidRDefault="005171B2" w:rsidP="00EC7AC6">
      <w:pPr>
        <w:pStyle w:val="Heading3"/>
      </w:pPr>
      <w:bookmarkStart w:id="269" w:name="_Toc254010211"/>
      <w:r w:rsidRPr="000063FC">
        <w:t>Osobna i komercijalna vozila</w:t>
      </w:r>
      <w:bookmarkEnd w:id="269"/>
    </w:p>
    <w:p w:rsidR="005171B2" w:rsidRPr="000063FC" w:rsidRDefault="005171B2" w:rsidP="005171B2">
      <w:pPr>
        <w:spacing w:line="276" w:lineRule="auto"/>
      </w:pPr>
      <w:r w:rsidRPr="000063FC">
        <w:t xml:space="preserve">Identificirane mjere za smanjenje emisija </w:t>
      </w:r>
      <w:r w:rsidR="00F2761D" w:rsidRPr="000063FC">
        <w:t>CO</w:t>
      </w:r>
      <w:r w:rsidR="00F2761D" w:rsidRPr="000063FC">
        <w:rPr>
          <w:vertAlign w:val="subscript"/>
        </w:rPr>
        <w:t>2</w:t>
      </w:r>
      <w:r w:rsidRPr="000063FC">
        <w:t xml:space="preserve"> u podsektoru</w:t>
      </w:r>
      <w:r w:rsidR="00276C96">
        <w:t xml:space="preserve"> osobna i komercijalna vozila</w:t>
      </w:r>
      <w:r w:rsidRPr="000063FC">
        <w:t xml:space="preserve"> su slijedeće:</w:t>
      </w:r>
    </w:p>
    <w:p w:rsidR="005171B2" w:rsidRPr="000063FC" w:rsidRDefault="005171B2" w:rsidP="00C20113">
      <w:pPr>
        <w:numPr>
          <w:ilvl w:val="0"/>
          <w:numId w:val="34"/>
        </w:numPr>
        <w:tabs>
          <w:tab w:val="clear" w:pos="720"/>
          <w:tab w:val="clear" w:pos="6912"/>
        </w:tabs>
        <w:spacing w:line="276" w:lineRule="auto"/>
        <w:rPr>
          <w:i/>
        </w:rPr>
      </w:pPr>
      <w:r w:rsidRPr="000063FC">
        <w:rPr>
          <w:i/>
        </w:rPr>
        <w:t>Uvođenje car-sharing modela za povećanje okupiranosti vozila.</w:t>
      </w:r>
    </w:p>
    <w:p w:rsidR="005171B2" w:rsidRPr="000063FC" w:rsidRDefault="005171B2" w:rsidP="005171B2">
      <w:pPr>
        <w:spacing w:line="276" w:lineRule="auto"/>
      </w:pPr>
      <w:r w:rsidRPr="000063FC">
        <w:t>U svijetu je u upotrebi više od 333.000 car-sharing vozila u više od 800 gradova. Na temelju tih iskustava proizlazi da jedno car-sharing vozilo zamjenjuje 5 do 8 privatnih osobnih vozila. Car-sharing je racionalnija upotreba osobnog vozila i ušteda je novaca za nekoga tko nema stvarne potrebe za vlastitim vozilom (ne treba kupiti vozilo, platiti sva d</w:t>
      </w:r>
      <w:r w:rsidR="00276C96">
        <w:t>avanja i osiguranje, održavanje i dr.</w:t>
      </w:r>
      <w:r w:rsidRPr="000063FC">
        <w:t>)</w:t>
      </w:r>
    </w:p>
    <w:p w:rsidR="005171B2" w:rsidRPr="000063FC" w:rsidRDefault="005171B2" w:rsidP="005171B2">
      <w:pPr>
        <w:spacing w:line="276" w:lineRule="auto"/>
      </w:pPr>
      <w:r w:rsidRPr="000063FC">
        <w:t>Mjera predviđa provođenje slijedećih aktivnosti:</w:t>
      </w:r>
    </w:p>
    <w:p w:rsidR="005171B2" w:rsidRPr="000063FC" w:rsidRDefault="005171B2" w:rsidP="00C20113">
      <w:pPr>
        <w:numPr>
          <w:ilvl w:val="0"/>
          <w:numId w:val="33"/>
        </w:numPr>
        <w:tabs>
          <w:tab w:val="clear" w:pos="720"/>
          <w:tab w:val="clear" w:pos="6912"/>
        </w:tabs>
        <w:spacing w:line="276" w:lineRule="auto"/>
      </w:pPr>
      <w:r w:rsidRPr="000063FC">
        <w:t>uvođenje car sharing sustava, čime se omogućuje stvaranje dodatnog prihoda gradu, bilo kroz organizaciju i vlastitu ponudu vozila u car sharing sustavu bilo kroz prodaju koncesije nekom od zainteresiranih poduzetnika,</w:t>
      </w:r>
    </w:p>
    <w:p w:rsidR="005171B2" w:rsidRPr="000063FC" w:rsidRDefault="005171B2" w:rsidP="00C20113">
      <w:pPr>
        <w:numPr>
          <w:ilvl w:val="0"/>
          <w:numId w:val="33"/>
        </w:numPr>
        <w:tabs>
          <w:tab w:val="clear" w:pos="720"/>
          <w:tab w:val="clear" w:pos="6912"/>
        </w:tabs>
        <w:spacing w:line="276" w:lineRule="auto"/>
      </w:pPr>
      <w:r w:rsidRPr="000063FC">
        <w:lastRenderedPageBreak/>
        <w:t>promociju car-sharinga kao jednostavne, dostupne usluge s minimalnim brojem formulara za koju se plaća samo vrijeme i broj prijeđenih kilometar</w:t>
      </w:r>
      <w:r w:rsidR="00276C96">
        <w:t>a</w:t>
      </w:r>
      <w:r w:rsidRPr="000063FC">
        <w:t xml:space="preserve"> (stvarna upotreba vozila), u kojoj registrirani korisnici mogu koristiti vozilo koje žele s lokacije koja im je najbliža 24 sata dnevno samo uz prethodnu prijavu putem interneta, telefona ili na samoj lokaciji.</w:t>
      </w:r>
    </w:p>
    <w:p w:rsidR="005171B2" w:rsidRPr="000063FC" w:rsidRDefault="005171B2" w:rsidP="00C20113">
      <w:pPr>
        <w:numPr>
          <w:ilvl w:val="0"/>
          <w:numId w:val="34"/>
        </w:numPr>
        <w:tabs>
          <w:tab w:val="clear" w:pos="720"/>
          <w:tab w:val="clear" w:pos="6912"/>
        </w:tabs>
        <w:spacing w:line="276" w:lineRule="auto"/>
        <w:rPr>
          <w:i/>
        </w:rPr>
      </w:pPr>
      <w:r w:rsidRPr="000063FC">
        <w:rPr>
          <w:i/>
        </w:rPr>
        <w:t>Subvencije za nabavu vozila na alternativna goriva.</w:t>
      </w:r>
    </w:p>
    <w:p w:rsidR="005171B2" w:rsidRPr="000063FC" w:rsidRDefault="005171B2" w:rsidP="005171B2">
      <w:pPr>
        <w:spacing w:line="276" w:lineRule="auto"/>
      </w:pPr>
      <w:r w:rsidRPr="000063FC">
        <w:t xml:space="preserve">Mjera </w:t>
      </w:r>
      <w:r w:rsidR="000063FC" w:rsidRPr="000063FC">
        <w:t>predviđa</w:t>
      </w:r>
      <w:r w:rsidRPr="000063FC">
        <w:t xml:space="preserve"> subvencije za nabavku određenih vrsta vozila, tj. djelomično  financiranje iz novouvedenih naknada za ulazak u gradsko središte, a djelomično iz sredstava grada. Iznos subvencije bio bi u iznosu od približno 10 % od cijene vozila u vidu jednokratnog poticaja kupcu takvog vozila.</w:t>
      </w:r>
    </w:p>
    <w:p w:rsidR="00EC7AC6" w:rsidRPr="000063FC" w:rsidRDefault="00EC7AC6" w:rsidP="005171B2">
      <w:pPr>
        <w:spacing w:line="276" w:lineRule="auto"/>
      </w:pPr>
    </w:p>
    <w:p w:rsidR="005171B2" w:rsidRPr="000063FC" w:rsidRDefault="00F56931" w:rsidP="007200C3">
      <w:pPr>
        <w:pStyle w:val="Heading2"/>
      </w:pPr>
      <w:bookmarkStart w:id="270" w:name="_Toc254010212"/>
      <w:r w:rsidRPr="000063FC">
        <w:rPr>
          <w:caps w:val="0"/>
        </w:rPr>
        <w:t>MJERE ZA SMANJENJE EMISIJA CO</w:t>
      </w:r>
      <w:r w:rsidRPr="000063FC">
        <w:rPr>
          <w:caps w:val="0"/>
          <w:vertAlign w:val="subscript"/>
        </w:rPr>
        <w:t>2</w:t>
      </w:r>
      <w:r w:rsidRPr="000063FC">
        <w:rPr>
          <w:caps w:val="0"/>
        </w:rPr>
        <w:t xml:space="preserve"> U SEKTORU JAVNE RASVJETE</w:t>
      </w:r>
      <w:bookmarkEnd w:id="270"/>
    </w:p>
    <w:p w:rsidR="005171B2" w:rsidRPr="000063FC" w:rsidRDefault="005171B2" w:rsidP="005171B2">
      <w:pPr>
        <w:pStyle w:val="NoSpacing"/>
        <w:spacing w:line="276" w:lineRule="auto"/>
      </w:pPr>
      <w:r w:rsidRPr="000063FC">
        <w:t>U nastavku je dan prikaz mjera za smanjenje emisije stakleničkih plinova iz sektora javne rasvjete Grada Zagreba.</w:t>
      </w:r>
    </w:p>
    <w:p w:rsidR="005171B2" w:rsidRPr="000063FC" w:rsidRDefault="005171B2" w:rsidP="005171B2">
      <w:pPr>
        <w:spacing w:line="276" w:lineRule="auto"/>
      </w:pPr>
      <w:r w:rsidRPr="000063FC">
        <w:t xml:space="preserve">Identificirane mjere za smanjenje emisija </w:t>
      </w:r>
      <w:r w:rsidR="00F2761D" w:rsidRPr="000063FC">
        <w:t>CO</w:t>
      </w:r>
      <w:r w:rsidR="00F2761D" w:rsidRPr="000063FC">
        <w:rPr>
          <w:vertAlign w:val="subscript"/>
        </w:rPr>
        <w:t>2</w:t>
      </w:r>
      <w:r w:rsidRPr="000063FC">
        <w:t xml:space="preserve"> u sektoru </w:t>
      </w:r>
      <w:r w:rsidR="00276C96">
        <w:t>javne ra</w:t>
      </w:r>
      <w:r w:rsidRPr="000063FC">
        <w:t>s</w:t>
      </w:r>
      <w:r w:rsidR="00276C96">
        <w:t>vjete s</w:t>
      </w:r>
      <w:r w:rsidRPr="000063FC">
        <w:t>u slijedeće:</w:t>
      </w:r>
    </w:p>
    <w:p w:rsidR="005171B2" w:rsidRPr="000063FC" w:rsidRDefault="005171B2" w:rsidP="00C20113">
      <w:pPr>
        <w:numPr>
          <w:ilvl w:val="0"/>
          <w:numId w:val="35"/>
        </w:numPr>
        <w:tabs>
          <w:tab w:val="clear" w:pos="720"/>
          <w:tab w:val="clear" w:pos="6912"/>
        </w:tabs>
        <w:spacing w:line="276" w:lineRule="auto"/>
        <w:rPr>
          <w:i/>
        </w:rPr>
      </w:pPr>
      <w:r w:rsidRPr="000063FC">
        <w:rPr>
          <w:i/>
        </w:rPr>
        <w:t>Zamjena zastarjelih rasvjetnih tijela s energetski učinkovitijima i ekološki prihvatljivijima rasvjetnim tijelima.</w:t>
      </w:r>
    </w:p>
    <w:p w:rsidR="005171B2" w:rsidRPr="000063FC" w:rsidRDefault="005171B2" w:rsidP="005171B2">
      <w:pPr>
        <w:spacing w:line="276" w:lineRule="auto"/>
      </w:pPr>
      <w:r w:rsidRPr="000063FC">
        <w:t>Mjera predviđa postepenu zamjenu s modernim rasvjetnim tijelima uz sljedeće uvjete:</w:t>
      </w:r>
    </w:p>
    <w:p w:rsidR="005171B2" w:rsidRPr="000063FC" w:rsidRDefault="005171B2" w:rsidP="00C20113">
      <w:pPr>
        <w:numPr>
          <w:ilvl w:val="0"/>
          <w:numId w:val="36"/>
        </w:numPr>
        <w:tabs>
          <w:tab w:val="clear" w:pos="720"/>
          <w:tab w:val="clear" w:pos="6912"/>
        </w:tabs>
        <w:spacing w:line="276" w:lineRule="auto"/>
      </w:pPr>
      <w:r w:rsidRPr="000063FC">
        <w:t xml:space="preserve">energetski učinkovitija, </w:t>
      </w:r>
    </w:p>
    <w:p w:rsidR="005171B2" w:rsidRPr="000063FC" w:rsidRDefault="005171B2" w:rsidP="00C20113">
      <w:pPr>
        <w:numPr>
          <w:ilvl w:val="0"/>
          <w:numId w:val="36"/>
        </w:numPr>
        <w:tabs>
          <w:tab w:val="clear" w:pos="720"/>
          <w:tab w:val="clear" w:pos="6912"/>
        </w:tabs>
        <w:spacing w:line="276" w:lineRule="auto"/>
      </w:pPr>
      <w:r w:rsidRPr="000063FC">
        <w:t xml:space="preserve">tehnologija izrade optike omogućuje ugradnju sijalica manje snage uz zadržavanje postojećeg nivoa osvijetljenosti, </w:t>
      </w:r>
    </w:p>
    <w:p w:rsidR="005171B2" w:rsidRPr="000063FC" w:rsidRDefault="005171B2" w:rsidP="00C20113">
      <w:pPr>
        <w:numPr>
          <w:ilvl w:val="0"/>
          <w:numId w:val="36"/>
        </w:numPr>
        <w:tabs>
          <w:tab w:val="clear" w:pos="720"/>
          <w:tab w:val="clear" w:pos="6912"/>
        </w:tabs>
        <w:spacing w:line="276" w:lineRule="auto"/>
      </w:pPr>
      <w:r w:rsidRPr="000063FC">
        <w:t>sadrži elektronske prigušnice – moguća regulacija na svakom rasvjetnom tijelu.</w:t>
      </w:r>
    </w:p>
    <w:p w:rsidR="005171B2" w:rsidRPr="000063FC" w:rsidRDefault="005171B2" w:rsidP="00C20113">
      <w:pPr>
        <w:numPr>
          <w:ilvl w:val="0"/>
          <w:numId w:val="35"/>
        </w:numPr>
        <w:tabs>
          <w:tab w:val="clear" w:pos="720"/>
          <w:tab w:val="clear" w:pos="6912"/>
        </w:tabs>
        <w:spacing w:line="276" w:lineRule="auto"/>
        <w:rPr>
          <w:i/>
        </w:rPr>
      </w:pPr>
      <w:r w:rsidRPr="000063FC">
        <w:rPr>
          <w:i/>
        </w:rPr>
        <w:t>Upravljanje intenzitetom javne rasvjete.</w:t>
      </w:r>
    </w:p>
    <w:p w:rsidR="005171B2" w:rsidRPr="000063FC" w:rsidRDefault="005171B2" w:rsidP="005171B2">
      <w:pPr>
        <w:spacing w:line="276" w:lineRule="auto"/>
      </w:pPr>
      <w:r w:rsidRPr="000063FC">
        <w:t>Mjera predviđa smanjenje intenziteta osvjetljenja u noćnim satima na rasvijetljenim površinama nižeg prioriteta.  Mjera ne zahtjeva dodatna financijska sredstva iz sljedećih razloga:</w:t>
      </w:r>
    </w:p>
    <w:p w:rsidR="005171B2" w:rsidRPr="000063FC" w:rsidRDefault="005171B2" w:rsidP="00C20113">
      <w:pPr>
        <w:numPr>
          <w:ilvl w:val="0"/>
          <w:numId w:val="37"/>
        </w:numPr>
        <w:tabs>
          <w:tab w:val="clear" w:pos="720"/>
          <w:tab w:val="clear" w:pos="6912"/>
        </w:tabs>
        <w:spacing w:line="276" w:lineRule="auto"/>
      </w:pPr>
      <w:r w:rsidRPr="000063FC">
        <w:t xml:space="preserve">investicija je sadržana unutar mjere zamjene zastarjelih rasvjetnih tijela, </w:t>
      </w:r>
    </w:p>
    <w:p w:rsidR="005171B2" w:rsidRPr="000063FC" w:rsidRDefault="005171B2" w:rsidP="00C20113">
      <w:pPr>
        <w:numPr>
          <w:ilvl w:val="0"/>
          <w:numId w:val="37"/>
        </w:numPr>
        <w:tabs>
          <w:tab w:val="clear" w:pos="720"/>
          <w:tab w:val="clear" w:pos="6912"/>
        </w:tabs>
        <w:spacing w:line="276" w:lineRule="auto"/>
      </w:pPr>
      <w:r w:rsidRPr="000063FC">
        <w:t>moderna rasvjetna tijela sadrže propaljivače i elektronske prigušnice pri čemu se na svakoj pojedinačnoj svjetiljci prilikom montaže podešavaju režima rada u skladu sa zahtjevima na intenzitet osvijetljenosti pojedine javne površine.</w:t>
      </w:r>
    </w:p>
    <w:p w:rsidR="007200C3" w:rsidRPr="000063FC" w:rsidRDefault="007200C3">
      <w:pPr>
        <w:tabs>
          <w:tab w:val="clear" w:pos="720"/>
          <w:tab w:val="clear" w:pos="6912"/>
        </w:tabs>
        <w:spacing w:line="240" w:lineRule="auto"/>
        <w:jc w:val="left"/>
      </w:pPr>
      <w:r w:rsidRPr="000063FC">
        <w:br w:type="page"/>
      </w:r>
    </w:p>
    <w:p w:rsidR="005171B2" w:rsidRPr="000063FC" w:rsidRDefault="005171B2" w:rsidP="007200C3">
      <w:pPr>
        <w:pStyle w:val="Heading1"/>
      </w:pPr>
      <w:bookmarkStart w:id="271" w:name="_Toc254010213"/>
      <w:r w:rsidRPr="000063FC">
        <w:lastRenderedPageBreak/>
        <w:t>Određivanje vremenskog okvira za provedbu identificiranih prioritetnih aktivnosti i mjera do 2020. godine</w:t>
      </w:r>
      <w:bookmarkEnd w:id="271"/>
    </w:p>
    <w:p w:rsidR="005171B2" w:rsidRPr="000063FC" w:rsidRDefault="005171B2" w:rsidP="005171B2">
      <w:pPr>
        <w:spacing w:line="276" w:lineRule="auto"/>
      </w:pPr>
      <w:r w:rsidRPr="000063FC">
        <w:t>U prethodnom su poglavlju identificirane prioritetne mjere i aktivnosti u razdoblju od 2010. do 2020. godine za sektore zgradarstva, prometa i javne rasvjete Grada Zagreba.</w:t>
      </w:r>
    </w:p>
    <w:p w:rsidR="005171B2" w:rsidRPr="000063FC" w:rsidRDefault="005171B2" w:rsidP="005171B2">
      <w:pPr>
        <w:spacing w:line="276" w:lineRule="auto"/>
      </w:pPr>
      <w:r w:rsidRPr="000063FC">
        <w:t xml:space="preserve">Prioritetne mjere prikazane su u nastavku ovog poglavlja u tabličnom prikazu, pri čemu je svakoj mjeri pridružen vremenski okvir provedbe. Identificirane mjere i aktivnosti podijeljene su prema slijedećim kriterijima: </w:t>
      </w:r>
    </w:p>
    <w:p w:rsidR="005171B2" w:rsidRPr="000063FC" w:rsidRDefault="005171B2" w:rsidP="00C20113">
      <w:pPr>
        <w:numPr>
          <w:ilvl w:val="0"/>
          <w:numId w:val="41"/>
        </w:numPr>
        <w:tabs>
          <w:tab w:val="clear" w:pos="720"/>
          <w:tab w:val="clear" w:pos="6912"/>
        </w:tabs>
        <w:spacing w:line="276" w:lineRule="auto"/>
      </w:pPr>
      <w:r w:rsidRPr="000063FC">
        <w:t>pojedinim podsektorima,</w:t>
      </w:r>
    </w:p>
    <w:p w:rsidR="005171B2" w:rsidRPr="000063FC" w:rsidRDefault="005171B2" w:rsidP="00C20113">
      <w:pPr>
        <w:numPr>
          <w:ilvl w:val="0"/>
          <w:numId w:val="41"/>
        </w:numPr>
        <w:tabs>
          <w:tab w:val="clear" w:pos="720"/>
          <w:tab w:val="clear" w:pos="6912"/>
        </w:tabs>
        <w:spacing w:line="276" w:lineRule="auto"/>
      </w:pPr>
      <w:r w:rsidRPr="000063FC">
        <w:t>vremenu početka njihove implementacije,</w:t>
      </w:r>
    </w:p>
    <w:p w:rsidR="005171B2" w:rsidRPr="000063FC" w:rsidRDefault="005171B2" w:rsidP="00C20113">
      <w:pPr>
        <w:numPr>
          <w:ilvl w:val="0"/>
          <w:numId w:val="41"/>
        </w:numPr>
        <w:tabs>
          <w:tab w:val="clear" w:pos="720"/>
          <w:tab w:val="clear" w:pos="6912"/>
        </w:tabs>
        <w:spacing w:line="276" w:lineRule="auto"/>
      </w:pPr>
      <w:r w:rsidRPr="000063FC">
        <w:t>vremenu završetka njihove implementacije.</w:t>
      </w:r>
    </w:p>
    <w:p w:rsidR="007200C3" w:rsidRPr="000063FC" w:rsidRDefault="007200C3" w:rsidP="007200C3">
      <w:pPr>
        <w:tabs>
          <w:tab w:val="clear" w:pos="720"/>
          <w:tab w:val="clear" w:pos="6912"/>
        </w:tabs>
        <w:spacing w:line="276" w:lineRule="auto"/>
      </w:pPr>
    </w:p>
    <w:p w:rsidR="005171B2" w:rsidRPr="000063FC" w:rsidRDefault="00F56931" w:rsidP="007200C3">
      <w:pPr>
        <w:pStyle w:val="Heading2"/>
        <w:rPr>
          <w:sz w:val="28"/>
          <w:szCs w:val="28"/>
        </w:rPr>
      </w:pPr>
      <w:bookmarkStart w:id="272" w:name="_Toc254010214"/>
      <w:r w:rsidRPr="000063FC">
        <w:rPr>
          <w:caps w:val="0"/>
        </w:rPr>
        <w:t>VREMENSKI OKVIR PROVEDBE MJERA U SEKTORU ZGRADARSTVA</w:t>
      </w:r>
      <w:bookmarkEnd w:id="272"/>
    </w:p>
    <w:p w:rsidR="005171B2" w:rsidRPr="000063FC" w:rsidRDefault="005171B2" w:rsidP="005171B2">
      <w:pPr>
        <w:spacing w:line="276" w:lineRule="auto"/>
      </w:pPr>
      <w:r w:rsidRPr="000063FC">
        <w:t xml:space="preserve">Vremenski okvir provedbe identificiranih mjera za smanjenje emisija </w:t>
      </w:r>
      <w:r w:rsidR="00F2761D" w:rsidRPr="000063FC">
        <w:t>CO</w:t>
      </w:r>
      <w:r w:rsidR="00F2761D" w:rsidRPr="000063FC">
        <w:rPr>
          <w:vertAlign w:val="subscript"/>
        </w:rPr>
        <w:t>2</w:t>
      </w:r>
      <w:r w:rsidRPr="000063FC">
        <w:t xml:space="preserve"> po pojedinim podsektorima </w:t>
      </w:r>
      <w:r w:rsidR="00276C96">
        <w:t xml:space="preserve">sektora zgradarstva </w:t>
      </w:r>
      <w:r w:rsidRPr="000063FC">
        <w:t xml:space="preserve">prikazan je u tablici </w:t>
      </w:r>
      <w:r w:rsidR="00976368" w:rsidRPr="000063FC">
        <w:t>5.1.</w:t>
      </w:r>
      <w:r w:rsidRPr="000063FC">
        <w:t xml:space="preserve"> </w:t>
      </w:r>
    </w:p>
    <w:p w:rsidR="005171B2" w:rsidRPr="000063FC" w:rsidRDefault="005171B2" w:rsidP="005171B2">
      <w:pPr>
        <w:spacing w:line="276" w:lineRule="auto"/>
      </w:pPr>
    </w:p>
    <w:p w:rsidR="00976368" w:rsidRPr="000063FC" w:rsidRDefault="00976368" w:rsidP="00B33E2F">
      <w:pPr>
        <w:pStyle w:val="Heading6"/>
      </w:pPr>
      <w:bookmarkStart w:id="273" w:name="_Toc254010273"/>
      <w:r w:rsidRPr="000063FC">
        <w:t xml:space="preserve">Tablica 5.1: Vremenski </w:t>
      </w:r>
      <w:r w:rsidR="000063FC" w:rsidRPr="000063FC">
        <w:t>okvir</w:t>
      </w:r>
      <w:r w:rsidRPr="000063FC">
        <w:t xml:space="preserve"> provedbe mjera u </w:t>
      </w:r>
      <w:r w:rsidR="000063FC" w:rsidRPr="000063FC">
        <w:t>sektoru</w:t>
      </w:r>
      <w:r w:rsidRPr="000063FC">
        <w:t xml:space="preserve"> zgradarstva</w:t>
      </w:r>
      <w:bookmarkEnd w:id="273"/>
    </w:p>
    <w:tbl>
      <w:tblPr>
        <w:tblW w:w="0" w:type="auto"/>
        <w:tblInd w:w="93" w:type="dxa"/>
        <w:tblLayout w:type="fixed"/>
        <w:tblLook w:val="04A0" w:firstRow="1" w:lastRow="0" w:firstColumn="1" w:lastColumn="0" w:noHBand="0" w:noVBand="1"/>
      </w:tblPr>
      <w:tblGrid>
        <w:gridCol w:w="1008"/>
        <w:gridCol w:w="6237"/>
        <w:gridCol w:w="992"/>
        <w:gridCol w:w="959"/>
      </w:tblGrid>
      <w:tr w:rsidR="005171B2" w:rsidRPr="000063FC" w:rsidTr="00171153">
        <w:trPr>
          <w:trHeight w:val="340"/>
        </w:trPr>
        <w:tc>
          <w:tcPr>
            <w:tcW w:w="1008" w:type="dxa"/>
            <w:tcBorders>
              <w:top w:val="single" w:sz="8" w:space="0" w:color="000000"/>
              <w:left w:val="single" w:sz="8" w:space="0" w:color="000000"/>
              <w:bottom w:val="nil"/>
              <w:right w:val="single" w:sz="8" w:space="0" w:color="000000"/>
            </w:tcBorders>
            <w:shd w:val="clear" w:color="auto" w:fill="4BACC6" w:themeFill="accent5"/>
            <w:vAlign w:val="center"/>
            <w:hideMark/>
          </w:tcPr>
          <w:p w:rsidR="005171B2" w:rsidRPr="000063FC" w:rsidRDefault="005171B2" w:rsidP="00171153">
            <w:pPr>
              <w:spacing w:line="276" w:lineRule="auto"/>
              <w:jc w:val="center"/>
              <w:rPr>
                <w:rFonts w:asciiTheme="minorHAnsi" w:hAnsiTheme="minorHAnsi"/>
                <w:b/>
                <w:bCs/>
                <w:color w:val="FFFFFF" w:themeColor="background1"/>
                <w:sz w:val="18"/>
                <w:szCs w:val="18"/>
              </w:rPr>
            </w:pPr>
            <w:r w:rsidRPr="000063FC">
              <w:rPr>
                <w:rFonts w:asciiTheme="minorHAnsi" w:hAnsiTheme="minorHAnsi"/>
                <w:b/>
                <w:bCs/>
                <w:color w:val="FFFFFF" w:themeColor="background1"/>
                <w:sz w:val="18"/>
                <w:szCs w:val="18"/>
              </w:rPr>
              <w:t>Podsektor</w:t>
            </w:r>
          </w:p>
        </w:tc>
        <w:tc>
          <w:tcPr>
            <w:tcW w:w="6237" w:type="dxa"/>
            <w:tcBorders>
              <w:top w:val="single" w:sz="8" w:space="0" w:color="000000"/>
              <w:left w:val="nil"/>
              <w:bottom w:val="nil"/>
              <w:right w:val="nil"/>
            </w:tcBorders>
            <w:shd w:val="clear" w:color="auto" w:fill="4BACC6" w:themeFill="accent5"/>
            <w:vAlign w:val="center"/>
            <w:hideMark/>
          </w:tcPr>
          <w:p w:rsidR="005171B2" w:rsidRPr="000063FC" w:rsidRDefault="005171B2" w:rsidP="00171153">
            <w:pPr>
              <w:spacing w:line="276" w:lineRule="auto"/>
              <w:jc w:val="center"/>
              <w:rPr>
                <w:rFonts w:asciiTheme="minorHAnsi" w:hAnsiTheme="minorHAnsi"/>
                <w:b/>
                <w:bCs/>
                <w:color w:val="FFFFFF" w:themeColor="background1"/>
                <w:sz w:val="18"/>
                <w:szCs w:val="18"/>
              </w:rPr>
            </w:pPr>
            <w:r w:rsidRPr="000063FC">
              <w:rPr>
                <w:rFonts w:asciiTheme="minorHAnsi" w:hAnsiTheme="minorHAnsi"/>
                <w:b/>
                <w:bCs/>
                <w:color w:val="FFFFFF" w:themeColor="background1"/>
                <w:sz w:val="18"/>
                <w:szCs w:val="18"/>
              </w:rPr>
              <w:t>Mjera</w:t>
            </w:r>
          </w:p>
        </w:tc>
        <w:tc>
          <w:tcPr>
            <w:tcW w:w="992" w:type="dxa"/>
            <w:tcBorders>
              <w:top w:val="single" w:sz="8" w:space="0" w:color="auto"/>
              <w:left w:val="single" w:sz="8" w:space="0" w:color="auto"/>
              <w:bottom w:val="nil"/>
              <w:right w:val="single" w:sz="8" w:space="0" w:color="auto"/>
            </w:tcBorders>
            <w:shd w:val="clear" w:color="auto" w:fill="4BACC6" w:themeFill="accent5"/>
            <w:noWrap/>
            <w:vAlign w:val="center"/>
            <w:hideMark/>
          </w:tcPr>
          <w:p w:rsidR="005171B2" w:rsidRPr="000063FC" w:rsidRDefault="005171B2" w:rsidP="00171153">
            <w:pPr>
              <w:spacing w:line="276" w:lineRule="auto"/>
              <w:jc w:val="center"/>
              <w:rPr>
                <w:rFonts w:asciiTheme="minorHAnsi" w:hAnsiTheme="minorHAnsi"/>
                <w:b/>
                <w:bCs/>
                <w:color w:val="FFFFFF" w:themeColor="background1"/>
                <w:sz w:val="18"/>
                <w:szCs w:val="18"/>
              </w:rPr>
            </w:pPr>
            <w:r w:rsidRPr="000063FC">
              <w:rPr>
                <w:rFonts w:asciiTheme="minorHAnsi" w:hAnsiTheme="minorHAnsi"/>
                <w:b/>
                <w:bCs/>
                <w:color w:val="FFFFFF" w:themeColor="background1"/>
                <w:sz w:val="18"/>
                <w:szCs w:val="18"/>
              </w:rPr>
              <w:t>Početak provedbe</w:t>
            </w:r>
          </w:p>
        </w:tc>
        <w:tc>
          <w:tcPr>
            <w:tcW w:w="959" w:type="dxa"/>
            <w:tcBorders>
              <w:top w:val="single" w:sz="8" w:space="0" w:color="auto"/>
              <w:left w:val="nil"/>
              <w:bottom w:val="nil"/>
              <w:right w:val="single" w:sz="8" w:space="0" w:color="auto"/>
            </w:tcBorders>
            <w:shd w:val="clear" w:color="auto" w:fill="4BACC6" w:themeFill="accent5"/>
            <w:noWrap/>
            <w:vAlign w:val="center"/>
            <w:hideMark/>
          </w:tcPr>
          <w:p w:rsidR="005171B2" w:rsidRPr="000063FC" w:rsidRDefault="005171B2" w:rsidP="00171153">
            <w:pPr>
              <w:spacing w:line="276" w:lineRule="auto"/>
              <w:jc w:val="center"/>
              <w:rPr>
                <w:rFonts w:asciiTheme="minorHAnsi" w:hAnsiTheme="minorHAnsi"/>
                <w:b/>
                <w:bCs/>
                <w:color w:val="FFFFFF" w:themeColor="background1"/>
                <w:sz w:val="18"/>
                <w:szCs w:val="18"/>
              </w:rPr>
            </w:pPr>
            <w:r w:rsidRPr="000063FC">
              <w:rPr>
                <w:rFonts w:asciiTheme="minorHAnsi" w:hAnsiTheme="minorHAnsi"/>
                <w:b/>
                <w:bCs/>
                <w:color w:val="FFFFFF" w:themeColor="background1"/>
                <w:sz w:val="18"/>
                <w:szCs w:val="18"/>
              </w:rPr>
              <w:t>Kraj provedbe</w:t>
            </w:r>
          </w:p>
        </w:tc>
      </w:tr>
      <w:tr w:rsidR="005171B2" w:rsidRPr="000063FC" w:rsidTr="00171153">
        <w:trPr>
          <w:trHeight w:val="340"/>
        </w:trPr>
        <w:tc>
          <w:tcPr>
            <w:tcW w:w="919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171B2" w:rsidRPr="000063FC" w:rsidRDefault="005171B2" w:rsidP="006A3F3E">
            <w:pPr>
              <w:spacing w:line="276" w:lineRule="auto"/>
              <w:jc w:val="left"/>
              <w:rPr>
                <w:rFonts w:asciiTheme="minorHAnsi" w:hAnsiTheme="minorHAnsi"/>
                <w:b/>
                <w:bCs/>
                <w:color w:val="000000"/>
                <w:sz w:val="18"/>
                <w:szCs w:val="18"/>
              </w:rPr>
            </w:pPr>
            <w:r w:rsidRPr="000063FC">
              <w:rPr>
                <w:rFonts w:asciiTheme="minorHAnsi" w:hAnsiTheme="minorHAnsi"/>
                <w:b/>
                <w:bCs/>
                <w:color w:val="000000"/>
                <w:sz w:val="18"/>
                <w:szCs w:val="18"/>
              </w:rPr>
              <w:t>Promocija, obrazovanje i promjena ponašanja</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1.</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Obrazovanje i promjena ponašanja djelatnika/korisnika zgrada u vlasništvu Grada Zagreba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Obrazovanje i promocija energetske učinkovitosti za građane</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919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171B2" w:rsidRPr="000063FC" w:rsidRDefault="005171B2" w:rsidP="006A3F3E">
            <w:pPr>
              <w:spacing w:line="276" w:lineRule="auto"/>
              <w:jc w:val="left"/>
              <w:rPr>
                <w:rFonts w:asciiTheme="minorHAnsi" w:hAnsiTheme="minorHAnsi"/>
                <w:b/>
                <w:bCs/>
                <w:color w:val="000000"/>
                <w:sz w:val="18"/>
                <w:szCs w:val="18"/>
              </w:rPr>
            </w:pPr>
            <w:r w:rsidRPr="000063FC">
              <w:rPr>
                <w:rFonts w:asciiTheme="minorHAnsi" w:hAnsiTheme="minorHAnsi"/>
                <w:b/>
                <w:bCs/>
                <w:color w:val="000000"/>
                <w:sz w:val="18"/>
                <w:szCs w:val="18"/>
              </w:rPr>
              <w:t>Zgrade i poduzeća u vlasništvu Grada Zagreba</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1.</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štednih žarulja u zgrade u vlasništvu Grada Zagreba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2015.</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kriterija zelene javne nabave za kupovinu električnih uređaja za zgrade u vlasništvu Grada Zagreba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3.</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Modernizacija kotlovnica na lož ulje za osnovne škole i vrtiće - zamjena kotlovima na plin</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2011.</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2016.</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4.</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Modernizacija rasvjete u 500 školskih učionica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2011.</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2017.</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5.</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Sanacija toplinske ovojnice svih zgrada na Gornjem gradu</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2011.</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2017.</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6.</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Ugradnja termostatskih ventila za zgrade u vlasništvu Grada Zagreba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2011.</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2018.</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7.</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solarnih kolektora za zdravstvene ustanove u vlasništvu Grada Zagreba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2011.</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2018.</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8.</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Modernizacija kotlovnica na lož ulje za osnovne škole i vrtiće – zamjena kotlovima na pelete</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2011.</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2019.</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9.</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Toplinska izolacija vanjske ovojnice i krovišta za zgrade u vlasništvu Grada Zagreba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2011.</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10.</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Zamjena dotrajale stolarije za zgrade u vlasništvu Grada Zagreba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2011.</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bl>
    <w:p w:rsidR="00772AF0" w:rsidRPr="000063FC" w:rsidRDefault="00772AF0"/>
    <w:p w:rsidR="00772AF0" w:rsidRPr="000063FC" w:rsidRDefault="00772AF0"/>
    <w:p w:rsidR="00772AF0" w:rsidRPr="000063FC" w:rsidRDefault="00772AF0"/>
    <w:p w:rsidR="00772AF0" w:rsidRPr="000063FC" w:rsidRDefault="00772AF0"/>
    <w:p w:rsidR="007D4BA3" w:rsidRDefault="007D4BA3">
      <w:pPr>
        <w:tabs>
          <w:tab w:val="clear" w:pos="720"/>
          <w:tab w:val="clear" w:pos="6912"/>
        </w:tabs>
        <w:spacing w:line="240" w:lineRule="auto"/>
        <w:jc w:val="left"/>
      </w:pPr>
      <w:r>
        <w:br w:type="page"/>
      </w:r>
    </w:p>
    <w:tbl>
      <w:tblPr>
        <w:tblW w:w="0" w:type="auto"/>
        <w:tblInd w:w="93" w:type="dxa"/>
        <w:tblLayout w:type="fixed"/>
        <w:tblLook w:val="04A0" w:firstRow="1" w:lastRow="0" w:firstColumn="1" w:lastColumn="0" w:noHBand="0" w:noVBand="1"/>
      </w:tblPr>
      <w:tblGrid>
        <w:gridCol w:w="1008"/>
        <w:gridCol w:w="6237"/>
        <w:gridCol w:w="992"/>
        <w:gridCol w:w="959"/>
      </w:tblGrid>
      <w:tr w:rsidR="005171B2" w:rsidRPr="000063FC" w:rsidTr="00171153">
        <w:trPr>
          <w:trHeight w:val="340"/>
        </w:trPr>
        <w:tc>
          <w:tcPr>
            <w:tcW w:w="919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171B2" w:rsidRPr="000063FC" w:rsidRDefault="005171B2" w:rsidP="006A3F3E">
            <w:pPr>
              <w:spacing w:line="276" w:lineRule="auto"/>
              <w:jc w:val="left"/>
              <w:rPr>
                <w:rFonts w:asciiTheme="minorHAnsi" w:hAnsiTheme="minorHAnsi"/>
                <w:b/>
                <w:bCs/>
                <w:color w:val="000000"/>
                <w:sz w:val="18"/>
                <w:szCs w:val="18"/>
              </w:rPr>
            </w:pPr>
            <w:r w:rsidRPr="000063FC">
              <w:rPr>
                <w:rFonts w:asciiTheme="minorHAnsi" w:hAnsiTheme="minorHAnsi"/>
                <w:b/>
                <w:bCs/>
                <w:color w:val="000000"/>
                <w:sz w:val="18"/>
                <w:szCs w:val="18"/>
              </w:rPr>
              <w:lastRenderedPageBreak/>
              <w:t>Stambene zgrade</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1.</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Donošenje Pravilnika o obvezi ugradnje solarnih kolektora za pripremu PTV u nove zgrade</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2011.</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2012.</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Subvencioniranje uvođenja mjerenja potrošnje toplinske energije za zgrade koje se griju iz  toplane u svaki stan</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2011.</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2015.</w:t>
            </w:r>
          </w:p>
        </w:tc>
      </w:tr>
      <w:tr w:rsidR="005171B2" w:rsidRPr="000063FC" w:rsidTr="0050526C">
        <w:trPr>
          <w:trHeight w:val="34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3.</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štednih žarulja u sve stambene zgrade</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2011.</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2016.</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4.</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Subvencija za rekonstrukciju toplinske zaštite vanjske ovojnice i sanaciju krovišta stambenih zgrada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2011.</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5.</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Subvencija ugradnje solarnih kolektora za 3000 kuća/stanova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2011.</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6.</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Subvencija zamjene kotlova na lož ulje kotlovima na pelete za kuće/stanove</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2012.</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7.</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Poticanje gradnje pasivnih i nisko-energetskih obiteljskih kuća i stambenih zgrada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2012.</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8.</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Solarna priprema tople vode i izolacija zgrada u Zapruđu</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2013.</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2018.</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9.</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Energetski učinkovita obnova zgrada u Trnskom – Projekt ZG FAKTOR 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2013.</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10.</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Poticanje kupovine energetski učinkovitih električnih uređaja za stambene zgrade</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2013.</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919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171B2" w:rsidRPr="000063FC" w:rsidRDefault="005171B2" w:rsidP="006A3F3E">
            <w:pPr>
              <w:spacing w:line="276" w:lineRule="auto"/>
              <w:jc w:val="left"/>
              <w:rPr>
                <w:rFonts w:asciiTheme="minorHAnsi" w:hAnsiTheme="minorHAnsi"/>
                <w:b/>
                <w:bCs/>
                <w:color w:val="000000"/>
                <w:sz w:val="18"/>
                <w:szCs w:val="18"/>
              </w:rPr>
            </w:pPr>
            <w:r w:rsidRPr="000063FC">
              <w:rPr>
                <w:rFonts w:asciiTheme="minorHAnsi" w:hAnsiTheme="minorHAnsi"/>
                <w:b/>
                <w:bCs/>
                <w:color w:val="000000"/>
                <w:sz w:val="18"/>
                <w:szCs w:val="18"/>
              </w:rPr>
              <w:t>Zgrade komercijalnih i uslužnih djelatnosti</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1.</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Uvjetovanje dobivanja poticaja poboljšanjem toplinske izolacije zgrade</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2013.</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Uvjetovanje dobivanja poticaja korištenjem obnovljivih izvora energije</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2013.</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3.</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Poticanje kupovine energetski učinkovitih električnih uređaja za postojeće zgrade</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2014.</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4.</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Ugradnja štednih žarulja za komercijalni i uslužni sektor</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2014.</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5.</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Smanjene komunalne naknade za nove zgrade u komercijalnom i uslužnom sektoru toplinskih karakteristika boljih od važećih propisa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2014.</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6.</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Smanjene komunalne naknade za nove zgrade u komercijalnom i uslužnom sektoru koje koriste obnovljive izvore energije</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2014.</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7.</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Poticanje kupovine energetski učinkovitih električnih uređaja za nove zgrade</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2014.</w:t>
            </w:r>
          </w:p>
        </w:tc>
        <w:tc>
          <w:tcPr>
            <w:tcW w:w="959"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bl>
    <w:p w:rsidR="005171B2" w:rsidRPr="000063FC" w:rsidRDefault="005171B2" w:rsidP="005171B2">
      <w:pPr>
        <w:spacing w:line="276" w:lineRule="auto"/>
      </w:pPr>
    </w:p>
    <w:p w:rsidR="00FE5690" w:rsidRPr="000063FC" w:rsidRDefault="00FE5690">
      <w:pPr>
        <w:tabs>
          <w:tab w:val="clear" w:pos="720"/>
          <w:tab w:val="clear" w:pos="6912"/>
        </w:tabs>
        <w:spacing w:line="240" w:lineRule="auto"/>
        <w:jc w:val="left"/>
        <w:rPr>
          <w:b/>
          <w:szCs w:val="22"/>
          <w:lang w:eastAsia="hr-HR"/>
        </w:rPr>
      </w:pPr>
      <w:r w:rsidRPr="000063FC">
        <w:rPr>
          <w:caps/>
        </w:rPr>
        <w:br w:type="page"/>
      </w:r>
    </w:p>
    <w:p w:rsidR="005171B2" w:rsidRPr="000063FC" w:rsidRDefault="00F56931" w:rsidP="00976368">
      <w:pPr>
        <w:pStyle w:val="Heading2"/>
        <w:rPr>
          <w:sz w:val="28"/>
          <w:szCs w:val="28"/>
        </w:rPr>
      </w:pPr>
      <w:bookmarkStart w:id="274" w:name="_Toc254010215"/>
      <w:r w:rsidRPr="000063FC">
        <w:rPr>
          <w:caps w:val="0"/>
        </w:rPr>
        <w:lastRenderedPageBreak/>
        <w:t>VREMENSKI OKVIR PROVEDBE MJERA U SEKTORU PROMETA</w:t>
      </w:r>
      <w:bookmarkEnd w:id="274"/>
    </w:p>
    <w:p w:rsidR="005171B2" w:rsidRPr="000063FC" w:rsidRDefault="005171B2" w:rsidP="005171B2">
      <w:pPr>
        <w:spacing w:line="276" w:lineRule="auto"/>
      </w:pPr>
      <w:r w:rsidRPr="000063FC">
        <w:t xml:space="preserve">Vremenski okvir provedbe identificiranih mjera za smanjenje emisija </w:t>
      </w:r>
      <w:r w:rsidR="00F2761D" w:rsidRPr="000063FC">
        <w:t>CO</w:t>
      </w:r>
      <w:r w:rsidR="00F2761D" w:rsidRPr="000063FC">
        <w:rPr>
          <w:vertAlign w:val="subscript"/>
        </w:rPr>
        <w:t>2</w:t>
      </w:r>
      <w:r w:rsidRPr="000063FC">
        <w:t xml:space="preserve"> po pojedinim podsektorima </w:t>
      </w:r>
      <w:r w:rsidR="00276C96">
        <w:t xml:space="preserve">sektora prometa </w:t>
      </w:r>
      <w:r w:rsidRPr="000063FC">
        <w:t xml:space="preserve">prikazan je u tablici </w:t>
      </w:r>
      <w:r w:rsidR="00976368" w:rsidRPr="000063FC">
        <w:t>5.2.</w:t>
      </w:r>
      <w:r w:rsidRPr="000063FC">
        <w:t xml:space="preserve"> </w:t>
      </w:r>
    </w:p>
    <w:p w:rsidR="00976368" w:rsidRPr="000063FC" w:rsidRDefault="00976368" w:rsidP="005171B2">
      <w:pPr>
        <w:spacing w:line="276" w:lineRule="auto"/>
      </w:pPr>
    </w:p>
    <w:p w:rsidR="00976368" w:rsidRPr="000063FC" w:rsidRDefault="00976368" w:rsidP="00B33E2F">
      <w:pPr>
        <w:pStyle w:val="Heading6"/>
      </w:pPr>
      <w:bookmarkStart w:id="275" w:name="_Toc254010274"/>
      <w:r w:rsidRPr="000063FC">
        <w:t>Tablica 5.2: Vremenski okv</w:t>
      </w:r>
      <w:r w:rsidR="005455C2">
        <w:t>i</w:t>
      </w:r>
      <w:r w:rsidRPr="000063FC">
        <w:t>r provedbe mjera u sektoru prometa</w:t>
      </w:r>
      <w:bookmarkEnd w:id="275"/>
    </w:p>
    <w:tbl>
      <w:tblPr>
        <w:tblW w:w="9224" w:type="dxa"/>
        <w:tblInd w:w="98" w:type="dxa"/>
        <w:tblLayout w:type="fixed"/>
        <w:tblLook w:val="04A0" w:firstRow="1" w:lastRow="0" w:firstColumn="1" w:lastColumn="0" w:noHBand="0" w:noVBand="1"/>
      </w:tblPr>
      <w:tblGrid>
        <w:gridCol w:w="1003"/>
        <w:gridCol w:w="6237"/>
        <w:gridCol w:w="992"/>
        <w:gridCol w:w="992"/>
      </w:tblGrid>
      <w:tr w:rsidR="005171B2" w:rsidRPr="000063FC" w:rsidTr="00171153">
        <w:trPr>
          <w:trHeight w:val="340"/>
        </w:trPr>
        <w:tc>
          <w:tcPr>
            <w:tcW w:w="1003" w:type="dxa"/>
            <w:tcBorders>
              <w:top w:val="single" w:sz="8" w:space="0" w:color="000000"/>
              <w:left w:val="single" w:sz="8" w:space="0" w:color="000000"/>
              <w:bottom w:val="nil"/>
              <w:right w:val="single" w:sz="8" w:space="0" w:color="000000"/>
            </w:tcBorders>
            <w:shd w:val="clear" w:color="auto" w:fill="4BACC6" w:themeFill="accent5"/>
            <w:vAlign w:val="center"/>
            <w:hideMark/>
          </w:tcPr>
          <w:p w:rsidR="005171B2" w:rsidRPr="000063FC" w:rsidRDefault="005171B2" w:rsidP="00171153">
            <w:pPr>
              <w:spacing w:line="276" w:lineRule="auto"/>
              <w:jc w:val="center"/>
              <w:rPr>
                <w:rFonts w:asciiTheme="minorHAnsi" w:hAnsiTheme="minorHAnsi"/>
                <w:b/>
                <w:bCs/>
                <w:color w:val="FFFFFF" w:themeColor="background1"/>
                <w:sz w:val="18"/>
                <w:szCs w:val="18"/>
              </w:rPr>
            </w:pPr>
            <w:r w:rsidRPr="000063FC">
              <w:rPr>
                <w:rFonts w:asciiTheme="minorHAnsi" w:hAnsiTheme="minorHAnsi"/>
                <w:b/>
                <w:bCs/>
                <w:color w:val="FFFFFF" w:themeColor="background1"/>
                <w:sz w:val="18"/>
                <w:szCs w:val="18"/>
              </w:rPr>
              <w:t>Podsektor</w:t>
            </w:r>
          </w:p>
        </w:tc>
        <w:tc>
          <w:tcPr>
            <w:tcW w:w="6237" w:type="dxa"/>
            <w:tcBorders>
              <w:top w:val="single" w:sz="8" w:space="0" w:color="000000"/>
              <w:left w:val="nil"/>
              <w:bottom w:val="nil"/>
              <w:right w:val="nil"/>
            </w:tcBorders>
            <w:shd w:val="clear" w:color="auto" w:fill="4BACC6" w:themeFill="accent5"/>
            <w:vAlign w:val="center"/>
            <w:hideMark/>
          </w:tcPr>
          <w:p w:rsidR="005171B2" w:rsidRPr="000063FC" w:rsidRDefault="005171B2" w:rsidP="00171153">
            <w:pPr>
              <w:spacing w:line="276" w:lineRule="auto"/>
              <w:jc w:val="center"/>
              <w:rPr>
                <w:rFonts w:asciiTheme="minorHAnsi" w:hAnsiTheme="minorHAnsi"/>
                <w:b/>
                <w:bCs/>
                <w:color w:val="FFFFFF" w:themeColor="background1"/>
                <w:sz w:val="18"/>
                <w:szCs w:val="18"/>
              </w:rPr>
            </w:pPr>
            <w:r w:rsidRPr="000063FC">
              <w:rPr>
                <w:rFonts w:asciiTheme="minorHAnsi" w:hAnsiTheme="minorHAnsi"/>
                <w:b/>
                <w:bCs/>
                <w:color w:val="FFFFFF" w:themeColor="background1"/>
                <w:sz w:val="18"/>
                <w:szCs w:val="18"/>
              </w:rPr>
              <w:t>Mjera</w:t>
            </w:r>
          </w:p>
        </w:tc>
        <w:tc>
          <w:tcPr>
            <w:tcW w:w="992" w:type="dxa"/>
            <w:tcBorders>
              <w:top w:val="single" w:sz="8" w:space="0" w:color="auto"/>
              <w:left w:val="single" w:sz="8" w:space="0" w:color="auto"/>
              <w:bottom w:val="nil"/>
              <w:right w:val="single" w:sz="8" w:space="0" w:color="auto"/>
            </w:tcBorders>
            <w:shd w:val="clear" w:color="auto" w:fill="4BACC6" w:themeFill="accent5"/>
            <w:noWrap/>
            <w:vAlign w:val="center"/>
            <w:hideMark/>
          </w:tcPr>
          <w:p w:rsidR="005171B2" w:rsidRPr="000063FC" w:rsidRDefault="005171B2" w:rsidP="00171153">
            <w:pPr>
              <w:spacing w:line="276" w:lineRule="auto"/>
              <w:jc w:val="center"/>
              <w:rPr>
                <w:rFonts w:asciiTheme="minorHAnsi" w:hAnsiTheme="minorHAnsi"/>
                <w:b/>
                <w:bCs/>
                <w:color w:val="FFFFFF" w:themeColor="background1"/>
                <w:sz w:val="18"/>
                <w:szCs w:val="18"/>
              </w:rPr>
            </w:pPr>
            <w:r w:rsidRPr="000063FC">
              <w:rPr>
                <w:rFonts w:asciiTheme="minorHAnsi" w:hAnsiTheme="minorHAnsi"/>
                <w:b/>
                <w:bCs/>
                <w:color w:val="FFFFFF" w:themeColor="background1"/>
                <w:sz w:val="18"/>
                <w:szCs w:val="18"/>
              </w:rPr>
              <w:t>Početak provedbe</w:t>
            </w:r>
          </w:p>
        </w:tc>
        <w:tc>
          <w:tcPr>
            <w:tcW w:w="992" w:type="dxa"/>
            <w:tcBorders>
              <w:top w:val="single" w:sz="8" w:space="0" w:color="auto"/>
              <w:left w:val="nil"/>
              <w:bottom w:val="nil"/>
              <w:right w:val="single" w:sz="8" w:space="0" w:color="auto"/>
            </w:tcBorders>
            <w:shd w:val="clear" w:color="auto" w:fill="4BACC6" w:themeFill="accent5"/>
            <w:noWrap/>
            <w:vAlign w:val="center"/>
            <w:hideMark/>
          </w:tcPr>
          <w:p w:rsidR="005171B2" w:rsidRPr="000063FC" w:rsidRDefault="005171B2" w:rsidP="00171153">
            <w:pPr>
              <w:spacing w:line="276" w:lineRule="auto"/>
              <w:jc w:val="center"/>
              <w:rPr>
                <w:rFonts w:asciiTheme="minorHAnsi" w:hAnsiTheme="minorHAnsi"/>
                <w:b/>
                <w:bCs/>
                <w:color w:val="FFFFFF" w:themeColor="background1"/>
                <w:sz w:val="18"/>
                <w:szCs w:val="18"/>
              </w:rPr>
            </w:pPr>
            <w:r w:rsidRPr="000063FC">
              <w:rPr>
                <w:rFonts w:asciiTheme="minorHAnsi" w:hAnsiTheme="minorHAnsi"/>
                <w:b/>
                <w:bCs/>
                <w:color w:val="FFFFFF" w:themeColor="background1"/>
                <w:sz w:val="18"/>
                <w:szCs w:val="18"/>
              </w:rPr>
              <w:t>Kraj provedbe</w:t>
            </w:r>
          </w:p>
        </w:tc>
      </w:tr>
      <w:tr w:rsidR="005171B2" w:rsidRPr="000063FC" w:rsidTr="00171153">
        <w:trPr>
          <w:trHeight w:val="340"/>
        </w:trPr>
        <w:tc>
          <w:tcPr>
            <w:tcW w:w="92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b/>
                <w:bCs/>
                <w:color w:val="000000"/>
                <w:sz w:val="18"/>
                <w:szCs w:val="18"/>
              </w:rPr>
            </w:pPr>
            <w:r w:rsidRPr="000063FC">
              <w:rPr>
                <w:rFonts w:asciiTheme="minorHAnsi" w:hAnsiTheme="minorHAnsi"/>
                <w:b/>
                <w:bCs/>
                <w:color w:val="000000"/>
                <w:sz w:val="18"/>
                <w:szCs w:val="18"/>
              </w:rPr>
              <w:t>Planske, promotivne, informativne i obrazovne mjere i aktivnosti</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1.</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 xml:space="preserve">Kampanja </w:t>
            </w:r>
            <w:r w:rsidRPr="000063FC">
              <w:rPr>
                <w:rFonts w:asciiTheme="minorHAnsi" w:hAnsiTheme="minorHAnsi"/>
                <w:i/>
                <w:iCs/>
                <w:color w:val="000000"/>
                <w:sz w:val="18"/>
                <w:szCs w:val="18"/>
              </w:rPr>
              <w:t>Jedan dan tjedno bez automobila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Osnivanje informativno-demonstracijskog centra za građane o načinu rada i uporabe vozila pogonjenih alternativnim gorivima (električna energija, prirodni plin, biogoriva i dr.)</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3.</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Promoviranje upotrebe alternativnih goriva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4.</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Informiranje i treniranje ekološki prihvatljivog načina vožnje (auto škole)</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5.</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Ugradnja sustava za praćenje i usmjeravanje prometa na području Grada Zagreba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2013.</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6.</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naknada za prometno onečišćenje u centru Grada Zagreba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2014.</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92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b/>
                <w:bCs/>
                <w:color w:val="000000"/>
                <w:sz w:val="18"/>
                <w:szCs w:val="18"/>
              </w:rPr>
            </w:pPr>
            <w:r w:rsidRPr="000063FC">
              <w:rPr>
                <w:rFonts w:asciiTheme="minorHAnsi" w:hAnsiTheme="minorHAnsi"/>
                <w:b/>
                <w:bCs/>
                <w:color w:val="000000"/>
                <w:sz w:val="18"/>
                <w:szCs w:val="18"/>
              </w:rPr>
              <w:t>Vozila u vlasništvu i korištenju Grada Zagreba</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1.</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Sustavnog gospodarenja energijom u vozilima u vlasništvu Grada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Zelene javne nabave za sva vozila u vlasništvu Grada Zagreba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3.</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Car sharing za djelatnike istog poduzeća grada Zagreba odnosno gradske uprave</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92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b/>
                <w:bCs/>
                <w:color w:val="000000"/>
                <w:sz w:val="18"/>
                <w:szCs w:val="18"/>
              </w:rPr>
            </w:pPr>
            <w:r w:rsidRPr="000063FC">
              <w:rPr>
                <w:rFonts w:asciiTheme="minorHAnsi" w:hAnsiTheme="minorHAnsi"/>
                <w:b/>
                <w:bCs/>
                <w:color w:val="000000"/>
                <w:sz w:val="18"/>
                <w:szCs w:val="18"/>
              </w:rPr>
              <w:t>Javni prijevoz</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1.</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Uspostava mreže bicikala za iznajmljivanje opremljenih IT zaštitom od krađe</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2015.</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Zelene javne nabave za sva vozila javnog prijevoza u Gradu Zagrebu</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2016.</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3.</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Sustavnog gospodarenja energijom u vozilima javnog prijevoza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2016.</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4.</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Zamjena postojećih dotrajalih autobusa ZET-a autobusima s hibridnim i pogonom na alternativna goriva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2017.</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5.</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Razvoj i unaprjeđenje gradsko-prigradske željeznice</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6.</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Razvoj i unapređenje mreže javnog prijevoza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7.</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Osiguranje prioriteta javnog gradskog prometa na koridorima kojima prometuje zajedno s ostalim vozilima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8.</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Proizvodnja biodizela iz otpadnog jestivog ulja za potrebe javnog prijevoza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2010.</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9.</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novog, brzog gradskog, podzemno-nadzemnog tračničkog sustava (metro, laki tračnički sustav)</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2018.</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r w:rsidR="005171B2" w:rsidRPr="000063FC" w:rsidTr="00171153">
        <w:trPr>
          <w:trHeight w:val="340"/>
        </w:trPr>
        <w:tc>
          <w:tcPr>
            <w:tcW w:w="92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b/>
                <w:bCs/>
                <w:color w:val="000000"/>
                <w:sz w:val="18"/>
                <w:szCs w:val="18"/>
              </w:rPr>
            </w:pPr>
            <w:r w:rsidRPr="000063FC">
              <w:rPr>
                <w:rFonts w:asciiTheme="minorHAnsi" w:hAnsiTheme="minorHAnsi"/>
                <w:b/>
                <w:bCs/>
                <w:color w:val="000000"/>
                <w:sz w:val="18"/>
                <w:szCs w:val="18"/>
              </w:rPr>
              <w:t>Osobna i komercijalna vozila</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1.</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car-sharing modela za povećanje okupiranosti vozila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2012.</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2017.</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w:t>
            </w:r>
          </w:p>
        </w:tc>
        <w:tc>
          <w:tcPr>
            <w:tcW w:w="623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Subvencije za nabavu vozila na alternativna goriva</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2012.</w:t>
            </w:r>
          </w:p>
        </w:tc>
        <w:tc>
          <w:tcPr>
            <w:tcW w:w="992"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2020.</w:t>
            </w:r>
          </w:p>
        </w:tc>
      </w:tr>
    </w:tbl>
    <w:p w:rsidR="00171153" w:rsidRPr="000063FC" w:rsidRDefault="00171153" w:rsidP="005171B2">
      <w:pPr>
        <w:spacing w:line="276" w:lineRule="auto"/>
      </w:pPr>
    </w:p>
    <w:p w:rsidR="00171153" w:rsidRPr="000063FC" w:rsidRDefault="00171153">
      <w:pPr>
        <w:tabs>
          <w:tab w:val="clear" w:pos="720"/>
          <w:tab w:val="clear" w:pos="6912"/>
        </w:tabs>
        <w:spacing w:line="240" w:lineRule="auto"/>
        <w:jc w:val="left"/>
      </w:pPr>
      <w:r w:rsidRPr="000063FC">
        <w:br w:type="page"/>
      </w:r>
    </w:p>
    <w:p w:rsidR="005171B2" w:rsidRPr="000063FC" w:rsidRDefault="00F56931" w:rsidP="00976368">
      <w:pPr>
        <w:pStyle w:val="Heading2"/>
        <w:rPr>
          <w:sz w:val="28"/>
          <w:szCs w:val="28"/>
        </w:rPr>
      </w:pPr>
      <w:bookmarkStart w:id="276" w:name="_Toc254010216"/>
      <w:r w:rsidRPr="000063FC">
        <w:rPr>
          <w:caps w:val="0"/>
        </w:rPr>
        <w:lastRenderedPageBreak/>
        <w:t>VREMENSKI OKVIR PROVEDBE MJERA U SEKTORU JAVNE RASVJETE</w:t>
      </w:r>
      <w:bookmarkEnd w:id="276"/>
    </w:p>
    <w:p w:rsidR="00976368" w:rsidRPr="000063FC" w:rsidRDefault="005171B2" w:rsidP="005171B2">
      <w:pPr>
        <w:spacing w:line="276" w:lineRule="auto"/>
      </w:pPr>
      <w:r w:rsidRPr="000063FC">
        <w:t xml:space="preserve">Vremenski okvir provedbe identificiranih mjera za smanjenje emisija </w:t>
      </w:r>
      <w:r w:rsidR="00F2761D" w:rsidRPr="000063FC">
        <w:t>CO</w:t>
      </w:r>
      <w:r w:rsidR="00F2761D" w:rsidRPr="000063FC">
        <w:rPr>
          <w:vertAlign w:val="subscript"/>
        </w:rPr>
        <w:t>2</w:t>
      </w:r>
      <w:r w:rsidR="00276C96">
        <w:t xml:space="preserve"> u sektoru javne rasvjete</w:t>
      </w:r>
      <w:r w:rsidRPr="000063FC">
        <w:t xml:space="preserve"> prikazan je u tablici </w:t>
      </w:r>
      <w:r w:rsidR="00976368" w:rsidRPr="000063FC">
        <w:t>5.3.</w:t>
      </w:r>
    </w:p>
    <w:p w:rsidR="005171B2" w:rsidRPr="000063FC" w:rsidRDefault="005171B2" w:rsidP="005171B2">
      <w:pPr>
        <w:spacing w:line="276" w:lineRule="auto"/>
      </w:pPr>
      <w:r w:rsidRPr="000063FC">
        <w:t xml:space="preserve"> </w:t>
      </w:r>
    </w:p>
    <w:p w:rsidR="00976368" w:rsidRPr="000063FC" w:rsidRDefault="00976368" w:rsidP="00B33E2F">
      <w:pPr>
        <w:pStyle w:val="Heading6"/>
      </w:pPr>
      <w:bookmarkStart w:id="277" w:name="_Toc254010275"/>
      <w:r w:rsidRPr="000063FC">
        <w:t>Tablica 5.3: Vremenski okv</w:t>
      </w:r>
      <w:r w:rsidR="005455C2">
        <w:t>i</w:t>
      </w:r>
      <w:r w:rsidRPr="000063FC">
        <w:t xml:space="preserve">r provedbe mjera za sektor </w:t>
      </w:r>
      <w:bookmarkEnd w:id="277"/>
      <w:r w:rsidR="005455C2">
        <w:t>javne rasvjete</w:t>
      </w:r>
    </w:p>
    <w:tbl>
      <w:tblPr>
        <w:tblW w:w="0" w:type="auto"/>
        <w:tblInd w:w="98" w:type="dxa"/>
        <w:tblLayout w:type="fixed"/>
        <w:tblLook w:val="04A0" w:firstRow="1" w:lastRow="0" w:firstColumn="1" w:lastColumn="0" w:noHBand="0" w:noVBand="1"/>
      </w:tblPr>
      <w:tblGrid>
        <w:gridCol w:w="1003"/>
        <w:gridCol w:w="6095"/>
        <w:gridCol w:w="1077"/>
        <w:gridCol w:w="1016"/>
      </w:tblGrid>
      <w:tr w:rsidR="005171B2" w:rsidRPr="000063FC" w:rsidTr="00171153">
        <w:trPr>
          <w:trHeight w:val="340"/>
        </w:trPr>
        <w:tc>
          <w:tcPr>
            <w:tcW w:w="1003" w:type="dxa"/>
            <w:tcBorders>
              <w:top w:val="single" w:sz="8" w:space="0" w:color="auto"/>
              <w:left w:val="single" w:sz="8" w:space="0" w:color="auto"/>
              <w:bottom w:val="single" w:sz="8" w:space="0" w:color="auto"/>
              <w:right w:val="single" w:sz="8" w:space="0" w:color="000000"/>
            </w:tcBorders>
            <w:shd w:val="clear" w:color="auto" w:fill="4BACC6" w:themeFill="accent5"/>
            <w:vAlign w:val="center"/>
            <w:hideMark/>
          </w:tcPr>
          <w:p w:rsidR="005171B2" w:rsidRPr="000063FC" w:rsidRDefault="005171B2" w:rsidP="00171153">
            <w:pPr>
              <w:spacing w:line="276" w:lineRule="auto"/>
              <w:jc w:val="center"/>
              <w:rPr>
                <w:b/>
                <w:bCs/>
                <w:color w:val="FFFFFF" w:themeColor="background1"/>
                <w:sz w:val="18"/>
                <w:szCs w:val="18"/>
              </w:rPr>
            </w:pPr>
            <w:r w:rsidRPr="000063FC">
              <w:rPr>
                <w:b/>
                <w:bCs/>
                <w:color w:val="FFFFFF" w:themeColor="background1"/>
                <w:sz w:val="18"/>
                <w:szCs w:val="18"/>
              </w:rPr>
              <w:t>Podsektor</w:t>
            </w:r>
          </w:p>
        </w:tc>
        <w:tc>
          <w:tcPr>
            <w:tcW w:w="6095" w:type="dxa"/>
            <w:tcBorders>
              <w:top w:val="single" w:sz="8" w:space="0" w:color="auto"/>
              <w:left w:val="nil"/>
              <w:bottom w:val="single" w:sz="8" w:space="0" w:color="auto"/>
              <w:right w:val="nil"/>
            </w:tcBorders>
            <w:shd w:val="clear" w:color="auto" w:fill="4BACC6" w:themeFill="accent5"/>
            <w:vAlign w:val="center"/>
            <w:hideMark/>
          </w:tcPr>
          <w:p w:rsidR="005171B2" w:rsidRPr="000063FC" w:rsidRDefault="005171B2" w:rsidP="00171153">
            <w:pPr>
              <w:spacing w:line="276" w:lineRule="auto"/>
              <w:jc w:val="center"/>
              <w:rPr>
                <w:b/>
                <w:bCs/>
                <w:color w:val="FFFFFF" w:themeColor="background1"/>
                <w:sz w:val="18"/>
                <w:szCs w:val="18"/>
              </w:rPr>
            </w:pPr>
            <w:r w:rsidRPr="000063FC">
              <w:rPr>
                <w:b/>
                <w:bCs/>
                <w:color w:val="FFFFFF" w:themeColor="background1"/>
                <w:sz w:val="18"/>
                <w:szCs w:val="18"/>
              </w:rPr>
              <w:t>Mjera</w:t>
            </w:r>
          </w:p>
        </w:tc>
        <w:tc>
          <w:tcPr>
            <w:tcW w:w="1077" w:type="dxa"/>
            <w:tcBorders>
              <w:top w:val="single" w:sz="8" w:space="0" w:color="auto"/>
              <w:left w:val="single" w:sz="8" w:space="0" w:color="auto"/>
              <w:bottom w:val="single" w:sz="8" w:space="0" w:color="auto"/>
              <w:right w:val="single" w:sz="8" w:space="0" w:color="auto"/>
            </w:tcBorders>
            <w:shd w:val="clear" w:color="auto" w:fill="4BACC6" w:themeFill="accent5"/>
            <w:noWrap/>
            <w:vAlign w:val="center"/>
            <w:hideMark/>
          </w:tcPr>
          <w:p w:rsidR="005171B2" w:rsidRPr="000063FC" w:rsidRDefault="005171B2" w:rsidP="00171153">
            <w:pPr>
              <w:spacing w:line="276" w:lineRule="auto"/>
              <w:jc w:val="center"/>
              <w:rPr>
                <w:b/>
                <w:bCs/>
                <w:color w:val="FFFFFF" w:themeColor="background1"/>
                <w:sz w:val="18"/>
                <w:szCs w:val="18"/>
              </w:rPr>
            </w:pPr>
            <w:r w:rsidRPr="000063FC">
              <w:rPr>
                <w:b/>
                <w:bCs/>
                <w:color w:val="FFFFFF" w:themeColor="background1"/>
                <w:sz w:val="18"/>
                <w:szCs w:val="18"/>
              </w:rPr>
              <w:t>Početak provedbe</w:t>
            </w:r>
          </w:p>
        </w:tc>
        <w:tc>
          <w:tcPr>
            <w:tcW w:w="1016" w:type="dxa"/>
            <w:tcBorders>
              <w:top w:val="single" w:sz="8" w:space="0" w:color="auto"/>
              <w:left w:val="nil"/>
              <w:bottom w:val="single" w:sz="8" w:space="0" w:color="auto"/>
              <w:right w:val="single" w:sz="8" w:space="0" w:color="auto"/>
            </w:tcBorders>
            <w:shd w:val="clear" w:color="auto" w:fill="4BACC6" w:themeFill="accent5"/>
            <w:noWrap/>
            <w:vAlign w:val="center"/>
            <w:hideMark/>
          </w:tcPr>
          <w:p w:rsidR="005171B2" w:rsidRPr="000063FC" w:rsidRDefault="005171B2" w:rsidP="00171153">
            <w:pPr>
              <w:spacing w:line="276" w:lineRule="auto"/>
              <w:jc w:val="center"/>
              <w:rPr>
                <w:b/>
                <w:bCs/>
                <w:color w:val="FFFFFF" w:themeColor="background1"/>
                <w:sz w:val="18"/>
                <w:szCs w:val="18"/>
              </w:rPr>
            </w:pPr>
            <w:r w:rsidRPr="000063FC">
              <w:rPr>
                <w:b/>
                <w:bCs/>
                <w:color w:val="FFFFFF" w:themeColor="background1"/>
                <w:sz w:val="18"/>
                <w:szCs w:val="18"/>
              </w:rPr>
              <w:t>Kraj provedbe</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1.</w:t>
            </w:r>
          </w:p>
        </w:tc>
        <w:tc>
          <w:tcPr>
            <w:tcW w:w="6095"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Zamjena zastarjelih rasvjetnih tijela s energetski učinkovitijima i ekološki prihvatljivijima rasvjetnim tijelima</w:t>
            </w:r>
          </w:p>
        </w:tc>
        <w:tc>
          <w:tcPr>
            <w:tcW w:w="107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2010.</w:t>
            </w:r>
          </w:p>
        </w:tc>
        <w:tc>
          <w:tcPr>
            <w:tcW w:w="1016"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2019.</w:t>
            </w:r>
          </w:p>
        </w:tc>
      </w:tr>
      <w:tr w:rsidR="005171B2" w:rsidRPr="000063FC" w:rsidTr="00171153">
        <w:trPr>
          <w:trHeight w:val="34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2.</w:t>
            </w:r>
          </w:p>
        </w:tc>
        <w:tc>
          <w:tcPr>
            <w:tcW w:w="6095"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Upravljanje intenzitetom javne rasvjetom</w:t>
            </w:r>
          </w:p>
        </w:tc>
        <w:tc>
          <w:tcPr>
            <w:tcW w:w="1077"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2010.</w:t>
            </w:r>
          </w:p>
        </w:tc>
        <w:tc>
          <w:tcPr>
            <w:tcW w:w="1016"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2020.</w:t>
            </w:r>
          </w:p>
        </w:tc>
      </w:tr>
    </w:tbl>
    <w:p w:rsidR="00FE5690" w:rsidRPr="000063FC" w:rsidRDefault="00FE5690">
      <w:pPr>
        <w:tabs>
          <w:tab w:val="clear" w:pos="720"/>
          <w:tab w:val="clear" w:pos="6912"/>
        </w:tabs>
        <w:spacing w:line="240" w:lineRule="auto"/>
        <w:jc w:val="left"/>
        <w:rPr>
          <w:rFonts w:cs="Arial"/>
          <w:b/>
          <w:iCs/>
          <w:caps/>
          <w:kern w:val="28"/>
          <w:sz w:val="24"/>
        </w:rPr>
      </w:pPr>
      <w:r w:rsidRPr="000063FC">
        <w:br w:type="page"/>
      </w:r>
    </w:p>
    <w:p w:rsidR="005171B2" w:rsidRPr="000063FC" w:rsidRDefault="005171B2" w:rsidP="00976368">
      <w:pPr>
        <w:pStyle w:val="Heading1"/>
      </w:pPr>
      <w:bookmarkStart w:id="278" w:name="_Toc254010217"/>
      <w:r w:rsidRPr="000063FC">
        <w:lastRenderedPageBreak/>
        <w:t>Procjena smanjenja emisija CO</w:t>
      </w:r>
      <w:r w:rsidRPr="000063FC">
        <w:rPr>
          <w:vertAlign w:val="subscript"/>
        </w:rPr>
        <w:t>2</w:t>
      </w:r>
      <w:r w:rsidRPr="000063FC">
        <w:t xml:space="preserve"> za pojedine mjere prema Planu prioritetnih aktivnosti i mjera do 2020. godine</w:t>
      </w:r>
      <w:bookmarkEnd w:id="278"/>
    </w:p>
    <w:p w:rsidR="005171B2" w:rsidRPr="000063FC" w:rsidRDefault="005171B2" w:rsidP="005171B2">
      <w:pPr>
        <w:spacing w:line="276" w:lineRule="auto"/>
      </w:pPr>
      <w:r w:rsidRPr="000063FC">
        <w:t>Implementacija identificiranih mjera u sva tri sektora znatno će doprinijeti smanjenju emisija stakleničkih plinova u Gradu Zagrebu. U nastavku ovog poglavlja dana je kvantitativna procjena smanjenja emisija CO</w:t>
      </w:r>
      <w:r w:rsidRPr="000063FC">
        <w:rPr>
          <w:vertAlign w:val="subscript"/>
        </w:rPr>
        <w:t>2</w:t>
      </w:r>
      <w:r w:rsidRPr="000063FC">
        <w:t xml:space="preserve"> za on</w:t>
      </w:r>
      <w:r w:rsidR="0059088E" w:rsidRPr="000063FC">
        <w:t>e identificirane mjere za koje j</w:t>
      </w:r>
      <w:r w:rsidRPr="000063FC">
        <w:t>e to bilo moguće, kao i procjena ukupnog smanjenja emisija CO</w:t>
      </w:r>
      <w:r w:rsidRPr="000063FC">
        <w:rPr>
          <w:vertAlign w:val="subscript"/>
        </w:rPr>
        <w:t>2</w:t>
      </w:r>
      <w:r w:rsidRPr="000063FC">
        <w:t xml:space="preserve"> primjenom identificiranih mjera po sektorima.</w:t>
      </w:r>
    </w:p>
    <w:p w:rsidR="005171B2" w:rsidRPr="000063FC" w:rsidRDefault="005171B2" w:rsidP="005171B2">
      <w:pPr>
        <w:spacing w:line="276" w:lineRule="auto"/>
      </w:pPr>
    </w:p>
    <w:p w:rsidR="005171B2" w:rsidRPr="000063FC" w:rsidRDefault="00F56931" w:rsidP="00976368">
      <w:pPr>
        <w:pStyle w:val="Heading2"/>
      </w:pPr>
      <w:bookmarkStart w:id="279" w:name="_Toc254010218"/>
      <w:r w:rsidRPr="000063FC">
        <w:rPr>
          <w:caps w:val="0"/>
        </w:rPr>
        <w:t>SMANJENJE EMISIJE CO</w:t>
      </w:r>
      <w:r w:rsidRPr="000063FC">
        <w:rPr>
          <w:caps w:val="0"/>
          <w:vertAlign w:val="subscript"/>
        </w:rPr>
        <w:t>2</w:t>
      </w:r>
      <w:r w:rsidRPr="000063FC">
        <w:rPr>
          <w:caps w:val="0"/>
        </w:rPr>
        <w:t xml:space="preserve"> U SEKTORU ZGRADARSTVA</w:t>
      </w:r>
      <w:bookmarkEnd w:id="279"/>
    </w:p>
    <w:p w:rsidR="005171B2" w:rsidRPr="000063FC" w:rsidRDefault="005171B2" w:rsidP="005171B2">
      <w:pPr>
        <w:spacing w:line="276" w:lineRule="auto"/>
      </w:pPr>
      <w:r w:rsidRPr="000063FC">
        <w:t>Smanjenje emisija CO</w:t>
      </w:r>
      <w:r w:rsidRPr="000063FC">
        <w:rPr>
          <w:vertAlign w:val="subscript"/>
        </w:rPr>
        <w:t>2</w:t>
      </w:r>
      <w:r w:rsidRPr="000063FC">
        <w:t xml:space="preserve"> provedbom identificiranih mjera u sektoru zgradarstva prikazano je u tablici </w:t>
      </w:r>
      <w:r w:rsidR="00976368" w:rsidRPr="000063FC">
        <w:t>6.1.</w:t>
      </w:r>
    </w:p>
    <w:p w:rsidR="00976368" w:rsidRPr="000063FC" w:rsidRDefault="00976368" w:rsidP="005171B2">
      <w:pPr>
        <w:spacing w:line="276" w:lineRule="auto"/>
      </w:pPr>
    </w:p>
    <w:p w:rsidR="00976368" w:rsidRPr="000063FC" w:rsidRDefault="00976368" w:rsidP="00B33E2F">
      <w:pPr>
        <w:pStyle w:val="Heading6"/>
      </w:pPr>
      <w:bookmarkStart w:id="280" w:name="_Toc254010276"/>
      <w:r w:rsidRPr="000063FC">
        <w:t>Tablica 6.1: Smanjenje emisije CO</w:t>
      </w:r>
      <w:r w:rsidRPr="000063FC">
        <w:rPr>
          <w:vertAlign w:val="subscript"/>
        </w:rPr>
        <w:t>2</w:t>
      </w:r>
      <w:r w:rsidRPr="000063FC">
        <w:t xml:space="preserve"> u sektoru zgradarstva</w:t>
      </w:r>
      <w:bookmarkEnd w:id="280"/>
    </w:p>
    <w:tbl>
      <w:tblPr>
        <w:tblW w:w="0" w:type="auto"/>
        <w:tblInd w:w="98" w:type="dxa"/>
        <w:tblLayout w:type="fixed"/>
        <w:tblLook w:val="04A0" w:firstRow="1" w:lastRow="0" w:firstColumn="1" w:lastColumn="0" w:noHBand="0" w:noVBand="1"/>
      </w:tblPr>
      <w:tblGrid>
        <w:gridCol w:w="1003"/>
        <w:gridCol w:w="6804"/>
        <w:gridCol w:w="1384"/>
      </w:tblGrid>
      <w:tr w:rsidR="005171B2" w:rsidRPr="000063FC" w:rsidTr="00E20A31">
        <w:trPr>
          <w:trHeight w:val="340"/>
        </w:trPr>
        <w:tc>
          <w:tcPr>
            <w:tcW w:w="1003" w:type="dxa"/>
            <w:tcBorders>
              <w:top w:val="single" w:sz="8" w:space="0" w:color="auto"/>
              <w:left w:val="single" w:sz="8" w:space="0" w:color="auto"/>
              <w:bottom w:val="single" w:sz="8" w:space="0" w:color="auto"/>
              <w:right w:val="single" w:sz="8" w:space="0" w:color="000000"/>
            </w:tcBorders>
            <w:shd w:val="clear" w:color="auto" w:fill="4BACC6" w:themeFill="accent5"/>
            <w:vAlign w:val="center"/>
            <w:hideMark/>
          </w:tcPr>
          <w:p w:rsidR="005171B2" w:rsidRPr="000063FC" w:rsidRDefault="005171B2" w:rsidP="00E20A31">
            <w:pPr>
              <w:spacing w:line="276" w:lineRule="auto"/>
              <w:jc w:val="center"/>
              <w:rPr>
                <w:rFonts w:asciiTheme="minorHAnsi" w:hAnsiTheme="minorHAnsi"/>
                <w:b/>
                <w:bCs/>
                <w:color w:val="FFFFFF" w:themeColor="background1"/>
                <w:sz w:val="18"/>
                <w:szCs w:val="18"/>
              </w:rPr>
            </w:pPr>
            <w:r w:rsidRPr="000063FC">
              <w:rPr>
                <w:rFonts w:asciiTheme="minorHAnsi" w:hAnsiTheme="minorHAnsi"/>
                <w:b/>
                <w:bCs/>
                <w:color w:val="FFFFFF" w:themeColor="background1"/>
                <w:sz w:val="18"/>
                <w:szCs w:val="18"/>
              </w:rPr>
              <w:t>Podsektor</w:t>
            </w:r>
          </w:p>
        </w:tc>
        <w:tc>
          <w:tcPr>
            <w:tcW w:w="6804" w:type="dxa"/>
            <w:tcBorders>
              <w:top w:val="single" w:sz="8" w:space="0" w:color="auto"/>
              <w:left w:val="nil"/>
              <w:bottom w:val="single" w:sz="8" w:space="0" w:color="auto"/>
              <w:right w:val="nil"/>
            </w:tcBorders>
            <w:shd w:val="clear" w:color="auto" w:fill="4BACC6" w:themeFill="accent5"/>
            <w:vAlign w:val="center"/>
            <w:hideMark/>
          </w:tcPr>
          <w:p w:rsidR="005171B2" w:rsidRPr="000063FC" w:rsidRDefault="005171B2" w:rsidP="00E20A31">
            <w:pPr>
              <w:spacing w:line="276" w:lineRule="auto"/>
              <w:jc w:val="center"/>
              <w:rPr>
                <w:rFonts w:asciiTheme="minorHAnsi" w:hAnsiTheme="minorHAnsi"/>
                <w:b/>
                <w:bCs/>
                <w:color w:val="FFFFFF" w:themeColor="background1"/>
                <w:sz w:val="18"/>
                <w:szCs w:val="18"/>
              </w:rPr>
            </w:pPr>
            <w:r w:rsidRPr="000063FC">
              <w:rPr>
                <w:rFonts w:asciiTheme="minorHAnsi" w:hAnsiTheme="minorHAnsi"/>
                <w:b/>
                <w:bCs/>
                <w:color w:val="FFFFFF" w:themeColor="background1"/>
                <w:sz w:val="18"/>
                <w:szCs w:val="18"/>
              </w:rPr>
              <w:t>Mjera</w:t>
            </w:r>
          </w:p>
        </w:tc>
        <w:tc>
          <w:tcPr>
            <w:tcW w:w="1384" w:type="dxa"/>
            <w:tcBorders>
              <w:top w:val="single" w:sz="8" w:space="0" w:color="auto"/>
              <w:left w:val="single" w:sz="8" w:space="0" w:color="auto"/>
              <w:bottom w:val="single" w:sz="8" w:space="0" w:color="auto"/>
              <w:right w:val="single" w:sz="8" w:space="0" w:color="auto"/>
            </w:tcBorders>
            <w:shd w:val="clear" w:color="auto" w:fill="4BACC6" w:themeFill="accent5"/>
            <w:noWrap/>
            <w:vAlign w:val="center"/>
            <w:hideMark/>
          </w:tcPr>
          <w:p w:rsidR="005171B2" w:rsidRPr="000063FC" w:rsidRDefault="005171B2" w:rsidP="00E20A31">
            <w:pPr>
              <w:spacing w:line="276" w:lineRule="auto"/>
              <w:jc w:val="center"/>
              <w:rPr>
                <w:rFonts w:asciiTheme="minorHAnsi" w:hAnsiTheme="minorHAnsi"/>
                <w:b/>
                <w:bCs/>
                <w:color w:val="FFFFFF" w:themeColor="background1"/>
                <w:sz w:val="18"/>
                <w:szCs w:val="18"/>
              </w:rPr>
            </w:pPr>
            <w:r w:rsidRPr="000063FC">
              <w:rPr>
                <w:rFonts w:asciiTheme="minorHAnsi" w:hAnsiTheme="minorHAnsi"/>
                <w:b/>
                <w:bCs/>
                <w:color w:val="FFFFFF" w:themeColor="background1"/>
                <w:sz w:val="18"/>
                <w:szCs w:val="18"/>
              </w:rPr>
              <w:t>Smanjenje emisije CO</w:t>
            </w:r>
            <w:r w:rsidRPr="000063FC">
              <w:rPr>
                <w:rFonts w:asciiTheme="minorHAnsi" w:hAnsiTheme="minorHAnsi"/>
                <w:b/>
                <w:bCs/>
                <w:color w:val="FFFFFF" w:themeColor="background1"/>
                <w:sz w:val="18"/>
                <w:szCs w:val="18"/>
                <w:vertAlign w:val="subscript"/>
              </w:rPr>
              <w:t>2</w:t>
            </w:r>
            <w:r w:rsidRPr="000063FC">
              <w:rPr>
                <w:rFonts w:asciiTheme="minorHAnsi" w:hAnsiTheme="minorHAnsi"/>
                <w:b/>
                <w:bCs/>
                <w:color w:val="FFFFFF" w:themeColor="background1"/>
                <w:sz w:val="18"/>
                <w:szCs w:val="18"/>
              </w:rPr>
              <w:t xml:space="preserve"> (t)</w:t>
            </w:r>
          </w:p>
        </w:tc>
      </w:tr>
      <w:tr w:rsidR="005171B2" w:rsidRPr="000063FC" w:rsidTr="00171153">
        <w:trPr>
          <w:trHeight w:val="300"/>
        </w:trPr>
        <w:tc>
          <w:tcPr>
            <w:tcW w:w="9191" w:type="dxa"/>
            <w:gridSpan w:val="3"/>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b/>
                <w:bCs/>
                <w:color w:val="000000"/>
                <w:sz w:val="18"/>
                <w:szCs w:val="18"/>
              </w:rPr>
            </w:pPr>
            <w:r w:rsidRPr="000063FC">
              <w:rPr>
                <w:rFonts w:asciiTheme="minorHAnsi" w:hAnsiTheme="minorHAnsi"/>
                <w:b/>
                <w:bCs/>
                <w:color w:val="000000"/>
                <w:sz w:val="18"/>
                <w:szCs w:val="18"/>
              </w:rPr>
              <w:t>Promocija, obrazovanje i promjena ponašanja</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1.</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Obrazovanje i promjena ponašanja djelatnika/korisnika zgrada u vlasništvu Grada Zagreba</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18.120</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Obrazovanje i promocija energetske učinkovitosti za građane</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198.830</w:t>
            </w:r>
          </w:p>
        </w:tc>
      </w:tr>
      <w:tr w:rsidR="005171B2" w:rsidRPr="000063FC" w:rsidTr="00171153">
        <w:trPr>
          <w:trHeight w:val="300"/>
        </w:trPr>
        <w:tc>
          <w:tcPr>
            <w:tcW w:w="91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b/>
                <w:bCs/>
                <w:color w:val="000000"/>
                <w:sz w:val="18"/>
                <w:szCs w:val="18"/>
              </w:rPr>
            </w:pPr>
            <w:r w:rsidRPr="000063FC">
              <w:rPr>
                <w:rFonts w:asciiTheme="minorHAnsi" w:hAnsiTheme="minorHAnsi"/>
                <w:b/>
                <w:bCs/>
                <w:color w:val="000000"/>
                <w:sz w:val="18"/>
                <w:szCs w:val="18"/>
              </w:rPr>
              <w:t>Zgrade i poduzeća u vlasništvu Grada Zagreba</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1.</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solarnih kolektora za zdravstvene ustanove u vlasništvu Grada Zagreba</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2.077</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Modernizacija rasvjete u 500 školskih učionica</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28</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3.</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Modernizacija kotlovnica na lož ulje za osnovne škole i vrtiće – zamjena kotlovima na pelete</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5.147</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4.</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Modernizacija kotlovnica na lož ulje za osnovne škole i vrtiće - zamjena kotlovima na plin</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514</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5.</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Toplinska izolacija vanjske ovojnice i krovišta za zgrade u vlasništvu Grada Zagreba</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24.346</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6.</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Zamjena dotrajale stolarije za zgrade u vlasništvu Grada Zagreba</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6.390</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7.</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Ugradnja termostatskih ventila za zgrade u vlasništvu Grada Zagreba</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9.738</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8.</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kriterija zelene javne nabave za kupovinu električnih uređaja za zgrade u vlasništvu Grada Zagreba</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2.305</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9.</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štednih žarulja u zgrade u vlasništvu Grada Zagreba</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4.609</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10.</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Sanacija toplinske ovojnice svih zgrada na Gornjem gradu</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1.460</w:t>
            </w:r>
          </w:p>
        </w:tc>
      </w:tr>
      <w:tr w:rsidR="005171B2" w:rsidRPr="000063FC" w:rsidTr="00171153">
        <w:trPr>
          <w:trHeight w:val="300"/>
        </w:trPr>
        <w:tc>
          <w:tcPr>
            <w:tcW w:w="91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b/>
                <w:bCs/>
                <w:color w:val="000000"/>
                <w:sz w:val="18"/>
                <w:szCs w:val="18"/>
              </w:rPr>
            </w:pPr>
            <w:r w:rsidRPr="000063FC">
              <w:rPr>
                <w:rFonts w:asciiTheme="minorHAnsi" w:hAnsiTheme="minorHAnsi"/>
                <w:b/>
                <w:bCs/>
                <w:color w:val="000000"/>
                <w:sz w:val="18"/>
                <w:szCs w:val="18"/>
              </w:rPr>
              <w:t>Stambene zgrade</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1.</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Subvencija za rekonstrukciju toplinske zaštite vanjske ovojnice i sanaciju krovišta stambenih zgrada</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98.910</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Subvencija ugradnje solarnih kolektora za 3000 kuća/stanova</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2.694</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3.</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Subvencija zamjene kotlova na lož ulje kotlovima na pelete za kuće/stanove</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45.780</w:t>
            </w:r>
          </w:p>
        </w:tc>
      </w:tr>
      <w:tr w:rsidR="005171B2" w:rsidRPr="000063FC" w:rsidTr="00E20A31">
        <w:trPr>
          <w:trHeight w:val="300"/>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Subvencioniranje uvođenja mjerenja potrošnje toplinske energije za zgrade koje se griju iz  toplane u svaki stan</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64.150</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5.</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 xml:space="preserve">Solarna priprema tople vode i izolacija zgrada u Zapruđu </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1.095</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6.</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Poticanje kupovine energetski učinkovitih električnih uređaja za stambene zgrade</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15.940</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7.</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Uvođenje štednih žarulja u sve stambene zgrade</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31.875</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20A31" w:rsidRPr="000063FC" w:rsidRDefault="005171B2" w:rsidP="00E20A31">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8.</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Donošenje Pravilnika o obvezi ugradnje solarnih kolektora za pripremu PTV u nove zgrade</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3.774</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9.</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Poticanje gradnje pasivnih i nisko-energetskih obiteljskih kuća i stambenih zgrada</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2.121</w:t>
            </w:r>
          </w:p>
        </w:tc>
      </w:tr>
    </w:tbl>
    <w:p w:rsidR="00E20A31" w:rsidRPr="000063FC" w:rsidRDefault="00E20A31"/>
    <w:tbl>
      <w:tblPr>
        <w:tblW w:w="0" w:type="auto"/>
        <w:tblInd w:w="98" w:type="dxa"/>
        <w:tblLayout w:type="fixed"/>
        <w:tblLook w:val="04A0" w:firstRow="1" w:lastRow="0" w:firstColumn="1" w:lastColumn="0" w:noHBand="0" w:noVBand="1"/>
      </w:tblPr>
      <w:tblGrid>
        <w:gridCol w:w="1003"/>
        <w:gridCol w:w="6804"/>
        <w:gridCol w:w="1384"/>
      </w:tblGrid>
      <w:tr w:rsidR="005171B2" w:rsidRPr="000063FC" w:rsidTr="00171153">
        <w:trPr>
          <w:trHeight w:val="300"/>
        </w:trPr>
        <w:tc>
          <w:tcPr>
            <w:tcW w:w="91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b/>
                <w:bCs/>
                <w:color w:val="000000"/>
                <w:sz w:val="18"/>
                <w:szCs w:val="18"/>
              </w:rPr>
            </w:pPr>
            <w:r w:rsidRPr="000063FC">
              <w:rPr>
                <w:rFonts w:asciiTheme="minorHAnsi" w:hAnsiTheme="minorHAnsi"/>
                <w:b/>
                <w:bCs/>
                <w:color w:val="000000"/>
                <w:sz w:val="18"/>
                <w:szCs w:val="18"/>
              </w:rPr>
              <w:t>Zgrade komercijalnih i uslužnih djelatnosti</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lastRenderedPageBreak/>
              <w:t>1.</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Uvjetovanje dobivanja poticaja poboljšanjem toplinske izolacije zgrade</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30.400</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2.</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Uvjetovanje dobivanja poticaja korištenjem obnovljivih izvora energije</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15.200</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3.</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Poticanje kupovine energetski učinkovitih električnih uređaja za postojeće zgrade</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9.740</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4.</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Ugradnja štednih žarulja za komercijalni i uslužni sektor</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9.740</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5.</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Smanjene komunalne naknade za nove zgrade u komercijalnom i uslužnom sektoru toplinskih karakteristika boljih od važećih propisa</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930</w:t>
            </w:r>
          </w:p>
        </w:tc>
      </w:tr>
      <w:tr w:rsidR="005171B2" w:rsidRPr="000063FC" w:rsidTr="00E20A31">
        <w:trPr>
          <w:trHeight w:val="30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6.</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Smanjene komunalne naknade za nove zgrade u komercijalnom i uslužnom sektoru koje koriste obnovljive izvore energije</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745</w:t>
            </w:r>
          </w:p>
        </w:tc>
      </w:tr>
      <w:tr w:rsidR="005171B2" w:rsidRPr="000063FC" w:rsidTr="00E20A31">
        <w:trPr>
          <w:trHeight w:val="31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rFonts w:asciiTheme="minorHAnsi" w:hAnsiTheme="minorHAnsi"/>
                <w:color w:val="000000"/>
                <w:sz w:val="18"/>
                <w:szCs w:val="18"/>
              </w:rPr>
            </w:pPr>
            <w:r w:rsidRPr="000063FC">
              <w:rPr>
                <w:rFonts w:asciiTheme="minorHAnsi" w:hAnsiTheme="minorHAnsi"/>
                <w:color w:val="000000"/>
                <w:sz w:val="18"/>
                <w:szCs w:val="18"/>
              </w:rPr>
              <w:t>7.</w:t>
            </w:r>
          </w:p>
        </w:tc>
        <w:tc>
          <w:tcPr>
            <w:tcW w:w="680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rFonts w:asciiTheme="minorHAnsi" w:hAnsiTheme="minorHAnsi"/>
                <w:color w:val="000000"/>
                <w:sz w:val="18"/>
                <w:szCs w:val="18"/>
              </w:rPr>
            </w:pPr>
            <w:r w:rsidRPr="000063FC">
              <w:rPr>
                <w:rFonts w:asciiTheme="minorHAnsi" w:hAnsiTheme="minorHAnsi"/>
                <w:color w:val="000000"/>
                <w:sz w:val="18"/>
                <w:szCs w:val="18"/>
              </w:rPr>
              <w:t>Poticanje kupovine energetski učinkovitih električnih uređaja za nove zgrade</w:t>
            </w:r>
          </w:p>
        </w:tc>
        <w:tc>
          <w:tcPr>
            <w:tcW w:w="1384"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rFonts w:asciiTheme="minorHAnsi" w:hAnsiTheme="minorHAnsi"/>
                <w:color w:val="000000"/>
                <w:sz w:val="18"/>
                <w:szCs w:val="18"/>
              </w:rPr>
            </w:pPr>
            <w:r w:rsidRPr="000063FC">
              <w:rPr>
                <w:rFonts w:asciiTheme="minorHAnsi" w:hAnsiTheme="minorHAnsi"/>
                <w:color w:val="000000"/>
                <w:sz w:val="18"/>
                <w:szCs w:val="18"/>
              </w:rPr>
              <w:t>677</w:t>
            </w:r>
          </w:p>
        </w:tc>
      </w:tr>
    </w:tbl>
    <w:p w:rsidR="005171B2" w:rsidRPr="000063FC" w:rsidRDefault="005171B2" w:rsidP="005171B2">
      <w:pPr>
        <w:spacing w:line="276" w:lineRule="auto"/>
      </w:pPr>
    </w:p>
    <w:p w:rsidR="005171B2" w:rsidRPr="000063FC" w:rsidRDefault="00F56931" w:rsidP="006A3F3E">
      <w:pPr>
        <w:pStyle w:val="Heading2"/>
      </w:pPr>
      <w:bookmarkStart w:id="281" w:name="_Toc254010219"/>
      <w:r w:rsidRPr="000063FC">
        <w:rPr>
          <w:caps w:val="0"/>
        </w:rPr>
        <w:t>SMANJENJE EMISIJE CO</w:t>
      </w:r>
      <w:r w:rsidRPr="000063FC">
        <w:rPr>
          <w:caps w:val="0"/>
          <w:vertAlign w:val="subscript"/>
        </w:rPr>
        <w:t>2</w:t>
      </w:r>
      <w:r w:rsidRPr="000063FC">
        <w:rPr>
          <w:caps w:val="0"/>
        </w:rPr>
        <w:t xml:space="preserve"> U SEKTORU PROMETA</w:t>
      </w:r>
      <w:bookmarkEnd w:id="281"/>
    </w:p>
    <w:p w:rsidR="005171B2" w:rsidRPr="000063FC" w:rsidRDefault="005171B2" w:rsidP="005171B2">
      <w:pPr>
        <w:spacing w:line="276" w:lineRule="auto"/>
      </w:pPr>
      <w:r w:rsidRPr="000063FC">
        <w:t>Smanjenje emisija CO</w:t>
      </w:r>
      <w:r w:rsidRPr="000063FC">
        <w:rPr>
          <w:vertAlign w:val="subscript"/>
        </w:rPr>
        <w:t>2</w:t>
      </w:r>
      <w:r w:rsidRPr="000063FC">
        <w:t xml:space="preserve"> provedbom identificiranih mjera u sektoru prometa prikazano je u tablici </w:t>
      </w:r>
      <w:r w:rsidR="006A3F3E" w:rsidRPr="000063FC">
        <w:t>6.2.</w:t>
      </w:r>
      <w:r w:rsidRPr="000063FC">
        <w:t xml:space="preserve"> </w:t>
      </w:r>
    </w:p>
    <w:p w:rsidR="00976368" w:rsidRPr="000063FC" w:rsidRDefault="00976368" w:rsidP="005171B2">
      <w:pPr>
        <w:spacing w:line="276" w:lineRule="auto"/>
      </w:pPr>
    </w:p>
    <w:p w:rsidR="00976368" w:rsidRPr="000063FC" w:rsidRDefault="00976368" w:rsidP="00B33E2F">
      <w:pPr>
        <w:pStyle w:val="Heading6"/>
      </w:pPr>
      <w:bookmarkStart w:id="282" w:name="_Toc254010277"/>
      <w:r w:rsidRPr="000063FC">
        <w:t>Tablica 6.2: Smanjenje emisije CO</w:t>
      </w:r>
      <w:r w:rsidRPr="000063FC">
        <w:rPr>
          <w:vertAlign w:val="subscript"/>
        </w:rPr>
        <w:t>2</w:t>
      </w:r>
      <w:r w:rsidRPr="000063FC">
        <w:t xml:space="preserve"> u sektoru prometa</w:t>
      </w:r>
      <w:bookmarkEnd w:id="282"/>
    </w:p>
    <w:tbl>
      <w:tblPr>
        <w:tblStyle w:val="LightList-Accent5"/>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56"/>
        <w:gridCol w:w="6034"/>
        <w:gridCol w:w="2063"/>
      </w:tblGrid>
      <w:tr w:rsidR="005171B2" w:rsidRPr="000063FC" w:rsidTr="00E20A3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5171B2" w:rsidRPr="000063FC" w:rsidRDefault="005171B2" w:rsidP="00E20A31">
            <w:pPr>
              <w:spacing w:line="276" w:lineRule="auto"/>
              <w:jc w:val="center"/>
              <w:rPr>
                <w:b w:val="0"/>
                <w:bCs w:val="0"/>
                <w:sz w:val="18"/>
                <w:szCs w:val="18"/>
              </w:rPr>
            </w:pPr>
            <w:r w:rsidRPr="000063FC">
              <w:rPr>
                <w:b w:val="0"/>
                <w:bCs w:val="0"/>
                <w:sz w:val="18"/>
                <w:szCs w:val="18"/>
              </w:rPr>
              <w:t>Podsektor</w:t>
            </w:r>
          </w:p>
        </w:tc>
        <w:tc>
          <w:tcPr>
            <w:tcW w:w="0" w:type="auto"/>
            <w:vAlign w:val="center"/>
            <w:hideMark/>
          </w:tcPr>
          <w:p w:rsidR="005171B2" w:rsidRPr="000063FC" w:rsidRDefault="005171B2" w:rsidP="00E20A3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0063FC">
              <w:rPr>
                <w:b w:val="0"/>
                <w:bCs w:val="0"/>
                <w:sz w:val="18"/>
                <w:szCs w:val="18"/>
              </w:rPr>
              <w:t>Mjera</w:t>
            </w:r>
          </w:p>
        </w:tc>
        <w:tc>
          <w:tcPr>
            <w:tcW w:w="0" w:type="auto"/>
            <w:noWrap/>
            <w:vAlign w:val="center"/>
            <w:hideMark/>
          </w:tcPr>
          <w:p w:rsidR="005171B2" w:rsidRPr="000063FC" w:rsidRDefault="0059088E" w:rsidP="00E20A3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0063FC">
              <w:rPr>
                <w:b w:val="0"/>
                <w:bCs w:val="0"/>
                <w:sz w:val="18"/>
                <w:szCs w:val="18"/>
              </w:rPr>
              <w:t>Smanjenje emisije CO</w:t>
            </w:r>
            <w:r w:rsidRPr="000063FC">
              <w:rPr>
                <w:b w:val="0"/>
                <w:bCs w:val="0"/>
                <w:sz w:val="18"/>
                <w:szCs w:val="18"/>
                <w:vertAlign w:val="subscript"/>
              </w:rPr>
              <w:t>2</w:t>
            </w:r>
            <w:r w:rsidR="005171B2" w:rsidRPr="000063FC">
              <w:rPr>
                <w:b w:val="0"/>
                <w:bCs w:val="0"/>
                <w:sz w:val="18"/>
                <w:szCs w:val="18"/>
              </w:rPr>
              <w:t xml:space="preserve"> (t)</w:t>
            </w:r>
          </w:p>
        </w:tc>
      </w:tr>
      <w:tr w:rsidR="005171B2" w:rsidRPr="000063FC" w:rsidTr="00E20A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gridSpan w:val="3"/>
            <w:tcBorders>
              <w:top w:val="none" w:sz="0" w:space="0" w:color="auto"/>
              <w:left w:val="none" w:sz="0" w:space="0" w:color="auto"/>
              <w:bottom w:val="none" w:sz="0" w:space="0" w:color="auto"/>
              <w:right w:val="none" w:sz="0" w:space="0" w:color="auto"/>
            </w:tcBorders>
            <w:noWrap/>
            <w:hideMark/>
          </w:tcPr>
          <w:p w:rsidR="005171B2" w:rsidRPr="000063FC" w:rsidRDefault="005171B2" w:rsidP="006A3F3E">
            <w:pPr>
              <w:spacing w:line="276" w:lineRule="auto"/>
              <w:jc w:val="left"/>
              <w:rPr>
                <w:bCs w:val="0"/>
                <w:color w:val="000000"/>
                <w:sz w:val="18"/>
                <w:szCs w:val="18"/>
              </w:rPr>
            </w:pPr>
            <w:r w:rsidRPr="000063FC">
              <w:rPr>
                <w:bCs w:val="0"/>
                <w:color w:val="000000"/>
                <w:sz w:val="18"/>
                <w:szCs w:val="18"/>
              </w:rPr>
              <w:t>Planske, promotivne, informativne i obrazovne mjere i aktivnosti</w:t>
            </w:r>
          </w:p>
        </w:tc>
      </w:tr>
      <w:tr w:rsidR="005171B2" w:rsidRPr="000063FC" w:rsidTr="00E20A31">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rsidR="005171B2" w:rsidRPr="000063FC" w:rsidRDefault="005171B2" w:rsidP="006A3F3E">
            <w:pPr>
              <w:spacing w:line="276" w:lineRule="auto"/>
              <w:jc w:val="center"/>
              <w:rPr>
                <w:b w:val="0"/>
                <w:color w:val="000000"/>
                <w:sz w:val="18"/>
                <w:szCs w:val="18"/>
              </w:rPr>
            </w:pPr>
            <w:r w:rsidRPr="000063FC">
              <w:rPr>
                <w:b w:val="0"/>
                <w:color w:val="000000"/>
                <w:sz w:val="18"/>
                <w:szCs w:val="18"/>
              </w:rPr>
              <w:t>1.</w:t>
            </w:r>
          </w:p>
        </w:tc>
        <w:tc>
          <w:tcPr>
            <w:tcW w:w="0" w:type="auto"/>
            <w:noWrap/>
            <w:hideMark/>
          </w:tcPr>
          <w:p w:rsidR="005171B2" w:rsidRPr="000063FC" w:rsidRDefault="005171B2" w:rsidP="006A3F3E">
            <w:pPr>
              <w:spacing w:line="276" w:lineRule="auto"/>
              <w:jc w:val="left"/>
              <w:cnfStyle w:val="000000000000" w:firstRow="0" w:lastRow="0" w:firstColumn="0" w:lastColumn="0" w:oddVBand="0" w:evenVBand="0" w:oddHBand="0" w:evenHBand="0" w:firstRowFirstColumn="0" w:firstRowLastColumn="0" w:lastRowFirstColumn="0" w:lastRowLastColumn="0"/>
              <w:rPr>
                <w:color w:val="000000"/>
                <w:sz w:val="18"/>
                <w:szCs w:val="18"/>
              </w:rPr>
            </w:pPr>
            <w:r w:rsidRPr="000063FC">
              <w:rPr>
                <w:color w:val="000000"/>
                <w:sz w:val="18"/>
                <w:szCs w:val="18"/>
              </w:rPr>
              <w:t xml:space="preserve">Uvođenje naknada za prometno onečišćenje u centru Grada Zagreba </w:t>
            </w:r>
          </w:p>
        </w:tc>
        <w:tc>
          <w:tcPr>
            <w:tcW w:w="0" w:type="auto"/>
            <w:noWrap/>
            <w:hideMark/>
          </w:tcPr>
          <w:p w:rsidR="005171B2" w:rsidRPr="000063FC" w:rsidRDefault="005171B2" w:rsidP="0059088E">
            <w:pPr>
              <w:spacing w:line="276" w:lineRule="auto"/>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0063FC">
              <w:rPr>
                <w:color w:val="000000"/>
                <w:sz w:val="18"/>
                <w:szCs w:val="18"/>
              </w:rPr>
              <w:t>9.060</w:t>
            </w:r>
          </w:p>
        </w:tc>
      </w:tr>
      <w:tr w:rsidR="005171B2" w:rsidRPr="000063FC" w:rsidTr="00E20A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noWrap/>
            <w:hideMark/>
          </w:tcPr>
          <w:p w:rsidR="005171B2" w:rsidRPr="000063FC" w:rsidRDefault="005171B2" w:rsidP="006A3F3E">
            <w:pPr>
              <w:spacing w:line="276" w:lineRule="auto"/>
              <w:jc w:val="center"/>
              <w:rPr>
                <w:b w:val="0"/>
                <w:color w:val="000000"/>
                <w:sz w:val="18"/>
                <w:szCs w:val="18"/>
              </w:rPr>
            </w:pPr>
            <w:r w:rsidRPr="000063FC">
              <w:rPr>
                <w:b w:val="0"/>
                <w:color w:val="000000"/>
                <w:sz w:val="18"/>
                <w:szCs w:val="18"/>
              </w:rPr>
              <w:t>2.</w:t>
            </w:r>
          </w:p>
        </w:tc>
        <w:tc>
          <w:tcPr>
            <w:tcW w:w="0" w:type="auto"/>
            <w:tcBorders>
              <w:top w:val="none" w:sz="0" w:space="0" w:color="auto"/>
              <w:bottom w:val="none" w:sz="0" w:space="0" w:color="auto"/>
            </w:tcBorders>
            <w:noWrap/>
            <w:hideMark/>
          </w:tcPr>
          <w:p w:rsidR="005171B2" w:rsidRPr="000063FC" w:rsidRDefault="005171B2" w:rsidP="006A3F3E">
            <w:pPr>
              <w:spacing w:line="276" w:lineRule="auto"/>
              <w:jc w:val="left"/>
              <w:cnfStyle w:val="000000100000" w:firstRow="0" w:lastRow="0" w:firstColumn="0" w:lastColumn="0" w:oddVBand="0" w:evenVBand="0" w:oddHBand="1" w:evenHBand="0" w:firstRowFirstColumn="0" w:firstRowLastColumn="0" w:lastRowFirstColumn="0" w:lastRowLastColumn="0"/>
              <w:rPr>
                <w:color w:val="000000"/>
                <w:sz w:val="18"/>
                <w:szCs w:val="18"/>
              </w:rPr>
            </w:pPr>
            <w:r w:rsidRPr="000063FC">
              <w:rPr>
                <w:color w:val="000000"/>
                <w:sz w:val="18"/>
                <w:szCs w:val="18"/>
              </w:rPr>
              <w:t>Informiranje i treniranje ekološki prihvatljivog načina vožnje (auto škole)</w:t>
            </w:r>
          </w:p>
        </w:tc>
        <w:tc>
          <w:tcPr>
            <w:tcW w:w="0" w:type="auto"/>
            <w:tcBorders>
              <w:top w:val="none" w:sz="0" w:space="0" w:color="auto"/>
              <w:bottom w:val="none" w:sz="0" w:space="0" w:color="auto"/>
              <w:right w:val="none" w:sz="0" w:space="0" w:color="auto"/>
            </w:tcBorders>
            <w:noWrap/>
            <w:hideMark/>
          </w:tcPr>
          <w:p w:rsidR="005171B2" w:rsidRPr="000063FC" w:rsidRDefault="005171B2" w:rsidP="0059088E">
            <w:pPr>
              <w:spacing w:line="276" w:lineRule="auto"/>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63FC">
              <w:rPr>
                <w:color w:val="000000"/>
                <w:sz w:val="18"/>
                <w:szCs w:val="18"/>
              </w:rPr>
              <w:t>10.050</w:t>
            </w:r>
          </w:p>
        </w:tc>
      </w:tr>
      <w:tr w:rsidR="005171B2" w:rsidRPr="000063FC" w:rsidTr="00E20A31">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rsidR="005171B2" w:rsidRPr="000063FC" w:rsidRDefault="005171B2" w:rsidP="006A3F3E">
            <w:pPr>
              <w:spacing w:line="276" w:lineRule="auto"/>
              <w:jc w:val="center"/>
              <w:rPr>
                <w:b w:val="0"/>
                <w:color w:val="000000"/>
                <w:sz w:val="18"/>
                <w:szCs w:val="18"/>
              </w:rPr>
            </w:pPr>
            <w:r w:rsidRPr="000063FC">
              <w:rPr>
                <w:b w:val="0"/>
                <w:color w:val="000000"/>
                <w:sz w:val="18"/>
                <w:szCs w:val="18"/>
              </w:rPr>
              <w:t>3.</w:t>
            </w:r>
          </w:p>
        </w:tc>
        <w:tc>
          <w:tcPr>
            <w:tcW w:w="0" w:type="auto"/>
            <w:noWrap/>
            <w:hideMark/>
          </w:tcPr>
          <w:p w:rsidR="005171B2" w:rsidRPr="000063FC" w:rsidRDefault="005171B2" w:rsidP="006A3F3E">
            <w:pPr>
              <w:spacing w:line="276" w:lineRule="auto"/>
              <w:jc w:val="left"/>
              <w:cnfStyle w:val="000000000000" w:firstRow="0" w:lastRow="0" w:firstColumn="0" w:lastColumn="0" w:oddVBand="0" w:evenVBand="0" w:oddHBand="0" w:evenHBand="0" w:firstRowFirstColumn="0" w:firstRowLastColumn="0" w:lastRowFirstColumn="0" w:lastRowLastColumn="0"/>
              <w:rPr>
                <w:color w:val="000000"/>
                <w:sz w:val="18"/>
                <w:szCs w:val="18"/>
              </w:rPr>
            </w:pPr>
            <w:r w:rsidRPr="000063FC">
              <w:rPr>
                <w:color w:val="000000"/>
                <w:sz w:val="18"/>
                <w:szCs w:val="18"/>
              </w:rPr>
              <w:t xml:space="preserve">Kampanja </w:t>
            </w:r>
            <w:r w:rsidRPr="000063FC">
              <w:rPr>
                <w:bCs/>
                <w:i/>
                <w:iCs/>
                <w:color w:val="000000"/>
                <w:sz w:val="18"/>
                <w:szCs w:val="18"/>
              </w:rPr>
              <w:t>Jedan dan tjedno bez automobila</w:t>
            </w:r>
          </w:p>
        </w:tc>
        <w:tc>
          <w:tcPr>
            <w:tcW w:w="0" w:type="auto"/>
            <w:noWrap/>
            <w:hideMark/>
          </w:tcPr>
          <w:p w:rsidR="005171B2" w:rsidRPr="000063FC" w:rsidRDefault="005171B2" w:rsidP="0059088E">
            <w:pPr>
              <w:spacing w:line="276" w:lineRule="auto"/>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0063FC">
              <w:rPr>
                <w:color w:val="000000"/>
                <w:sz w:val="18"/>
                <w:szCs w:val="18"/>
              </w:rPr>
              <w:t>7.154</w:t>
            </w:r>
          </w:p>
        </w:tc>
      </w:tr>
      <w:tr w:rsidR="005171B2" w:rsidRPr="000063FC" w:rsidTr="00E20A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gridSpan w:val="3"/>
            <w:tcBorders>
              <w:top w:val="none" w:sz="0" w:space="0" w:color="auto"/>
              <w:left w:val="none" w:sz="0" w:space="0" w:color="auto"/>
              <w:bottom w:val="none" w:sz="0" w:space="0" w:color="auto"/>
              <w:right w:val="none" w:sz="0" w:space="0" w:color="auto"/>
            </w:tcBorders>
            <w:noWrap/>
            <w:hideMark/>
          </w:tcPr>
          <w:p w:rsidR="005171B2" w:rsidRPr="000063FC" w:rsidRDefault="005171B2" w:rsidP="006A3F3E">
            <w:pPr>
              <w:spacing w:line="276" w:lineRule="auto"/>
              <w:jc w:val="left"/>
              <w:rPr>
                <w:bCs w:val="0"/>
                <w:color w:val="000000"/>
                <w:sz w:val="18"/>
                <w:szCs w:val="18"/>
              </w:rPr>
            </w:pPr>
            <w:r w:rsidRPr="000063FC">
              <w:rPr>
                <w:bCs w:val="0"/>
                <w:color w:val="000000"/>
                <w:sz w:val="18"/>
                <w:szCs w:val="18"/>
              </w:rPr>
              <w:t>Vozila u vlasništvu i korištenju Grada Zagreba</w:t>
            </w:r>
          </w:p>
        </w:tc>
      </w:tr>
      <w:tr w:rsidR="005171B2" w:rsidRPr="000063FC" w:rsidTr="00E20A31">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rsidR="005171B2" w:rsidRPr="000063FC" w:rsidRDefault="005171B2" w:rsidP="006A3F3E">
            <w:pPr>
              <w:spacing w:line="276" w:lineRule="auto"/>
              <w:jc w:val="center"/>
              <w:rPr>
                <w:b w:val="0"/>
                <w:color w:val="000000"/>
                <w:sz w:val="18"/>
                <w:szCs w:val="18"/>
              </w:rPr>
            </w:pPr>
            <w:r w:rsidRPr="000063FC">
              <w:rPr>
                <w:b w:val="0"/>
                <w:color w:val="000000"/>
                <w:sz w:val="18"/>
                <w:szCs w:val="18"/>
              </w:rPr>
              <w:t>1.</w:t>
            </w:r>
          </w:p>
        </w:tc>
        <w:tc>
          <w:tcPr>
            <w:tcW w:w="0" w:type="auto"/>
            <w:noWrap/>
            <w:hideMark/>
          </w:tcPr>
          <w:p w:rsidR="005171B2" w:rsidRPr="000063FC" w:rsidRDefault="005171B2" w:rsidP="006A3F3E">
            <w:pPr>
              <w:spacing w:line="276" w:lineRule="auto"/>
              <w:jc w:val="left"/>
              <w:cnfStyle w:val="000000000000" w:firstRow="0" w:lastRow="0" w:firstColumn="0" w:lastColumn="0" w:oddVBand="0" w:evenVBand="0" w:oddHBand="0" w:evenHBand="0" w:firstRowFirstColumn="0" w:firstRowLastColumn="0" w:lastRowFirstColumn="0" w:lastRowLastColumn="0"/>
              <w:rPr>
                <w:color w:val="000000"/>
                <w:sz w:val="18"/>
                <w:szCs w:val="18"/>
              </w:rPr>
            </w:pPr>
            <w:r w:rsidRPr="000063FC">
              <w:rPr>
                <w:color w:val="000000"/>
                <w:sz w:val="18"/>
                <w:szCs w:val="18"/>
              </w:rPr>
              <w:t>Uvođenje Zelene javne nabave za sva vozila u vlasništvu Grada Zagreba</w:t>
            </w:r>
          </w:p>
        </w:tc>
        <w:tc>
          <w:tcPr>
            <w:tcW w:w="0" w:type="auto"/>
            <w:noWrap/>
            <w:hideMark/>
          </w:tcPr>
          <w:p w:rsidR="005171B2" w:rsidRPr="000063FC" w:rsidRDefault="005171B2" w:rsidP="0059088E">
            <w:pPr>
              <w:spacing w:line="276" w:lineRule="auto"/>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0063FC">
              <w:rPr>
                <w:color w:val="000000"/>
                <w:sz w:val="18"/>
                <w:szCs w:val="18"/>
              </w:rPr>
              <w:t>130</w:t>
            </w:r>
          </w:p>
        </w:tc>
      </w:tr>
      <w:tr w:rsidR="005171B2" w:rsidRPr="000063FC" w:rsidTr="00E20A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noWrap/>
            <w:hideMark/>
          </w:tcPr>
          <w:p w:rsidR="005171B2" w:rsidRPr="000063FC" w:rsidRDefault="005171B2" w:rsidP="006A3F3E">
            <w:pPr>
              <w:spacing w:line="276" w:lineRule="auto"/>
              <w:jc w:val="center"/>
              <w:rPr>
                <w:b w:val="0"/>
                <w:color w:val="000000"/>
                <w:sz w:val="18"/>
                <w:szCs w:val="18"/>
              </w:rPr>
            </w:pPr>
            <w:r w:rsidRPr="000063FC">
              <w:rPr>
                <w:b w:val="0"/>
                <w:color w:val="000000"/>
                <w:sz w:val="18"/>
                <w:szCs w:val="18"/>
              </w:rPr>
              <w:t>2.</w:t>
            </w:r>
          </w:p>
        </w:tc>
        <w:tc>
          <w:tcPr>
            <w:tcW w:w="0" w:type="auto"/>
            <w:tcBorders>
              <w:top w:val="none" w:sz="0" w:space="0" w:color="auto"/>
              <w:bottom w:val="none" w:sz="0" w:space="0" w:color="auto"/>
            </w:tcBorders>
            <w:noWrap/>
            <w:hideMark/>
          </w:tcPr>
          <w:p w:rsidR="005171B2" w:rsidRPr="000063FC" w:rsidRDefault="005171B2" w:rsidP="006A3F3E">
            <w:pPr>
              <w:spacing w:line="276" w:lineRule="auto"/>
              <w:jc w:val="left"/>
              <w:cnfStyle w:val="000000100000" w:firstRow="0" w:lastRow="0" w:firstColumn="0" w:lastColumn="0" w:oddVBand="0" w:evenVBand="0" w:oddHBand="1" w:evenHBand="0" w:firstRowFirstColumn="0" w:firstRowLastColumn="0" w:lastRowFirstColumn="0" w:lastRowLastColumn="0"/>
              <w:rPr>
                <w:color w:val="000000"/>
                <w:sz w:val="18"/>
                <w:szCs w:val="18"/>
              </w:rPr>
            </w:pPr>
            <w:r w:rsidRPr="000063FC">
              <w:rPr>
                <w:color w:val="000000"/>
                <w:sz w:val="18"/>
                <w:szCs w:val="18"/>
              </w:rPr>
              <w:t>Car sharing za djelatnike istog poduzeća grada Zagreba odnosno gradske uprave</w:t>
            </w:r>
          </w:p>
        </w:tc>
        <w:tc>
          <w:tcPr>
            <w:tcW w:w="0" w:type="auto"/>
            <w:tcBorders>
              <w:top w:val="none" w:sz="0" w:space="0" w:color="auto"/>
              <w:bottom w:val="none" w:sz="0" w:space="0" w:color="auto"/>
              <w:right w:val="none" w:sz="0" w:space="0" w:color="auto"/>
            </w:tcBorders>
            <w:noWrap/>
            <w:hideMark/>
          </w:tcPr>
          <w:p w:rsidR="005171B2" w:rsidRPr="000063FC" w:rsidRDefault="005171B2" w:rsidP="0059088E">
            <w:pPr>
              <w:spacing w:line="276" w:lineRule="auto"/>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63FC">
              <w:rPr>
                <w:color w:val="000000"/>
                <w:sz w:val="18"/>
                <w:szCs w:val="18"/>
              </w:rPr>
              <w:t>4.292</w:t>
            </w:r>
          </w:p>
        </w:tc>
      </w:tr>
      <w:tr w:rsidR="005171B2" w:rsidRPr="000063FC" w:rsidTr="00E20A31">
        <w:trPr>
          <w:trHeight w:val="340"/>
        </w:trPr>
        <w:tc>
          <w:tcPr>
            <w:cnfStyle w:val="001000000000" w:firstRow="0" w:lastRow="0" w:firstColumn="1" w:lastColumn="0" w:oddVBand="0" w:evenVBand="0" w:oddHBand="0" w:evenHBand="0" w:firstRowFirstColumn="0" w:firstRowLastColumn="0" w:lastRowFirstColumn="0" w:lastRowLastColumn="0"/>
            <w:tcW w:w="0" w:type="auto"/>
            <w:gridSpan w:val="3"/>
            <w:noWrap/>
            <w:hideMark/>
          </w:tcPr>
          <w:p w:rsidR="005171B2" w:rsidRPr="000063FC" w:rsidRDefault="005171B2" w:rsidP="006A3F3E">
            <w:pPr>
              <w:spacing w:line="276" w:lineRule="auto"/>
              <w:jc w:val="left"/>
              <w:rPr>
                <w:bCs w:val="0"/>
                <w:color w:val="000000"/>
                <w:sz w:val="18"/>
                <w:szCs w:val="18"/>
              </w:rPr>
            </w:pPr>
            <w:r w:rsidRPr="000063FC">
              <w:rPr>
                <w:bCs w:val="0"/>
                <w:color w:val="000000"/>
                <w:sz w:val="18"/>
                <w:szCs w:val="18"/>
              </w:rPr>
              <w:t>Javni prijevoz</w:t>
            </w:r>
          </w:p>
        </w:tc>
      </w:tr>
      <w:tr w:rsidR="005171B2" w:rsidRPr="000063FC" w:rsidTr="00E20A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noWrap/>
            <w:hideMark/>
          </w:tcPr>
          <w:p w:rsidR="005171B2" w:rsidRPr="000063FC" w:rsidRDefault="005171B2" w:rsidP="006A3F3E">
            <w:pPr>
              <w:spacing w:line="276" w:lineRule="auto"/>
              <w:jc w:val="center"/>
              <w:rPr>
                <w:color w:val="000000"/>
                <w:sz w:val="18"/>
                <w:szCs w:val="18"/>
              </w:rPr>
            </w:pPr>
            <w:r w:rsidRPr="000063FC">
              <w:rPr>
                <w:b w:val="0"/>
                <w:color w:val="000000"/>
                <w:sz w:val="18"/>
                <w:szCs w:val="18"/>
              </w:rPr>
              <w:t>1</w:t>
            </w:r>
            <w:r w:rsidRPr="000063FC">
              <w:rPr>
                <w:color w:val="000000"/>
                <w:sz w:val="18"/>
                <w:szCs w:val="18"/>
              </w:rPr>
              <w:t>.</w:t>
            </w:r>
          </w:p>
        </w:tc>
        <w:tc>
          <w:tcPr>
            <w:tcW w:w="0" w:type="auto"/>
            <w:tcBorders>
              <w:top w:val="none" w:sz="0" w:space="0" w:color="auto"/>
              <w:bottom w:val="none" w:sz="0" w:space="0" w:color="auto"/>
            </w:tcBorders>
            <w:noWrap/>
            <w:hideMark/>
          </w:tcPr>
          <w:p w:rsidR="005171B2" w:rsidRPr="000063FC" w:rsidRDefault="005171B2" w:rsidP="006A3F3E">
            <w:pPr>
              <w:spacing w:line="276" w:lineRule="auto"/>
              <w:jc w:val="left"/>
              <w:cnfStyle w:val="000000100000" w:firstRow="0" w:lastRow="0" w:firstColumn="0" w:lastColumn="0" w:oddVBand="0" w:evenVBand="0" w:oddHBand="1" w:evenHBand="0" w:firstRowFirstColumn="0" w:firstRowLastColumn="0" w:lastRowFirstColumn="0" w:lastRowLastColumn="0"/>
              <w:rPr>
                <w:color w:val="000000"/>
                <w:sz w:val="18"/>
                <w:szCs w:val="18"/>
              </w:rPr>
            </w:pPr>
            <w:r w:rsidRPr="000063FC">
              <w:rPr>
                <w:color w:val="000000"/>
                <w:sz w:val="18"/>
                <w:szCs w:val="18"/>
              </w:rPr>
              <w:t>Uspostava mreže bicikala za iznajmljivanje opremljenih IT zaštitom od krađe</w:t>
            </w:r>
          </w:p>
        </w:tc>
        <w:tc>
          <w:tcPr>
            <w:tcW w:w="0" w:type="auto"/>
            <w:tcBorders>
              <w:top w:val="none" w:sz="0" w:space="0" w:color="auto"/>
              <w:bottom w:val="none" w:sz="0" w:space="0" w:color="auto"/>
              <w:right w:val="none" w:sz="0" w:space="0" w:color="auto"/>
            </w:tcBorders>
            <w:noWrap/>
            <w:hideMark/>
          </w:tcPr>
          <w:p w:rsidR="005171B2" w:rsidRPr="000063FC" w:rsidRDefault="005171B2" w:rsidP="0059088E">
            <w:pPr>
              <w:spacing w:line="276" w:lineRule="auto"/>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63FC">
              <w:rPr>
                <w:color w:val="000000"/>
                <w:sz w:val="18"/>
                <w:szCs w:val="18"/>
              </w:rPr>
              <w:t>1540</w:t>
            </w:r>
          </w:p>
        </w:tc>
      </w:tr>
      <w:tr w:rsidR="005171B2" w:rsidRPr="000063FC" w:rsidTr="00E20A31">
        <w:trPr>
          <w:trHeight w:val="340"/>
        </w:trPr>
        <w:tc>
          <w:tcPr>
            <w:cnfStyle w:val="001000000000" w:firstRow="0" w:lastRow="0" w:firstColumn="1" w:lastColumn="0" w:oddVBand="0" w:evenVBand="0" w:oddHBand="0" w:evenHBand="0" w:firstRowFirstColumn="0" w:firstRowLastColumn="0" w:lastRowFirstColumn="0" w:lastRowLastColumn="0"/>
            <w:tcW w:w="0" w:type="auto"/>
            <w:gridSpan w:val="3"/>
            <w:noWrap/>
            <w:hideMark/>
          </w:tcPr>
          <w:p w:rsidR="005171B2" w:rsidRPr="000063FC" w:rsidRDefault="005171B2" w:rsidP="006A3F3E">
            <w:pPr>
              <w:spacing w:line="276" w:lineRule="auto"/>
              <w:jc w:val="left"/>
              <w:rPr>
                <w:bCs w:val="0"/>
                <w:color w:val="000000"/>
                <w:sz w:val="18"/>
                <w:szCs w:val="18"/>
              </w:rPr>
            </w:pPr>
            <w:r w:rsidRPr="000063FC">
              <w:rPr>
                <w:bCs w:val="0"/>
                <w:color w:val="000000"/>
                <w:sz w:val="18"/>
                <w:szCs w:val="18"/>
              </w:rPr>
              <w:t>Osobna i komercijalna vozila</w:t>
            </w:r>
          </w:p>
        </w:tc>
      </w:tr>
      <w:tr w:rsidR="005171B2" w:rsidRPr="000063FC" w:rsidTr="00E20A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noWrap/>
            <w:hideMark/>
          </w:tcPr>
          <w:p w:rsidR="005171B2" w:rsidRPr="000063FC" w:rsidRDefault="005171B2" w:rsidP="006A3F3E">
            <w:pPr>
              <w:spacing w:line="276" w:lineRule="auto"/>
              <w:jc w:val="center"/>
              <w:rPr>
                <w:b w:val="0"/>
                <w:color w:val="000000"/>
                <w:sz w:val="18"/>
                <w:szCs w:val="18"/>
              </w:rPr>
            </w:pPr>
            <w:r w:rsidRPr="000063FC">
              <w:rPr>
                <w:b w:val="0"/>
                <w:color w:val="000000"/>
                <w:sz w:val="18"/>
                <w:szCs w:val="18"/>
              </w:rPr>
              <w:t>1.</w:t>
            </w:r>
          </w:p>
        </w:tc>
        <w:tc>
          <w:tcPr>
            <w:tcW w:w="0" w:type="auto"/>
            <w:tcBorders>
              <w:top w:val="none" w:sz="0" w:space="0" w:color="auto"/>
              <w:bottom w:val="none" w:sz="0" w:space="0" w:color="auto"/>
            </w:tcBorders>
            <w:noWrap/>
            <w:hideMark/>
          </w:tcPr>
          <w:p w:rsidR="005171B2" w:rsidRPr="000063FC" w:rsidRDefault="005171B2" w:rsidP="006A3F3E">
            <w:pPr>
              <w:spacing w:line="276" w:lineRule="auto"/>
              <w:jc w:val="left"/>
              <w:cnfStyle w:val="000000100000" w:firstRow="0" w:lastRow="0" w:firstColumn="0" w:lastColumn="0" w:oddVBand="0" w:evenVBand="0" w:oddHBand="1" w:evenHBand="0" w:firstRowFirstColumn="0" w:firstRowLastColumn="0" w:lastRowFirstColumn="0" w:lastRowLastColumn="0"/>
              <w:rPr>
                <w:color w:val="000000"/>
                <w:sz w:val="18"/>
                <w:szCs w:val="18"/>
              </w:rPr>
            </w:pPr>
            <w:r w:rsidRPr="000063FC">
              <w:rPr>
                <w:color w:val="000000"/>
                <w:sz w:val="18"/>
                <w:szCs w:val="18"/>
              </w:rPr>
              <w:t xml:space="preserve">Uvođenje </w:t>
            </w:r>
            <w:r w:rsidRPr="000063FC">
              <w:rPr>
                <w:bCs/>
                <w:i/>
                <w:iCs/>
                <w:color w:val="000000"/>
                <w:sz w:val="18"/>
                <w:szCs w:val="18"/>
              </w:rPr>
              <w:t>car-sharing</w:t>
            </w:r>
            <w:r w:rsidRPr="000063FC">
              <w:rPr>
                <w:b/>
                <w:bCs/>
                <w:color w:val="000000"/>
                <w:sz w:val="18"/>
                <w:szCs w:val="18"/>
              </w:rPr>
              <w:t xml:space="preserve"> </w:t>
            </w:r>
            <w:r w:rsidRPr="000063FC">
              <w:rPr>
                <w:color w:val="000000"/>
                <w:sz w:val="18"/>
                <w:szCs w:val="18"/>
              </w:rPr>
              <w:t>modela za povećanje okupiranosti vozila</w:t>
            </w:r>
          </w:p>
        </w:tc>
        <w:tc>
          <w:tcPr>
            <w:tcW w:w="0" w:type="auto"/>
            <w:tcBorders>
              <w:top w:val="none" w:sz="0" w:space="0" w:color="auto"/>
              <w:bottom w:val="none" w:sz="0" w:space="0" w:color="auto"/>
              <w:right w:val="none" w:sz="0" w:space="0" w:color="auto"/>
            </w:tcBorders>
            <w:noWrap/>
            <w:hideMark/>
          </w:tcPr>
          <w:p w:rsidR="005171B2" w:rsidRPr="000063FC" w:rsidRDefault="005171B2" w:rsidP="0059088E">
            <w:pPr>
              <w:spacing w:line="276" w:lineRule="auto"/>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63FC">
              <w:rPr>
                <w:color w:val="000000"/>
                <w:sz w:val="18"/>
                <w:szCs w:val="18"/>
              </w:rPr>
              <w:t>4.292</w:t>
            </w:r>
          </w:p>
        </w:tc>
      </w:tr>
    </w:tbl>
    <w:p w:rsidR="005171B2" w:rsidRPr="000063FC" w:rsidRDefault="005171B2" w:rsidP="005171B2">
      <w:pPr>
        <w:spacing w:line="276" w:lineRule="auto"/>
      </w:pPr>
    </w:p>
    <w:p w:rsidR="005171B2" w:rsidRPr="000063FC" w:rsidRDefault="00F56931" w:rsidP="006A3F3E">
      <w:pPr>
        <w:pStyle w:val="Heading2"/>
      </w:pPr>
      <w:bookmarkStart w:id="283" w:name="_Toc254010220"/>
      <w:r w:rsidRPr="000063FC">
        <w:rPr>
          <w:caps w:val="0"/>
        </w:rPr>
        <w:t>SMANJENJE EMISIJE CO</w:t>
      </w:r>
      <w:r w:rsidRPr="000063FC">
        <w:rPr>
          <w:caps w:val="0"/>
          <w:vertAlign w:val="subscript"/>
        </w:rPr>
        <w:t>2</w:t>
      </w:r>
      <w:r w:rsidRPr="000063FC">
        <w:rPr>
          <w:caps w:val="0"/>
        </w:rPr>
        <w:t xml:space="preserve"> U SEKTORU JAVNE RASVJETE</w:t>
      </w:r>
      <w:bookmarkEnd w:id="283"/>
    </w:p>
    <w:p w:rsidR="005171B2" w:rsidRPr="000063FC" w:rsidRDefault="005171B2" w:rsidP="005171B2">
      <w:pPr>
        <w:spacing w:line="276" w:lineRule="auto"/>
      </w:pPr>
      <w:r w:rsidRPr="000063FC">
        <w:t>Smanjenje emisija CO</w:t>
      </w:r>
      <w:r w:rsidRPr="000063FC">
        <w:rPr>
          <w:vertAlign w:val="subscript"/>
        </w:rPr>
        <w:t>2</w:t>
      </w:r>
      <w:r w:rsidRPr="000063FC">
        <w:t xml:space="preserve"> nakon provedbe identificiranih mjera u sektoru javne </w:t>
      </w:r>
      <w:r w:rsidR="006A3F3E" w:rsidRPr="000063FC">
        <w:t>rasvjete prikazano je u tablici 6.3.</w:t>
      </w:r>
      <w:r w:rsidRPr="000063FC">
        <w:t xml:space="preserve"> </w:t>
      </w:r>
    </w:p>
    <w:p w:rsidR="005171B2" w:rsidRPr="000063FC" w:rsidRDefault="005171B2" w:rsidP="005171B2">
      <w:pPr>
        <w:spacing w:line="276" w:lineRule="auto"/>
      </w:pPr>
    </w:p>
    <w:p w:rsidR="006A3F3E" w:rsidRPr="000063FC" w:rsidRDefault="006A3F3E" w:rsidP="00B33E2F">
      <w:pPr>
        <w:pStyle w:val="Heading6"/>
      </w:pPr>
      <w:bookmarkStart w:id="284" w:name="_Toc254010278"/>
      <w:r w:rsidRPr="000063FC">
        <w:t>Tablica 6.3: Smanjenje emisije CO</w:t>
      </w:r>
      <w:r w:rsidRPr="000063FC">
        <w:rPr>
          <w:vertAlign w:val="subscript"/>
        </w:rPr>
        <w:t>2</w:t>
      </w:r>
      <w:r w:rsidRPr="000063FC">
        <w:t xml:space="preserve"> u sektoru javne rasvjete</w:t>
      </w:r>
      <w:bookmarkEnd w:id="284"/>
    </w:p>
    <w:tbl>
      <w:tblPr>
        <w:tblW w:w="0" w:type="auto"/>
        <w:tblInd w:w="-34" w:type="dxa"/>
        <w:tblLayout w:type="fixed"/>
        <w:tblLook w:val="04A0" w:firstRow="1" w:lastRow="0" w:firstColumn="1" w:lastColumn="0" w:noHBand="0" w:noVBand="1"/>
      </w:tblPr>
      <w:tblGrid>
        <w:gridCol w:w="993"/>
        <w:gridCol w:w="6095"/>
        <w:gridCol w:w="2235"/>
      </w:tblGrid>
      <w:tr w:rsidR="005171B2" w:rsidRPr="000063FC" w:rsidTr="00E20A31">
        <w:trPr>
          <w:trHeight w:val="340"/>
        </w:trPr>
        <w:tc>
          <w:tcPr>
            <w:tcW w:w="993" w:type="dxa"/>
            <w:tcBorders>
              <w:top w:val="single" w:sz="8" w:space="0" w:color="auto"/>
              <w:left w:val="single" w:sz="8" w:space="0" w:color="auto"/>
              <w:bottom w:val="single" w:sz="8" w:space="0" w:color="auto"/>
              <w:right w:val="single" w:sz="8" w:space="0" w:color="000000"/>
            </w:tcBorders>
            <w:shd w:val="clear" w:color="auto" w:fill="4BACC6" w:themeFill="accent5"/>
            <w:vAlign w:val="center"/>
            <w:hideMark/>
          </w:tcPr>
          <w:p w:rsidR="005171B2" w:rsidRPr="000063FC" w:rsidRDefault="005171B2" w:rsidP="00E20A31">
            <w:pPr>
              <w:spacing w:line="276" w:lineRule="auto"/>
              <w:jc w:val="center"/>
              <w:rPr>
                <w:b/>
                <w:bCs/>
                <w:color w:val="FFFFFF" w:themeColor="background1"/>
                <w:sz w:val="18"/>
                <w:szCs w:val="18"/>
              </w:rPr>
            </w:pPr>
            <w:r w:rsidRPr="000063FC">
              <w:rPr>
                <w:b/>
                <w:bCs/>
                <w:color w:val="FFFFFF" w:themeColor="background1"/>
                <w:sz w:val="18"/>
                <w:szCs w:val="18"/>
              </w:rPr>
              <w:t>Podsektor</w:t>
            </w:r>
          </w:p>
        </w:tc>
        <w:tc>
          <w:tcPr>
            <w:tcW w:w="6095" w:type="dxa"/>
            <w:tcBorders>
              <w:top w:val="single" w:sz="8" w:space="0" w:color="auto"/>
              <w:left w:val="nil"/>
              <w:bottom w:val="single" w:sz="8" w:space="0" w:color="auto"/>
              <w:right w:val="nil"/>
            </w:tcBorders>
            <w:shd w:val="clear" w:color="auto" w:fill="4BACC6" w:themeFill="accent5"/>
            <w:vAlign w:val="center"/>
            <w:hideMark/>
          </w:tcPr>
          <w:p w:rsidR="005171B2" w:rsidRPr="000063FC" w:rsidRDefault="005171B2" w:rsidP="00E20A31">
            <w:pPr>
              <w:spacing w:line="276" w:lineRule="auto"/>
              <w:jc w:val="center"/>
              <w:rPr>
                <w:b/>
                <w:bCs/>
                <w:color w:val="FFFFFF" w:themeColor="background1"/>
                <w:sz w:val="18"/>
                <w:szCs w:val="18"/>
              </w:rPr>
            </w:pPr>
            <w:r w:rsidRPr="000063FC">
              <w:rPr>
                <w:b/>
                <w:bCs/>
                <w:color w:val="FFFFFF" w:themeColor="background1"/>
                <w:sz w:val="18"/>
                <w:szCs w:val="18"/>
              </w:rPr>
              <w:t>Mjera</w:t>
            </w:r>
          </w:p>
        </w:tc>
        <w:tc>
          <w:tcPr>
            <w:tcW w:w="2235" w:type="dxa"/>
            <w:tcBorders>
              <w:top w:val="single" w:sz="8" w:space="0" w:color="auto"/>
              <w:left w:val="single" w:sz="8" w:space="0" w:color="auto"/>
              <w:bottom w:val="single" w:sz="8" w:space="0" w:color="auto"/>
              <w:right w:val="single" w:sz="8" w:space="0" w:color="auto"/>
            </w:tcBorders>
            <w:shd w:val="clear" w:color="auto" w:fill="4BACC6" w:themeFill="accent5"/>
            <w:noWrap/>
            <w:vAlign w:val="center"/>
            <w:hideMark/>
          </w:tcPr>
          <w:p w:rsidR="005171B2" w:rsidRPr="000063FC" w:rsidRDefault="0059088E" w:rsidP="00E20A31">
            <w:pPr>
              <w:spacing w:line="276" w:lineRule="auto"/>
              <w:jc w:val="center"/>
              <w:rPr>
                <w:b/>
                <w:bCs/>
                <w:color w:val="FFFFFF" w:themeColor="background1"/>
                <w:sz w:val="18"/>
                <w:szCs w:val="18"/>
              </w:rPr>
            </w:pPr>
            <w:r w:rsidRPr="000063FC">
              <w:rPr>
                <w:b/>
                <w:bCs/>
                <w:color w:val="FFFFFF" w:themeColor="background1"/>
                <w:sz w:val="18"/>
                <w:szCs w:val="18"/>
              </w:rPr>
              <w:t>Smanjenje emisije CO</w:t>
            </w:r>
            <w:r w:rsidRPr="000063FC">
              <w:rPr>
                <w:b/>
                <w:bCs/>
                <w:color w:val="FFFFFF" w:themeColor="background1"/>
                <w:sz w:val="18"/>
                <w:szCs w:val="18"/>
                <w:vertAlign w:val="subscript"/>
              </w:rPr>
              <w:t>2</w:t>
            </w:r>
            <w:r w:rsidR="005171B2" w:rsidRPr="000063FC">
              <w:rPr>
                <w:b/>
                <w:bCs/>
                <w:color w:val="FFFFFF" w:themeColor="background1"/>
                <w:sz w:val="18"/>
                <w:szCs w:val="18"/>
              </w:rPr>
              <w:t xml:space="preserve"> (t)</w:t>
            </w:r>
          </w:p>
        </w:tc>
      </w:tr>
      <w:tr w:rsidR="005171B2" w:rsidRPr="000063FC" w:rsidTr="00E20A31">
        <w:trPr>
          <w:trHeight w:val="34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1.</w:t>
            </w:r>
          </w:p>
        </w:tc>
        <w:tc>
          <w:tcPr>
            <w:tcW w:w="6095"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 xml:space="preserve">Zamjena zastarjelih rasvjetnih tijela s energetski učinkovitijima i ekološki prihvatljivijima rasvjetnim tijelima </w:t>
            </w:r>
          </w:p>
        </w:tc>
        <w:tc>
          <w:tcPr>
            <w:tcW w:w="2235"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color w:val="000000"/>
                <w:sz w:val="18"/>
                <w:szCs w:val="18"/>
              </w:rPr>
            </w:pPr>
            <w:r w:rsidRPr="000063FC">
              <w:rPr>
                <w:color w:val="000000"/>
                <w:sz w:val="18"/>
                <w:szCs w:val="18"/>
              </w:rPr>
              <w:t>2.037</w:t>
            </w:r>
          </w:p>
        </w:tc>
      </w:tr>
      <w:tr w:rsidR="005171B2" w:rsidRPr="000063FC" w:rsidTr="00E20A31">
        <w:trPr>
          <w:trHeight w:val="34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2.</w:t>
            </w:r>
          </w:p>
        </w:tc>
        <w:tc>
          <w:tcPr>
            <w:tcW w:w="6095"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 xml:space="preserve">Upravljanje intenzitetom javne rasvjetom </w:t>
            </w:r>
          </w:p>
        </w:tc>
        <w:tc>
          <w:tcPr>
            <w:tcW w:w="2235" w:type="dxa"/>
            <w:tcBorders>
              <w:top w:val="nil"/>
              <w:left w:val="nil"/>
              <w:bottom w:val="single" w:sz="4" w:space="0" w:color="auto"/>
              <w:right w:val="single" w:sz="4" w:space="0" w:color="auto"/>
            </w:tcBorders>
            <w:shd w:val="clear" w:color="auto" w:fill="auto"/>
            <w:noWrap/>
            <w:vAlign w:val="bottom"/>
            <w:hideMark/>
          </w:tcPr>
          <w:p w:rsidR="005171B2" w:rsidRPr="000063FC" w:rsidRDefault="005171B2" w:rsidP="0059088E">
            <w:pPr>
              <w:spacing w:line="276" w:lineRule="auto"/>
              <w:jc w:val="right"/>
              <w:rPr>
                <w:color w:val="000000"/>
                <w:sz w:val="18"/>
                <w:szCs w:val="18"/>
              </w:rPr>
            </w:pPr>
            <w:r w:rsidRPr="000063FC">
              <w:rPr>
                <w:color w:val="000000"/>
                <w:sz w:val="18"/>
                <w:szCs w:val="18"/>
              </w:rPr>
              <w:t>5.820</w:t>
            </w:r>
          </w:p>
        </w:tc>
      </w:tr>
    </w:tbl>
    <w:p w:rsidR="005171B2" w:rsidRPr="000063FC" w:rsidRDefault="005171B2" w:rsidP="005171B2">
      <w:pPr>
        <w:spacing w:line="276" w:lineRule="auto"/>
        <w:rPr>
          <w:b/>
          <w:szCs w:val="22"/>
        </w:rPr>
      </w:pPr>
    </w:p>
    <w:p w:rsidR="00FE5690" w:rsidRPr="000063FC" w:rsidRDefault="00FE5690">
      <w:pPr>
        <w:tabs>
          <w:tab w:val="clear" w:pos="720"/>
          <w:tab w:val="clear" w:pos="6912"/>
        </w:tabs>
        <w:spacing w:line="240" w:lineRule="auto"/>
        <w:jc w:val="left"/>
        <w:rPr>
          <w:b/>
          <w:szCs w:val="22"/>
          <w:lang w:eastAsia="hr-HR"/>
        </w:rPr>
      </w:pPr>
      <w:r w:rsidRPr="000063FC">
        <w:rPr>
          <w:caps/>
        </w:rPr>
        <w:br w:type="page"/>
      </w:r>
    </w:p>
    <w:p w:rsidR="005171B2" w:rsidRPr="000063FC" w:rsidRDefault="00F56931" w:rsidP="006A3F3E">
      <w:pPr>
        <w:pStyle w:val="Heading2"/>
      </w:pPr>
      <w:bookmarkStart w:id="285" w:name="_Toc254010221"/>
      <w:r w:rsidRPr="000063FC">
        <w:rPr>
          <w:caps w:val="0"/>
        </w:rPr>
        <w:lastRenderedPageBreak/>
        <w:t>UKUPNO SMANJENJE EMISIJE CO</w:t>
      </w:r>
      <w:r w:rsidRPr="000063FC">
        <w:rPr>
          <w:caps w:val="0"/>
          <w:vertAlign w:val="subscript"/>
        </w:rPr>
        <w:t>2</w:t>
      </w:r>
      <w:bookmarkEnd w:id="285"/>
      <w:r w:rsidRPr="000063FC">
        <w:rPr>
          <w:caps w:val="0"/>
        </w:rPr>
        <w:t xml:space="preserve"> </w:t>
      </w:r>
    </w:p>
    <w:p w:rsidR="005171B2" w:rsidRPr="000063FC" w:rsidRDefault="00235F85" w:rsidP="005171B2">
      <w:pPr>
        <w:spacing w:line="276" w:lineRule="auto"/>
      </w:pPr>
      <w:r w:rsidRPr="000063FC">
        <w:t>Očekivano smanjenje emisija CO</w:t>
      </w:r>
      <w:r w:rsidRPr="000063FC">
        <w:rPr>
          <w:vertAlign w:val="subscript"/>
        </w:rPr>
        <w:t xml:space="preserve">2 </w:t>
      </w:r>
      <w:r w:rsidRPr="000063FC">
        <w:t>po pojedinom sektoru i podsektoru, kao i u</w:t>
      </w:r>
      <w:r w:rsidR="005171B2" w:rsidRPr="000063FC">
        <w:t>kupno smanjenje emisija CO</w:t>
      </w:r>
      <w:r w:rsidR="005171B2" w:rsidRPr="000063FC">
        <w:rPr>
          <w:vertAlign w:val="subscript"/>
        </w:rPr>
        <w:t>2</w:t>
      </w:r>
      <w:r w:rsidR="005171B2" w:rsidRPr="000063FC">
        <w:t xml:space="preserve"> </w:t>
      </w:r>
      <w:r w:rsidRPr="000063FC">
        <w:t>provedbom</w:t>
      </w:r>
      <w:r w:rsidR="005171B2" w:rsidRPr="000063FC">
        <w:t xml:space="preserve"> identificiranih mjera </w:t>
      </w:r>
      <w:r w:rsidRPr="000063FC">
        <w:t xml:space="preserve">energetske učinkovitosti </w:t>
      </w:r>
      <w:r w:rsidR="005171B2" w:rsidRPr="000063FC">
        <w:t xml:space="preserve">prikazano je u tablici </w:t>
      </w:r>
      <w:r w:rsidR="00EF0A8B" w:rsidRPr="000063FC">
        <w:t>6.4.</w:t>
      </w:r>
      <w:r w:rsidR="005171B2" w:rsidRPr="000063FC">
        <w:t xml:space="preserve"> </w:t>
      </w:r>
    </w:p>
    <w:p w:rsidR="005171B2" w:rsidRPr="000063FC" w:rsidRDefault="005171B2" w:rsidP="005171B2">
      <w:pPr>
        <w:spacing w:line="276" w:lineRule="auto"/>
      </w:pPr>
    </w:p>
    <w:p w:rsidR="00EF0A8B" w:rsidRPr="000063FC" w:rsidRDefault="00EF0A8B" w:rsidP="00B33E2F">
      <w:pPr>
        <w:pStyle w:val="Heading6"/>
      </w:pPr>
      <w:bookmarkStart w:id="286" w:name="_Toc254010279"/>
      <w:r w:rsidRPr="000063FC">
        <w:t xml:space="preserve">Tablica 6.4: </w:t>
      </w:r>
      <w:r w:rsidR="00235F85" w:rsidRPr="000063FC">
        <w:t>Smanjenje emisija</w:t>
      </w:r>
      <w:r w:rsidRPr="000063FC">
        <w:t xml:space="preserve"> CO</w:t>
      </w:r>
      <w:r w:rsidRPr="000063FC">
        <w:rPr>
          <w:vertAlign w:val="subscript"/>
        </w:rPr>
        <w:t>2</w:t>
      </w:r>
      <w:r w:rsidRPr="000063FC">
        <w:t xml:space="preserve"> </w:t>
      </w:r>
      <w:r w:rsidR="00235F85" w:rsidRPr="000063FC">
        <w:t>provedbom identificiranih mjera energetske učinkovitosti</w:t>
      </w:r>
      <w:bookmarkEnd w:id="286"/>
      <w:r w:rsidR="00235F85" w:rsidRPr="000063FC">
        <w:t xml:space="preserve"> </w:t>
      </w:r>
    </w:p>
    <w:tbl>
      <w:tblPr>
        <w:tblW w:w="0" w:type="auto"/>
        <w:tblInd w:w="98" w:type="dxa"/>
        <w:tblLook w:val="04A0" w:firstRow="1" w:lastRow="0" w:firstColumn="1" w:lastColumn="0" w:noHBand="0" w:noVBand="1"/>
      </w:tblPr>
      <w:tblGrid>
        <w:gridCol w:w="702"/>
        <w:gridCol w:w="4945"/>
        <w:gridCol w:w="2112"/>
      </w:tblGrid>
      <w:tr w:rsidR="005171B2" w:rsidRPr="000063FC" w:rsidTr="00E20A31">
        <w:trPr>
          <w:trHeight w:val="340"/>
        </w:trPr>
        <w:tc>
          <w:tcPr>
            <w:tcW w:w="0" w:type="auto"/>
            <w:tcBorders>
              <w:top w:val="single" w:sz="8" w:space="0" w:color="auto"/>
              <w:left w:val="single" w:sz="8" w:space="0" w:color="auto"/>
              <w:bottom w:val="single" w:sz="8" w:space="0" w:color="auto"/>
              <w:right w:val="single" w:sz="8" w:space="0" w:color="auto"/>
            </w:tcBorders>
            <w:shd w:val="clear" w:color="auto" w:fill="4BACC6" w:themeFill="accent5"/>
            <w:noWrap/>
            <w:vAlign w:val="center"/>
            <w:hideMark/>
          </w:tcPr>
          <w:p w:rsidR="005171B2" w:rsidRPr="000063FC" w:rsidRDefault="005171B2" w:rsidP="00E20A31">
            <w:pPr>
              <w:spacing w:line="276" w:lineRule="auto"/>
              <w:jc w:val="center"/>
              <w:rPr>
                <w:b/>
                <w:bCs/>
                <w:color w:val="FFFFFF" w:themeColor="background1"/>
                <w:sz w:val="18"/>
                <w:szCs w:val="18"/>
              </w:rPr>
            </w:pPr>
            <w:r w:rsidRPr="000063FC">
              <w:rPr>
                <w:b/>
                <w:bCs/>
                <w:color w:val="FFFFFF" w:themeColor="background1"/>
                <w:sz w:val="18"/>
                <w:szCs w:val="18"/>
              </w:rPr>
              <w:t>Sektor</w:t>
            </w:r>
          </w:p>
        </w:tc>
        <w:tc>
          <w:tcPr>
            <w:tcW w:w="0" w:type="auto"/>
            <w:tcBorders>
              <w:top w:val="single" w:sz="8" w:space="0" w:color="auto"/>
              <w:left w:val="nil"/>
              <w:bottom w:val="single" w:sz="8" w:space="0" w:color="auto"/>
              <w:right w:val="single" w:sz="8" w:space="0" w:color="auto"/>
            </w:tcBorders>
            <w:shd w:val="clear" w:color="auto" w:fill="4BACC6" w:themeFill="accent5"/>
            <w:noWrap/>
            <w:vAlign w:val="center"/>
            <w:hideMark/>
          </w:tcPr>
          <w:p w:rsidR="005171B2" w:rsidRPr="000063FC" w:rsidRDefault="005171B2" w:rsidP="00E20A31">
            <w:pPr>
              <w:spacing w:line="276" w:lineRule="auto"/>
              <w:jc w:val="center"/>
              <w:rPr>
                <w:b/>
                <w:bCs/>
                <w:color w:val="FFFFFF" w:themeColor="background1"/>
                <w:sz w:val="18"/>
                <w:szCs w:val="18"/>
              </w:rPr>
            </w:pPr>
            <w:r w:rsidRPr="000063FC">
              <w:rPr>
                <w:b/>
                <w:bCs/>
                <w:color w:val="FFFFFF" w:themeColor="background1"/>
                <w:sz w:val="18"/>
                <w:szCs w:val="18"/>
              </w:rPr>
              <w:t>Podsektor</w:t>
            </w:r>
          </w:p>
        </w:tc>
        <w:tc>
          <w:tcPr>
            <w:tcW w:w="0" w:type="auto"/>
            <w:tcBorders>
              <w:top w:val="single" w:sz="8" w:space="0" w:color="auto"/>
              <w:left w:val="nil"/>
              <w:bottom w:val="single" w:sz="8" w:space="0" w:color="auto"/>
              <w:right w:val="single" w:sz="8" w:space="0" w:color="auto"/>
            </w:tcBorders>
            <w:shd w:val="clear" w:color="auto" w:fill="4BACC6" w:themeFill="accent5"/>
            <w:noWrap/>
            <w:vAlign w:val="center"/>
            <w:hideMark/>
          </w:tcPr>
          <w:p w:rsidR="005171B2" w:rsidRPr="000063FC" w:rsidRDefault="005171B2" w:rsidP="00E20A31">
            <w:pPr>
              <w:spacing w:line="276" w:lineRule="auto"/>
              <w:jc w:val="center"/>
              <w:rPr>
                <w:b/>
                <w:bCs/>
                <w:color w:val="FFFFFF" w:themeColor="background1"/>
                <w:sz w:val="18"/>
                <w:szCs w:val="18"/>
              </w:rPr>
            </w:pPr>
            <w:r w:rsidRPr="000063FC">
              <w:rPr>
                <w:b/>
                <w:bCs/>
                <w:color w:val="FFFFFF" w:themeColor="background1"/>
                <w:sz w:val="18"/>
                <w:szCs w:val="18"/>
              </w:rPr>
              <w:t>Smanjenje emisije CO</w:t>
            </w:r>
            <w:r w:rsidRPr="000063FC">
              <w:rPr>
                <w:b/>
                <w:bCs/>
                <w:color w:val="FFFFFF" w:themeColor="background1"/>
                <w:sz w:val="18"/>
                <w:szCs w:val="18"/>
                <w:vertAlign w:val="subscript"/>
              </w:rPr>
              <w:t>2</w:t>
            </w:r>
            <w:r w:rsidRPr="000063FC">
              <w:rPr>
                <w:b/>
                <w:bCs/>
                <w:color w:val="FFFFFF" w:themeColor="background1"/>
                <w:sz w:val="18"/>
                <w:szCs w:val="18"/>
              </w:rPr>
              <w:t xml:space="preserve"> (t)</w:t>
            </w:r>
          </w:p>
        </w:tc>
      </w:tr>
      <w:tr w:rsidR="005171B2" w:rsidRPr="000063FC" w:rsidTr="0050526C">
        <w:trPr>
          <w:trHeight w:val="340"/>
        </w:trPr>
        <w:tc>
          <w:tcPr>
            <w:tcW w:w="0" w:type="auto"/>
            <w:gridSpan w:val="2"/>
            <w:tcBorders>
              <w:top w:val="nil"/>
              <w:left w:val="single" w:sz="8" w:space="0" w:color="auto"/>
              <w:bottom w:val="single" w:sz="4" w:space="0" w:color="auto"/>
              <w:right w:val="nil"/>
            </w:tcBorders>
            <w:shd w:val="clear" w:color="auto" w:fill="auto"/>
            <w:noWrap/>
            <w:vAlign w:val="bottom"/>
            <w:hideMark/>
          </w:tcPr>
          <w:p w:rsidR="005171B2" w:rsidRPr="000063FC" w:rsidRDefault="005171B2" w:rsidP="006A3F3E">
            <w:pPr>
              <w:spacing w:line="276" w:lineRule="auto"/>
              <w:jc w:val="left"/>
              <w:rPr>
                <w:b/>
                <w:bCs/>
                <w:color w:val="000000"/>
                <w:sz w:val="18"/>
                <w:szCs w:val="18"/>
              </w:rPr>
            </w:pPr>
            <w:r w:rsidRPr="000063FC">
              <w:rPr>
                <w:b/>
                <w:bCs/>
                <w:color w:val="000000"/>
                <w:sz w:val="18"/>
                <w:szCs w:val="18"/>
              </w:rPr>
              <w:t>Zgradarstvo</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5171B2" w:rsidRPr="000063FC" w:rsidRDefault="005171B2" w:rsidP="006A3F3E">
            <w:pPr>
              <w:spacing w:line="276" w:lineRule="auto"/>
              <w:jc w:val="center"/>
              <w:rPr>
                <w:b/>
                <w:bCs/>
                <w:color w:val="000000"/>
                <w:sz w:val="18"/>
                <w:szCs w:val="18"/>
              </w:rPr>
            </w:pPr>
            <w:r w:rsidRPr="000063FC">
              <w:rPr>
                <w:b/>
                <w:bCs/>
                <w:color w:val="000000"/>
                <w:sz w:val="18"/>
                <w:szCs w:val="18"/>
              </w:rPr>
              <w:t>607.335</w:t>
            </w:r>
          </w:p>
        </w:tc>
      </w:tr>
      <w:tr w:rsidR="005171B2" w:rsidRPr="000063FC" w:rsidTr="0050526C">
        <w:trPr>
          <w:trHeight w:val="3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Promocija, obrazovanje i promjena ponašanja</w:t>
            </w:r>
          </w:p>
        </w:tc>
        <w:tc>
          <w:tcPr>
            <w:tcW w:w="0" w:type="auto"/>
            <w:tcBorders>
              <w:top w:val="nil"/>
              <w:left w:val="nil"/>
              <w:bottom w:val="single" w:sz="4" w:space="0" w:color="auto"/>
              <w:right w:val="single" w:sz="8"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216.950</w:t>
            </w:r>
          </w:p>
        </w:tc>
      </w:tr>
      <w:tr w:rsidR="005171B2" w:rsidRPr="000063FC" w:rsidTr="0050526C">
        <w:trPr>
          <w:trHeight w:val="3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Zgrade i poduzeća u vlasništvu Grada Zagreba</w:t>
            </w:r>
          </w:p>
        </w:tc>
        <w:tc>
          <w:tcPr>
            <w:tcW w:w="0" w:type="auto"/>
            <w:tcBorders>
              <w:top w:val="nil"/>
              <w:left w:val="nil"/>
              <w:bottom w:val="single" w:sz="4" w:space="0" w:color="auto"/>
              <w:right w:val="single" w:sz="8"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56.614</w:t>
            </w:r>
          </w:p>
        </w:tc>
      </w:tr>
      <w:tr w:rsidR="005171B2" w:rsidRPr="000063FC" w:rsidTr="0050526C">
        <w:trPr>
          <w:trHeight w:val="3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Stambene zgrade</w:t>
            </w:r>
          </w:p>
        </w:tc>
        <w:tc>
          <w:tcPr>
            <w:tcW w:w="0" w:type="auto"/>
            <w:tcBorders>
              <w:top w:val="nil"/>
              <w:left w:val="nil"/>
              <w:bottom w:val="single" w:sz="4" w:space="0" w:color="auto"/>
              <w:right w:val="single" w:sz="8"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266.339</w:t>
            </w:r>
          </w:p>
        </w:tc>
      </w:tr>
      <w:tr w:rsidR="005171B2" w:rsidRPr="000063FC" w:rsidTr="0050526C">
        <w:trPr>
          <w:trHeight w:val="3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Zgrade komercijalnih i uslužnih djelatnosti</w:t>
            </w:r>
          </w:p>
        </w:tc>
        <w:tc>
          <w:tcPr>
            <w:tcW w:w="0" w:type="auto"/>
            <w:tcBorders>
              <w:top w:val="nil"/>
              <w:left w:val="nil"/>
              <w:bottom w:val="nil"/>
              <w:right w:val="single" w:sz="8"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67.432</w:t>
            </w:r>
          </w:p>
        </w:tc>
      </w:tr>
      <w:tr w:rsidR="005171B2" w:rsidRPr="000063FC" w:rsidTr="0050526C">
        <w:trPr>
          <w:trHeight w:val="340"/>
        </w:trPr>
        <w:tc>
          <w:tcPr>
            <w:tcW w:w="0" w:type="auto"/>
            <w:gridSpan w:val="2"/>
            <w:tcBorders>
              <w:top w:val="single" w:sz="4" w:space="0" w:color="auto"/>
              <w:left w:val="single" w:sz="8" w:space="0" w:color="auto"/>
              <w:bottom w:val="single" w:sz="4" w:space="0" w:color="auto"/>
              <w:right w:val="nil"/>
            </w:tcBorders>
            <w:shd w:val="clear" w:color="auto" w:fill="auto"/>
            <w:noWrap/>
            <w:vAlign w:val="bottom"/>
            <w:hideMark/>
          </w:tcPr>
          <w:p w:rsidR="005171B2" w:rsidRPr="000063FC" w:rsidRDefault="005171B2" w:rsidP="006A3F3E">
            <w:pPr>
              <w:spacing w:line="276" w:lineRule="auto"/>
              <w:jc w:val="left"/>
              <w:rPr>
                <w:b/>
                <w:bCs/>
                <w:color w:val="000000"/>
                <w:sz w:val="18"/>
                <w:szCs w:val="18"/>
              </w:rPr>
            </w:pPr>
            <w:r w:rsidRPr="000063FC">
              <w:rPr>
                <w:b/>
                <w:bCs/>
                <w:color w:val="000000"/>
                <w:sz w:val="18"/>
                <w:szCs w:val="18"/>
              </w:rPr>
              <w:t>Promet</w:t>
            </w:r>
          </w:p>
        </w:tc>
        <w:tc>
          <w:tcPr>
            <w:tcW w:w="0" w:type="auto"/>
            <w:tcBorders>
              <w:top w:val="single" w:sz="4" w:space="0" w:color="auto"/>
              <w:left w:val="single" w:sz="4" w:space="0" w:color="auto"/>
              <w:bottom w:val="single" w:sz="4" w:space="0" w:color="auto"/>
              <w:right w:val="single" w:sz="8" w:space="0" w:color="auto"/>
            </w:tcBorders>
            <w:shd w:val="clear" w:color="auto" w:fill="auto"/>
            <w:noWrap/>
            <w:vAlign w:val="bottom"/>
            <w:hideMark/>
          </w:tcPr>
          <w:p w:rsidR="005171B2" w:rsidRPr="000063FC" w:rsidRDefault="005171B2" w:rsidP="006A3F3E">
            <w:pPr>
              <w:spacing w:line="276" w:lineRule="auto"/>
              <w:jc w:val="center"/>
              <w:rPr>
                <w:b/>
                <w:bCs/>
                <w:color w:val="000000"/>
                <w:sz w:val="18"/>
                <w:szCs w:val="18"/>
              </w:rPr>
            </w:pPr>
            <w:r w:rsidRPr="000063FC">
              <w:rPr>
                <w:b/>
                <w:bCs/>
                <w:color w:val="000000"/>
                <w:sz w:val="18"/>
                <w:szCs w:val="18"/>
              </w:rPr>
              <w:t>36.518</w:t>
            </w:r>
          </w:p>
        </w:tc>
      </w:tr>
      <w:tr w:rsidR="005171B2" w:rsidRPr="000063FC" w:rsidTr="0050526C">
        <w:trPr>
          <w:trHeight w:val="3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Planske, promotivne, informativne i obrazovne mjere i aktivnosti</w:t>
            </w:r>
          </w:p>
        </w:tc>
        <w:tc>
          <w:tcPr>
            <w:tcW w:w="0" w:type="auto"/>
            <w:tcBorders>
              <w:top w:val="nil"/>
              <w:left w:val="nil"/>
              <w:bottom w:val="single" w:sz="4" w:space="0" w:color="auto"/>
              <w:right w:val="single" w:sz="8"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26.264</w:t>
            </w:r>
          </w:p>
        </w:tc>
      </w:tr>
      <w:tr w:rsidR="005171B2" w:rsidRPr="000063FC" w:rsidTr="0050526C">
        <w:trPr>
          <w:trHeight w:val="3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Vozila u vlasništvu i korištenju Grada Zagreba</w:t>
            </w:r>
          </w:p>
        </w:tc>
        <w:tc>
          <w:tcPr>
            <w:tcW w:w="0" w:type="auto"/>
            <w:tcBorders>
              <w:top w:val="nil"/>
              <w:left w:val="nil"/>
              <w:bottom w:val="single" w:sz="4" w:space="0" w:color="auto"/>
              <w:right w:val="single" w:sz="8"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4.422</w:t>
            </w:r>
          </w:p>
        </w:tc>
      </w:tr>
      <w:tr w:rsidR="005171B2" w:rsidRPr="000063FC" w:rsidTr="0050526C">
        <w:trPr>
          <w:trHeight w:val="3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Javni prijevoz</w:t>
            </w:r>
          </w:p>
        </w:tc>
        <w:tc>
          <w:tcPr>
            <w:tcW w:w="0" w:type="auto"/>
            <w:tcBorders>
              <w:top w:val="nil"/>
              <w:left w:val="nil"/>
              <w:bottom w:val="single" w:sz="4" w:space="0" w:color="auto"/>
              <w:right w:val="single" w:sz="8"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1540</w:t>
            </w:r>
          </w:p>
        </w:tc>
      </w:tr>
      <w:tr w:rsidR="005171B2" w:rsidRPr="000063FC" w:rsidTr="0050526C">
        <w:trPr>
          <w:trHeight w:val="3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5171B2" w:rsidRPr="000063FC" w:rsidRDefault="005171B2" w:rsidP="006A3F3E">
            <w:pPr>
              <w:spacing w:line="276" w:lineRule="auto"/>
              <w:jc w:val="left"/>
              <w:rPr>
                <w:color w:val="000000"/>
                <w:sz w:val="18"/>
                <w:szCs w:val="18"/>
              </w:rPr>
            </w:pPr>
            <w:r w:rsidRPr="000063FC">
              <w:rPr>
                <w:color w:val="000000"/>
                <w:sz w:val="18"/>
                <w:szCs w:val="18"/>
              </w:rPr>
              <w:t>Osobna i komercijalna vozila</w:t>
            </w:r>
          </w:p>
        </w:tc>
        <w:tc>
          <w:tcPr>
            <w:tcW w:w="0" w:type="auto"/>
            <w:tcBorders>
              <w:top w:val="nil"/>
              <w:left w:val="nil"/>
              <w:bottom w:val="nil"/>
              <w:right w:val="single" w:sz="8" w:space="0" w:color="auto"/>
            </w:tcBorders>
            <w:shd w:val="clear" w:color="auto" w:fill="auto"/>
            <w:noWrap/>
            <w:vAlign w:val="bottom"/>
            <w:hideMark/>
          </w:tcPr>
          <w:p w:rsidR="005171B2" w:rsidRPr="000063FC" w:rsidRDefault="005171B2" w:rsidP="006A3F3E">
            <w:pPr>
              <w:spacing w:line="276" w:lineRule="auto"/>
              <w:jc w:val="center"/>
              <w:rPr>
                <w:color w:val="000000"/>
                <w:sz w:val="18"/>
                <w:szCs w:val="18"/>
              </w:rPr>
            </w:pPr>
            <w:r w:rsidRPr="000063FC">
              <w:rPr>
                <w:color w:val="000000"/>
                <w:sz w:val="18"/>
                <w:szCs w:val="18"/>
              </w:rPr>
              <w:t>4.292</w:t>
            </w:r>
          </w:p>
        </w:tc>
      </w:tr>
      <w:tr w:rsidR="005171B2" w:rsidRPr="000063FC" w:rsidTr="0050526C">
        <w:trPr>
          <w:trHeight w:val="340"/>
        </w:trPr>
        <w:tc>
          <w:tcPr>
            <w:tcW w:w="0" w:type="auto"/>
            <w:gridSpan w:val="2"/>
            <w:tcBorders>
              <w:top w:val="single" w:sz="4" w:space="0" w:color="auto"/>
              <w:left w:val="single" w:sz="8" w:space="0" w:color="auto"/>
              <w:bottom w:val="single" w:sz="4" w:space="0" w:color="auto"/>
              <w:right w:val="nil"/>
            </w:tcBorders>
            <w:shd w:val="clear" w:color="auto" w:fill="auto"/>
            <w:noWrap/>
            <w:vAlign w:val="bottom"/>
            <w:hideMark/>
          </w:tcPr>
          <w:p w:rsidR="005171B2" w:rsidRPr="000063FC" w:rsidRDefault="005171B2" w:rsidP="006A3F3E">
            <w:pPr>
              <w:spacing w:line="276" w:lineRule="auto"/>
              <w:jc w:val="left"/>
              <w:rPr>
                <w:b/>
                <w:bCs/>
                <w:color w:val="000000"/>
                <w:sz w:val="18"/>
                <w:szCs w:val="18"/>
              </w:rPr>
            </w:pPr>
            <w:r w:rsidRPr="000063FC">
              <w:rPr>
                <w:b/>
                <w:bCs/>
                <w:color w:val="000000"/>
                <w:sz w:val="18"/>
                <w:szCs w:val="18"/>
              </w:rPr>
              <w:t>Javna  rasvjeta</w:t>
            </w:r>
          </w:p>
        </w:tc>
        <w:tc>
          <w:tcPr>
            <w:tcW w:w="0" w:type="auto"/>
            <w:tcBorders>
              <w:top w:val="single" w:sz="4" w:space="0" w:color="auto"/>
              <w:left w:val="single" w:sz="4" w:space="0" w:color="auto"/>
              <w:bottom w:val="nil"/>
              <w:right w:val="single" w:sz="8" w:space="0" w:color="auto"/>
            </w:tcBorders>
            <w:shd w:val="clear" w:color="auto" w:fill="auto"/>
            <w:noWrap/>
            <w:vAlign w:val="bottom"/>
            <w:hideMark/>
          </w:tcPr>
          <w:p w:rsidR="005171B2" w:rsidRPr="000063FC" w:rsidRDefault="005171B2" w:rsidP="006A3F3E">
            <w:pPr>
              <w:spacing w:line="276" w:lineRule="auto"/>
              <w:jc w:val="center"/>
              <w:rPr>
                <w:b/>
                <w:bCs/>
                <w:color w:val="000000"/>
                <w:sz w:val="18"/>
                <w:szCs w:val="18"/>
              </w:rPr>
            </w:pPr>
            <w:r w:rsidRPr="000063FC">
              <w:rPr>
                <w:b/>
                <w:bCs/>
                <w:color w:val="000000"/>
                <w:sz w:val="18"/>
                <w:szCs w:val="18"/>
              </w:rPr>
              <w:t>7.857</w:t>
            </w:r>
          </w:p>
        </w:tc>
      </w:tr>
      <w:tr w:rsidR="005171B2" w:rsidRPr="000063FC" w:rsidTr="0050526C">
        <w:trPr>
          <w:trHeight w:val="340"/>
        </w:trPr>
        <w:tc>
          <w:tcPr>
            <w:tcW w:w="0" w:type="auto"/>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5171B2" w:rsidRPr="000063FC" w:rsidRDefault="005171B2" w:rsidP="006A3F3E">
            <w:pPr>
              <w:spacing w:line="276" w:lineRule="auto"/>
              <w:jc w:val="left"/>
              <w:rPr>
                <w:b/>
                <w:bCs/>
                <w:color w:val="000000"/>
                <w:sz w:val="18"/>
                <w:szCs w:val="18"/>
              </w:rPr>
            </w:pPr>
            <w:r w:rsidRPr="000063FC">
              <w:rPr>
                <w:b/>
                <w:bCs/>
                <w:color w:val="000000"/>
                <w:sz w:val="18"/>
                <w:szCs w:val="18"/>
              </w:rPr>
              <w:t>UKUPNO</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5171B2" w:rsidRPr="000063FC" w:rsidRDefault="005171B2" w:rsidP="006A3F3E">
            <w:pPr>
              <w:spacing w:line="276" w:lineRule="auto"/>
              <w:jc w:val="center"/>
              <w:rPr>
                <w:b/>
                <w:bCs/>
                <w:color w:val="000000"/>
                <w:sz w:val="18"/>
                <w:szCs w:val="18"/>
              </w:rPr>
            </w:pPr>
            <w:r w:rsidRPr="000063FC">
              <w:rPr>
                <w:b/>
                <w:bCs/>
                <w:color w:val="000000"/>
                <w:sz w:val="18"/>
                <w:szCs w:val="18"/>
              </w:rPr>
              <w:t>651.710</w:t>
            </w:r>
          </w:p>
        </w:tc>
      </w:tr>
    </w:tbl>
    <w:p w:rsidR="005171B2" w:rsidRPr="000063FC" w:rsidRDefault="005171B2" w:rsidP="005171B2">
      <w:pPr>
        <w:spacing w:line="276" w:lineRule="auto"/>
      </w:pPr>
    </w:p>
    <w:p w:rsidR="005171B2" w:rsidRPr="000063FC" w:rsidRDefault="005171B2">
      <w:pPr>
        <w:tabs>
          <w:tab w:val="clear" w:pos="720"/>
          <w:tab w:val="clear" w:pos="6912"/>
        </w:tabs>
        <w:spacing w:line="240" w:lineRule="auto"/>
        <w:jc w:val="left"/>
        <w:rPr>
          <w:szCs w:val="22"/>
        </w:rPr>
      </w:pPr>
      <w:r w:rsidRPr="000063FC">
        <w:rPr>
          <w:szCs w:val="22"/>
        </w:rPr>
        <w:br w:type="page"/>
      </w:r>
    </w:p>
    <w:p w:rsidR="00BC341E" w:rsidRPr="000063FC" w:rsidRDefault="00F56931">
      <w:pPr>
        <w:pStyle w:val="Heading1"/>
      </w:pPr>
      <w:bookmarkStart w:id="287" w:name="_Toc254010222"/>
      <w:r w:rsidRPr="000063FC">
        <w:rPr>
          <w:caps w:val="0"/>
        </w:rPr>
        <w:lastRenderedPageBreak/>
        <w:t>IDENTIFIKACIJA SUDIONIKA I DIONIKA U PRIPREMI AKCIJSKOG PLANA</w:t>
      </w:r>
      <w:bookmarkEnd w:id="287"/>
    </w:p>
    <w:p w:rsidR="00BC341E" w:rsidRPr="000063FC" w:rsidRDefault="007B0169">
      <w:pPr>
        <w:spacing w:line="276" w:lineRule="auto"/>
        <w:rPr>
          <w:rFonts w:asciiTheme="minorHAnsi" w:hAnsiTheme="minorHAnsi" w:cs="Arial"/>
          <w:szCs w:val="22"/>
        </w:rPr>
      </w:pPr>
      <w:r w:rsidRPr="000063FC">
        <w:rPr>
          <w:rFonts w:asciiTheme="minorHAnsi" w:hAnsiTheme="minorHAnsi" w:cs="Arial"/>
          <w:szCs w:val="22"/>
        </w:rPr>
        <w:t>Proces izrade, provedbe i praćenja Akcijskog plana energetski održivog razvitka Grada Zagreba ( u daljnjem tekstu Proces) je iznimno složen zadatak koji će pred sve svoje sudionike postaviti brojne izazove. Ovdje je važno naglasiti da je to prvi plan takve vrste u izradi u Hrvatskoj, i iako je Europska komisija dala okvirna uputstva o čitavom tijeku Procesa na Gradskoj je upravi da ih u što većoj mjeri pr</w:t>
      </w:r>
      <w:r w:rsidR="00C24CE2" w:rsidRPr="000063FC">
        <w:rPr>
          <w:rFonts w:asciiTheme="minorHAnsi" w:hAnsiTheme="minorHAnsi" w:cs="Arial"/>
          <w:szCs w:val="22"/>
        </w:rPr>
        <w:t>ilagodi konkretnoj situaciji u G</w:t>
      </w:r>
      <w:r w:rsidRPr="000063FC">
        <w:rPr>
          <w:rFonts w:asciiTheme="minorHAnsi" w:hAnsiTheme="minorHAnsi" w:cs="Arial"/>
          <w:szCs w:val="22"/>
        </w:rPr>
        <w:t>radu što nije nimalo jednostavan zadatak. S druge strane, na Gradu Zagrebu kao hrvatskoj metropoli je i zadatak da kvalitetom i uspješnošću Procesa bude uzor ostalim hrvatskim gradovima na putu urbanog, energetsk</w:t>
      </w:r>
      <w:r w:rsidR="00276C96">
        <w:rPr>
          <w:rFonts w:asciiTheme="minorHAnsi" w:hAnsiTheme="minorHAnsi" w:cs="Arial"/>
          <w:szCs w:val="22"/>
        </w:rPr>
        <w:t>i</w:t>
      </w:r>
      <w:r w:rsidRPr="000063FC">
        <w:rPr>
          <w:rFonts w:asciiTheme="minorHAnsi" w:hAnsiTheme="minorHAnsi" w:cs="Arial"/>
          <w:szCs w:val="22"/>
        </w:rPr>
        <w:t xml:space="preserve"> održivog razvitka.</w:t>
      </w:r>
    </w:p>
    <w:p w:rsidR="00BC341E" w:rsidRPr="000063FC" w:rsidRDefault="00BC341E">
      <w:pPr>
        <w:pStyle w:val="NoSpacing"/>
        <w:spacing w:line="276" w:lineRule="auto"/>
        <w:rPr>
          <w:rFonts w:asciiTheme="minorHAnsi" w:hAnsiTheme="minorHAnsi" w:cs="Arial"/>
        </w:rPr>
      </w:pPr>
    </w:p>
    <w:p w:rsidR="00BC341E" w:rsidRPr="000063FC" w:rsidRDefault="007B0169">
      <w:pPr>
        <w:pStyle w:val="NoSpacing"/>
        <w:spacing w:line="276" w:lineRule="auto"/>
        <w:rPr>
          <w:rFonts w:asciiTheme="minorHAnsi" w:hAnsiTheme="minorHAnsi" w:cs="Arial"/>
        </w:rPr>
      </w:pPr>
      <w:r w:rsidRPr="000063FC">
        <w:rPr>
          <w:rFonts w:asciiTheme="minorHAnsi" w:hAnsiTheme="minorHAnsi" w:cs="Arial"/>
        </w:rPr>
        <w:t>Proces izrade, provedbe i praćenja Akcijskog plana energetski održivog razvitka Grada Zagreba (u daljnjem tekstu Proces) načelno je podijeljen u 6 glavnih koraka:</w:t>
      </w:r>
    </w:p>
    <w:p w:rsidR="00BC341E" w:rsidRPr="000063FC" w:rsidRDefault="007B0169" w:rsidP="00C20113">
      <w:pPr>
        <w:pStyle w:val="NoSpacing"/>
        <w:numPr>
          <w:ilvl w:val="0"/>
          <w:numId w:val="22"/>
        </w:numPr>
        <w:spacing w:line="276" w:lineRule="auto"/>
        <w:jc w:val="both"/>
        <w:rPr>
          <w:rFonts w:asciiTheme="minorHAnsi" w:hAnsiTheme="minorHAnsi" w:cs="Arial"/>
        </w:rPr>
      </w:pPr>
      <w:r w:rsidRPr="000063FC">
        <w:rPr>
          <w:rFonts w:asciiTheme="minorHAnsi" w:hAnsiTheme="minorHAnsi" w:cs="Arial"/>
        </w:rPr>
        <w:t>Pripremne radnje za pokretanje Procesa (politička volja, koordinacija, stručni resursi, dionici i dr.);</w:t>
      </w:r>
    </w:p>
    <w:p w:rsidR="00BC341E" w:rsidRPr="000063FC" w:rsidRDefault="007B0169" w:rsidP="00C20113">
      <w:pPr>
        <w:pStyle w:val="NoSpacing"/>
        <w:numPr>
          <w:ilvl w:val="0"/>
          <w:numId w:val="22"/>
        </w:numPr>
        <w:spacing w:line="276" w:lineRule="auto"/>
        <w:jc w:val="both"/>
        <w:rPr>
          <w:rFonts w:asciiTheme="minorHAnsi" w:hAnsiTheme="minorHAnsi" w:cs="Arial"/>
        </w:rPr>
      </w:pPr>
      <w:r w:rsidRPr="000063FC">
        <w:rPr>
          <w:rFonts w:asciiTheme="minorHAnsi" w:hAnsiTheme="minorHAnsi" w:cs="Arial"/>
        </w:rPr>
        <w:t>Izrada Akcijskog plana energetski održivog razvitka Grada Zagreba (u daljnjem tekstu Akcijski plan);</w:t>
      </w:r>
    </w:p>
    <w:p w:rsidR="00BC341E" w:rsidRPr="000063FC" w:rsidRDefault="007B0169" w:rsidP="00C20113">
      <w:pPr>
        <w:pStyle w:val="NoSpacing"/>
        <w:numPr>
          <w:ilvl w:val="0"/>
          <w:numId w:val="22"/>
        </w:numPr>
        <w:spacing w:line="276" w:lineRule="auto"/>
        <w:jc w:val="both"/>
        <w:rPr>
          <w:rFonts w:asciiTheme="minorHAnsi" w:hAnsiTheme="minorHAnsi" w:cs="Arial"/>
        </w:rPr>
      </w:pPr>
      <w:r w:rsidRPr="000063FC">
        <w:rPr>
          <w:rFonts w:asciiTheme="minorHAnsi" w:hAnsiTheme="minorHAnsi" w:cs="Arial"/>
        </w:rPr>
        <w:t>Prihvaćanje Akcijskog plana kao službenog, provedbenog dokumenta Grada Zagreba;</w:t>
      </w:r>
    </w:p>
    <w:p w:rsidR="00BC341E" w:rsidRPr="000063FC" w:rsidRDefault="007B0169" w:rsidP="00C20113">
      <w:pPr>
        <w:pStyle w:val="NoSpacing"/>
        <w:numPr>
          <w:ilvl w:val="0"/>
          <w:numId w:val="22"/>
        </w:numPr>
        <w:spacing w:line="276" w:lineRule="auto"/>
        <w:jc w:val="both"/>
        <w:rPr>
          <w:rFonts w:asciiTheme="minorHAnsi" w:hAnsiTheme="minorHAnsi" w:cs="Arial"/>
        </w:rPr>
      </w:pPr>
      <w:r w:rsidRPr="000063FC">
        <w:rPr>
          <w:rFonts w:asciiTheme="minorHAnsi" w:hAnsiTheme="minorHAnsi" w:cs="Arial"/>
        </w:rPr>
        <w:t>Provedba identificiranih mjera i aktivnosti prema Planu prioritetnih mjera i aktivnosti u skladu s definiranim rasporedom i vremenskim okvirom;</w:t>
      </w:r>
    </w:p>
    <w:p w:rsidR="00BC341E" w:rsidRPr="000063FC" w:rsidRDefault="007B0169" w:rsidP="00C20113">
      <w:pPr>
        <w:pStyle w:val="NoSpacing"/>
        <w:numPr>
          <w:ilvl w:val="0"/>
          <w:numId w:val="22"/>
        </w:numPr>
        <w:spacing w:line="276" w:lineRule="auto"/>
        <w:jc w:val="both"/>
        <w:rPr>
          <w:rFonts w:asciiTheme="minorHAnsi" w:hAnsiTheme="minorHAnsi" w:cs="Arial"/>
        </w:rPr>
      </w:pPr>
      <w:r w:rsidRPr="000063FC">
        <w:rPr>
          <w:rFonts w:asciiTheme="minorHAnsi" w:hAnsiTheme="minorHAnsi" w:cs="Arial"/>
        </w:rPr>
        <w:t>Praćenje i kontrola provedbe identificiranih mjera prema Planu prioritetnih mjera i aktivnosti;</w:t>
      </w:r>
    </w:p>
    <w:p w:rsidR="00BC341E" w:rsidRPr="000063FC" w:rsidRDefault="007B0169" w:rsidP="00C20113">
      <w:pPr>
        <w:pStyle w:val="NoSpacing"/>
        <w:numPr>
          <w:ilvl w:val="0"/>
          <w:numId w:val="22"/>
        </w:numPr>
        <w:spacing w:line="276" w:lineRule="auto"/>
        <w:jc w:val="both"/>
        <w:rPr>
          <w:rFonts w:asciiTheme="minorHAnsi" w:hAnsiTheme="minorHAnsi" w:cs="Arial"/>
        </w:rPr>
      </w:pPr>
      <w:r w:rsidRPr="000063FC">
        <w:rPr>
          <w:rFonts w:asciiTheme="minorHAnsi" w:hAnsiTheme="minorHAnsi" w:cs="Arial"/>
        </w:rPr>
        <w:t xml:space="preserve">Priprema izvještaja o realiziranim projektima iz Plana prioritetnih mjera i aktivnosti u vremenskim razdobljima od 2 godine. </w:t>
      </w:r>
    </w:p>
    <w:p w:rsidR="00BC341E" w:rsidRPr="000063FC" w:rsidRDefault="007B0169">
      <w:pPr>
        <w:pStyle w:val="NoSpacing"/>
        <w:spacing w:line="276" w:lineRule="auto"/>
        <w:ind w:left="720"/>
        <w:rPr>
          <w:rFonts w:asciiTheme="minorHAnsi" w:hAnsiTheme="minorHAnsi" w:cs="Arial"/>
        </w:rPr>
      </w:pPr>
      <w:r w:rsidRPr="000063FC">
        <w:rPr>
          <w:rFonts w:asciiTheme="minorHAnsi" w:hAnsiTheme="minorHAnsi" w:cs="Arial"/>
        </w:rPr>
        <w:t xml:space="preserve"> </w:t>
      </w:r>
    </w:p>
    <w:p w:rsidR="00BC341E" w:rsidRPr="000063FC" w:rsidRDefault="007B0169" w:rsidP="00276C96">
      <w:pPr>
        <w:pStyle w:val="NoSpacing"/>
        <w:spacing w:line="276" w:lineRule="auto"/>
        <w:jc w:val="both"/>
        <w:rPr>
          <w:rFonts w:asciiTheme="minorHAnsi" w:hAnsiTheme="minorHAnsi" w:cs="Arial"/>
        </w:rPr>
      </w:pPr>
      <w:r w:rsidRPr="000063FC">
        <w:rPr>
          <w:rFonts w:asciiTheme="minorHAnsi" w:hAnsiTheme="minorHAnsi" w:cs="Arial"/>
        </w:rPr>
        <w:t>Unutar 6 glavnih koraka veliki je broj aktivnosti koje trebaju biti pr</w:t>
      </w:r>
      <w:r w:rsidR="00276C96">
        <w:rPr>
          <w:rFonts w:asciiTheme="minorHAnsi" w:hAnsiTheme="minorHAnsi" w:cs="Arial"/>
        </w:rPr>
        <w:t xml:space="preserve">ovedene za uspješnu realizaciju </w:t>
      </w:r>
      <w:r w:rsidRPr="000063FC">
        <w:rPr>
          <w:rFonts w:asciiTheme="minorHAnsi" w:hAnsiTheme="minorHAnsi" w:cs="Arial"/>
        </w:rPr>
        <w:t xml:space="preserve">Procesa. </w:t>
      </w:r>
    </w:p>
    <w:p w:rsidR="00BC341E" w:rsidRPr="000063FC" w:rsidRDefault="007B0169">
      <w:pPr>
        <w:pStyle w:val="Obinitekst10"/>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Korist od uspješno provedenog Procesa izrade, provedbe i praćenja Akcijskog plana je višestruka za sam Grad Zagreb i njegove građane ali i za jačanje političke moći Gradske uprave koja će uspješnom realizacijom čitavog Procesa postići sljedeće:</w:t>
      </w:r>
    </w:p>
    <w:p w:rsidR="00BC341E" w:rsidRPr="000063FC" w:rsidRDefault="007B0169" w:rsidP="00C20113">
      <w:pPr>
        <w:pStyle w:val="Obinitekst10"/>
        <w:numPr>
          <w:ilvl w:val="0"/>
          <w:numId w:val="25"/>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Demonstrirati svoju opredijeljenost za energetski održiv razvitak Grada Zagreba na načelima zaštite okoliša, energetske učinkovitosti i obnovljivih izvora energije kao imperativa održivosti 21. stoljeća;</w:t>
      </w:r>
    </w:p>
    <w:p w:rsidR="00BC341E" w:rsidRPr="000063FC" w:rsidRDefault="007B0169" w:rsidP="00C20113">
      <w:pPr>
        <w:pStyle w:val="Obinitekst10"/>
        <w:numPr>
          <w:ilvl w:val="0"/>
          <w:numId w:val="25"/>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Postaviti temelje energetski održivom razvitku Grada Zagreba;</w:t>
      </w:r>
    </w:p>
    <w:p w:rsidR="00BC341E" w:rsidRPr="000063FC" w:rsidRDefault="007B0169" w:rsidP="00C20113">
      <w:pPr>
        <w:pStyle w:val="Obinitekst10"/>
        <w:numPr>
          <w:ilvl w:val="0"/>
          <w:numId w:val="25"/>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Pokrenuti nove financijske mehanizme za pokretanje i provedbu mjera energetske učinkovitosti i korištenja obnovljivih izvora energije u Gradu Zagrebu;</w:t>
      </w:r>
    </w:p>
    <w:p w:rsidR="00BC341E" w:rsidRPr="000063FC" w:rsidRDefault="007B0169" w:rsidP="00C20113">
      <w:pPr>
        <w:pStyle w:val="Obinitekst10"/>
        <w:numPr>
          <w:ilvl w:val="0"/>
          <w:numId w:val="25"/>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Osigurati dugoročnu sigurnu energetsku opskrbu Grada Zagreba;</w:t>
      </w:r>
    </w:p>
    <w:p w:rsidR="00BC341E" w:rsidRPr="000063FC" w:rsidRDefault="007B0169" w:rsidP="00C20113">
      <w:pPr>
        <w:pStyle w:val="Obinitekst10"/>
        <w:numPr>
          <w:ilvl w:val="0"/>
          <w:numId w:val="25"/>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 xml:space="preserve">Povećati kvalitetu života svojih građana (poboljšati kvalitetu zraka, smanjiti prometna zagušenja i sl.). </w:t>
      </w:r>
    </w:p>
    <w:p w:rsidR="00BC341E" w:rsidRPr="000063FC" w:rsidRDefault="00BC341E">
      <w:pPr>
        <w:pStyle w:val="Obinitekst10"/>
        <w:spacing w:line="276" w:lineRule="auto"/>
        <w:jc w:val="both"/>
        <w:rPr>
          <w:rFonts w:asciiTheme="minorHAnsi" w:hAnsiTheme="minorHAnsi" w:cs="Arial"/>
          <w:sz w:val="22"/>
          <w:szCs w:val="22"/>
          <w:lang w:val="hr-HR"/>
        </w:rPr>
      </w:pPr>
    </w:p>
    <w:p w:rsidR="00BC341E" w:rsidRPr="000063FC" w:rsidRDefault="007B0169">
      <w:pPr>
        <w:spacing w:line="276" w:lineRule="auto"/>
        <w:rPr>
          <w:rFonts w:asciiTheme="minorHAnsi" w:hAnsiTheme="minorHAnsi" w:cs="Arial"/>
          <w:szCs w:val="22"/>
        </w:rPr>
      </w:pPr>
      <w:r w:rsidRPr="000063FC">
        <w:rPr>
          <w:rFonts w:asciiTheme="minorHAnsi" w:hAnsiTheme="minorHAnsi" w:cs="Arial"/>
          <w:szCs w:val="22"/>
        </w:rPr>
        <w:t>Glavni preduvjet uspješne realizacije Procesa je izgradnja djelotvorne organizacijske strukture u kojoj će se od samog pokretanja Procesa znati tko, što, kako i u kojem vremenskim roku treba napraviti. Kako će zbog same kompleksnosti Procesa s jedne a zbog važnosti i veličine Grada Zagreba kao hrvatske metropole s druge strane, Proces obuhvatiti iznimno veliki broj sudionika i dionika vrlo je važno na samom početku formirati radna i nadzorna tijela te jasno definirati zadaće.</w:t>
      </w:r>
    </w:p>
    <w:p w:rsidR="00BC341E" w:rsidRPr="000063FC" w:rsidRDefault="007B0169">
      <w:pPr>
        <w:pStyle w:val="Obinitekst10"/>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lastRenderedPageBreak/>
        <w:t>Prvi korak je identifikacija sudionika, a sljedeći specificiranje njihovih konkretnih uloga i zadataka u Procesu izrade, provedbe i praćenja Akcijskog plana.</w:t>
      </w:r>
    </w:p>
    <w:p w:rsidR="00BC341E" w:rsidRPr="000063FC" w:rsidRDefault="00BC341E">
      <w:pPr>
        <w:spacing w:line="276" w:lineRule="auto"/>
        <w:rPr>
          <w:rFonts w:asciiTheme="minorHAnsi" w:hAnsiTheme="minorHAnsi" w:cs="Arial"/>
          <w:szCs w:val="22"/>
        </w:rPr>
      </w:pPr>
    </w:p>
    <w:p w:rsidR="00BC341E" w:rsidRPr="000063FC" w:rsidRDefault="007B0169">
      <w:pPr>
        <w:pStyle w:val="Obinitekst10"/>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 xml:space="preserve">U izgradnji organizacijske strukture za provedbu Procesa preliminarni je korak imenovanje koordinatora. Koordinator Procesa je ključna osoba Procesa koja od njegovog pokretanja donosi sve važne odluke i na čiji se prijedlog osnivaju sva radna i nadzorna tijela potrebna za realizaciju prije opisanih osnovnih koraka Procesa. </w:t>
      </w:r>
      <w:r w:rsidR="00276C96">
        <w:rPr>
          <w:rFonts w:asciiTheme="minorHAnsi" w:hAnsiTheme="minorHAnsi" w:cs="Arial"/>
          <w:sz w:val="22"/>
          <w:szCs w:val="22"/>
          <w:lang w:val="hr-HR"/>
        </w:rPr>
        <w:t>Najbolji odabir</w:t>
      </w:r>
      <w:r w:rsidRPr="000063FC">
        <w:rPr>
          <w:rFonts w:asciiTheme="minorHAnsi" w:hAnsiTheme="minorHAnsi" w:cs="Arial"/>
          <w:sz w:val="22"/>
          <w:szCs w:val="22"/>
          <w:lang w:val="hr-HR"/>
        </w:rPr>
        <w:t xml:space="preserve"> </w:t>
      </w:r>
      <w:r w:rsidR="00276C96">
        <w:rPr>
          <w:rFonts w:asciiTheme="minorHAnsi" w:hAnsiTheme="minorHAnsi" w:cs="Arial"/>
          <w:sz w:val="22"/>
          <w:szCs w:val="22"/>
          <w:lang w:val="hr-HR"/>
        </w:rPr>
        <w:t xml:space="preserve">za </w:t>
      </w:r>
      <w:r w:rsidRPr="000063FC">
        <w:rPr>
          <w:rFonts w:asciiTheme="minorHAnsi" w:hAnsiTheme="minorHAnsi" w:cs="Arial"/>
          <w:sz w:val="22"/>
          <w:szCs w:val="22"/>
          <w:lang w:val="hr-HR"/>
        </w:rPr>
        <w:t>koordinator</w:t>
      </w:r>
      <w:r w:rsidR="00276C96">
        <w:rPr>
          <w:rFonts w:asciiTheme="minorHAnsi" w:hAnsiTheme="minorHAnsi" w:cs="Arial"/>
          <w:sz w:val="22"/>
          <w:szCs w:val="22"/>
          <w:lang w:val="hr-HR"/>
        </w:rPr>
        <w:t>a Procesa j</w:t>
      </w:r>
      <w:r w:rsidRPr="000063FC">
        <w:rPr>
          <w:rFonts w:asciiTheme="minorHAnsi" w:hAnsiTheme="minorHAnsi" w:cs="Arial"/>
          <w:sz w:val="22"/>
          <w:szCs w:val="22"/>
          <w:lang w:val="hr-HR"/>
        </w:rPr>
        <w:t>e Pročelnik Gradskog ureda za energetiku, zaštitu okoliša i održivi razvoj.</w:t>
      </w:r>
    </w:p>
    <w:p w:rsidR="00BC341E" w:rsidRPr="000063FC" w:rsidRDefault="00BC341E">
      <w:pPr>
        <w:pStyle w:val="Obinitekst10"/>
        <w:spacing w:line="276" w:lineRule="auto"/>
        <w:jc w:val="both"/>
        <w:rPr>
          <w:rFonts w:asciiTheme="minorHAnsi" w:hAnsiTheme="minorHAnsi" w:cs="Arial"/>
          <w:sz w:val="22"/>
          <w:szCs w:val="22"/>
          <w:lang w:val="hr-HR"/>
        </w:rPr>
      </w:pPr>
    </w:p>
    <w:p w:rsidR="00BC341E" w:rsidRPr="000063FC" w:rsidRDefault="007B0169">
      <w:pPr>
        <w:pStyle w:val="Obinitekst10"/>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Zadaci Gradske uprave u realizaciji Akcijskog plana su sljedeći:</w:t>
      </w:r>
    </w:p>
    <w:p w:rsidR="00BC341E" w:rsidRPr="000063FC" w:rsidRDefault="007B0169" w:rsidP="00C20113">
      <w:pPr>
        <w:pStyle w:val="Obinitekst10"/>
        <w:numPr>
          <w:ilvl w:val="0"/>
          <w:numId w:val="23"/>
        </w:numPr>
        <w:spacing w:line="276" w:lineRule="auto"/>
        <w:ind w:left="709" w:hanging="283"/>
        <w:jc w:val="both"/>
        <w:rPr>
          <w:rFonts w:asciiTheme="minorHAnsi" w:hAnsiTheme="minorHAnsi" w:cs="Arial"/>
          <w:sz w:val="22"/>
          <w:szCs w:val="22"/>
          <w:lang w:val="hr-HR"/>
        </w:rPr>
      </w:pPr>
      <w:r w:rsidRPr="000063FC">
        <w:rPr>
          <w:rFonts w:asciiTheme="minorHAnsi" w:hAnsiTheme="minorHAnsi" w:cs="Arial"/>
          <w:sz w:val="22"/>
          <w:szCs w:val="22"/>
          <w:lang w:val="hr-HR"/>
        </w:rPr>
        <w:t>Uspješno integrirati ciljeve i mjere Akcijskog plana u razvojnu strategiju Grada Zagreba;</w:t>
      </w:r>
    </w:p>
    <w:p w:rsidR="00BC341E" w:rsidRPr="000063FC" w:rsidRDefault="007B0169" w:rsidP="00C20113">
      <w:pPr>
        <w:pStyle w:val="Obinitekst10"/>
        <w:numPr>
          <w:ilvl w:val="0"/>
          <w:numId w:val="23"/>
        </w:numPr>
        <w:spacing w:line="276" w:lineRule="auto"/>
        <w:ind w:left="709" w:hanging="283"/>
        <w:jc w:val="both"/>
        <w:rPr>
          <w:rFonts w:asciiTheme="minorHAnsi" w:hAnsiTheme="minorHAnsi" w:cs="Arial"/>
          <w:sz w:val="22"/>
          <w:szCs w:val="22"/>
          <w:lang w:val="hr-HR"/>
        </w:rPr>
      </w:pPr>
      <w:r w:rsidRPr="000063FC">
        <w:rPr>
          <w:rFonts w:asciiTheme="minorHAnsi" w:hAnsiTheme="minorHAnsi" w:cs="Arial"/>
          <w:sz w:val="22"/>
          <w:szCs w:val="22"/>
          <w:lang w:val="hr-HR"/>
        </w:rPr>
        <w:t>Osigurati stručni kadar za provedbu identificiranih mjera energetske učinkovitosti i obnovljivih izvora energije;</w:t>
      </w:r>
    </w:p>
    <w:p w:rsidR="00BC341E" w:rsidRPr="000063FC" w:rsidRDefault="007B0169" w:rsidP="00C20113">
      <w:pPr>
        <w:pStyle w:val="Obinitekst10"/>
        <w:numPr>
          <w:ilvl w:val="0"/>
          <w:numId w:val="23"/>
        </w:numPr>
        <w:spacing w:line="276" w:lineRule="auto"/>
        <w:ind w:left="709" w:hanging="283"/>
        <w:jc w:val="both"/>
        <w:rPr>
          <w:rFonts w:asciiTheme="minorHAnsi" w:hAnsiTheme="minorHAnsi" w:cs="Arial"/>
          <w:sz w:val="22"/>
          <w:szCs w:val="22"/>
          <w:lang w:val="hr-HR"/>
        </w:rPr>
      </w:pPr>
      <w:r w:rsidRPr="000063FC">
        <w:rPr>
          <w:rFonts w:asciiTheme="minorHAnsi" w:hAnsiTheme="minorHAnsi" w:cs="Arial"/>
          <w:sz w:val="22"/>
          <w:szCs w:val="22"/>
          <w:lang w:val="hr-HR"/>
        </w:rPr>
        <w:t>Osigurati financijska sredstva za provedbu mjera;</w:t>
      </w:r>
    </w:p>
    <w:p w:rsidR="00BC341E" w:rsidRPr="000063FC" w:rsidRDefault="007B0169" w:rsidP="00C20113">
      <w:pPr>
        <w:pStyle w:val="Obinitekst10"/>
        <w:numPr>
          <w:ilvl w:val="0"/>
          <w:numId w:val="23"/>
        </w:numPr>
        <w:spacing w:line="276" w:lineRule="auto"/>
        <w:ind w:left="709" w:hanging="283"/>
        <w:jc w:val="both"/>
        <w:rPr>
          <w:rFonts w:asciiTheme="minorHAnsi" w:hAnsiTheme="minorHAnsi" w:cs="Arial"/>
          <w:sz w:val="22"/>
          <w:szCs w:val="22"/>
          <w:lang w:val="hr-HR"/>
        </w:rPr>
      </w:pPr>
      <w:r w:rsidRPr="000063FC">
        <w:rPr>
          <w:rFonts w:asciiTheme="minorHAnsi" w:hAnsiTheme="minorHAnsi" w:cs="Arial"/>
          <w:sz w:val="22"/>
          <w:szCs w:val="22"/>
          <w:lang w:val="hr-HR"/>
        </w:rPr>
        <w:t>Podupirati kontinuirano provođenje mjera kroz čitavo razdoblje provedbe Akcijskog plana do 2020. godine;</w:t>
      </w:r>
    </w:p>
    <w:p w:rsidR="00BC341E" w:rsidRPr="000063FC" w:rsidRDefault="007B0169" w:rsidP="00C20113">
      <w:pPr>
        <w:pStyle w:val="Obinitekst10"/>
        <w:numPr>
          <w:ilvl w:val="0"/>
          <w:numId w:val="23"/>
        </w:numPr>
        <w:spacing w:line="276" w:lineRule="auto"/>
        <w:ind w:left="709" w:hanging="283"/>
        <w:jc w:val="both"/>
        <w:rPr>
          <w:rFonts w:asciiTheme="minorHAnsi" w:hAnsiTheme="minorHAnsi" w:cs="Arial"/>
          <w:sz w:val="22"/>
          <w:szCs w:val="22"/>
          <w:lang w:val="hr-HR"/>
        </w:rPr>
      </w:pPr>
      <w:r w:rsidRPr="000063FC">
        <w:rPr>
          <w:rFonts w:asciiTheme="minorHAnsi" w:hAnsiTheme="minorHAnsi" w:cs="Arial"/>
          <w:sz w:val="22"/>
          <w:szCs w:val="22"/>
          <w:lang w:val="hr-HR"/>
        </w:rPr>
        <w:t>Osigurati praćenje i izvještavanje o dinamici provedbe plana do 2020. godine;</w:t>
      </w:r>
    </w:p>
    <w:p w:rsidR="00BC341E" w:rsidRPr="000063FC" w:rsidRDefault="007B0169" w:rsidP="00C20113">
      <w:pPr>
        <w:pStyle w:val="Obinitekst10"/>
        <w:numPr>
          <w:ilvl w:val="0"/>
          <w:numId w:val="23"/>
        </w:numPr>
        <w:spacing w:line="276" w:lineRule="auto"/>
        <w:ind w:left="709" w:hanging="283"/>
        <w:jc w:val="both"/>
        <w:rPr>
          <w:rFonts w:asciiTheme="minorHAnsi" w:hAnsiTheme="minorHAnsi" w:cs="Arial"/>
          <w:sz w:val="22"/>
          <w:szCs w:val="22"/>
          <w:lang w:val="hr-HR"/>
        </w:rPr>
      </w:pPr>
      <w:r w:rsidRPr="000063FC">
        <w:rPr>
          <w:rFonts w:asciiTheme="minorHAnsi" w:hAnsiTheme="minorHAnsi" w:cs="Arial"/>
          <w:sz w:val="22"/>
          <w:szCs w:val="22"/>
          <w:lang w:val="hr-HR"/>
        </w:rPr>
        <w:t>Kontinuirano informirati građane o provedbi plana;</w:t>
      </w:r>
    </w:p>
    <w:p w:rsidR="00BC341E" w:rsidRPr="000063FC" w:rsidRDefault="007B0169" w:rsidP="00C20113">
      <w:pPr>
        <w:pStyle w:val="Obinitekst10"/>
        <w:numPr>
          <w:ilvl w:val="0"/>
          <w:numId w:val="23"/>
        </w:numPr>
        <w:spacing w:line="276" w:lineRule="auto"/>
        <w:ind w:left="709" w:hanging="283"/>
        <w:jc w:val="both"/>
        <w:rPr>
          <w:rFonts w:asciiTheme="minorHAnsi" w:hAnsiTheme="minorHAnsi" w:cs="Arial"/>
          <w:sz w:val="22"/>
          <w:szCs w:val="22"/>
          <w:lang w:val="hr-HR"/>
        </w:rPr>
      </w:pPr>
      <w:r w:rsidRPr="000063FC">
        <w:rPr>
          <w:rFonts w:asciiTheme="minorHAnsi" w:hAnsiTheme="minorHAnsi" w:cs="Arial"/>
          <w:sz w:val="22"/>
          <w:szCs w:val="22"/>
          <w:lang w:val="hr-HR"/>
        </w:rPr>
        <w:t>Osigurati sudjelovanje dionika i građana u čitavom procesu od izrade do praćenja provedbe Akcijskog plana;</w:t>
      </w:r>
    </w:p>
    <w:p w:rsidR="00BC341E" w:rsidRPr="000063FC" w:rsidRDefault="007B0169" w:rsidP="00C20113">
      <w:pPr>
        <w:pStyle w:val="Obinitekst10"/>
        <w:numPr>
          <w:ilvl w:val="0"/>
          <w:numId w:val="23"/>
        </w:numPr>
        <w:spacing w:line="276" w:lineRule="auto"/>
        <w:ind w:left="709" w:hanging="283"/>
        <w:jc w:val="both"/>
        <w:rPr>
          <w:rFonts w:asciiTheme="minorHAnsi" w:hAnsiTheme="minorHAnsi" w:cs="Arial"/>
          <w:sz w:val="22"/>
          <w:szCs w:val="22"/>
          <w:lang w:val="hr-HR"/>
        </w:rPr>
      </w:pPr>
      <w:r w:rsidRPr="000063FC">
        <w:rPr>
          <w:rFonts w:asciiTheme="minorHAnsi" w:hAnsiTheme="minorHAnsi" w:cs="Arial"/>
          <w:sz w:val="22"/>
          <w:szCs w:val="22"/>
          <w:lang w:val="hr-HR"/>
        </w:rPr>
        <w:t>Uključiti se u mrežu gradova potpisnika Sporazuma gradonačelnika u cilju kontinuirane razmjene pozitivnih iskustava i zajedničke sinergije u izgradnji energetski održivih urbanih područja Europe.</w:t>
      </w:r>
    </w:p>
    <w:p w:rsidR="00BC341E" w:rsidRPr="000063FC" w:rsidRDefault="00BC341E">
      <w:pPr>
        <w:spacing w:line="276" w:lineRule="auto"/>
        <w:rPr>
          <w:rFonts w:asciiTheme="minorHAnsi" w:hAnsiTheme="minorHAnsi" w:cs="Arial"/>
          <w:szCs w:val="22"/>
        </w:rPr>
      </w:pPr>
    </w:p>
    <w:p w:rsidR="00BC341E" w:rsidRPr="000063FC" w:rsidRDefault="007B0169">
      <w:pPr>
        <w:pStyle w:val="Obinitekst10"/>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Nadzorna i radna tijela koja prema koracima provedbe Procesa treba osnovati su sljedeća:</w:t>
      </w:r>
    </w:p>
    <w:p w:rsidR="00BC341E" w:rsidRPr="000063FC" w:rsidRDefault="007B0169" w:rsidP="00C20113">
      <w:pPr>
        <w:pStyle w:val="Obinitekst10"/>
        <w:numPr>
          <w:ilvl w:val="0"/>
          <w:numId w:val="17"/>
        </w:numPr>
        <w:spacing w:line="276" w:lineRule="auto"/>
        <w:ind w:hanging="436"/>
        <w:jc w:val="both"/>
        <w:rPr>
          <w:rFonts w:asciiTheme="minorHAnsi" w:hAnsiTheme="minorHAnsi" w:cs="Arial"/>
          <w:sz w:val="22"/>
          <w:szCs w:val="22"/>
          <w:lang w:val="hr-HR"/>
        </w:rPr>
      </w:pPr>
      <w:r w:rsidRPr="000063FC">
        <w:rPr>
          <w:rFonts w:asciiTheme="minorHAnsi" w:hAnsiTheme="minorHAnsi" w:cs="Arial"/>
          <w:sz w:val="22"/>
          <w:szCs w:val="22"/>
          <w:lang w:val="hr-HR"/>
        </w:rPr>
        <w:t>Energetski savjet;</w:t>
      </w:r>
    </w:p>
    <w:p w:rsidR="00BC341E" w:rsidRPr="000063FC" w:rsidRDefault="007B0169" w:rsidP="00C20113">
      <w:pPr>
        <w:pStyle w:val="Obinitekst10"/>
        <w:numPr>
          <w:ilvl w:val="0"/>
          <w:numId w:val="17"/>
        </w:numPr>
        <w:spacing w:line="276" w:lineRule="auto"/>
        <w:ind w:hanging="436"/>
        <w:jc w:val="both"/>
        <w:rPr>
          <w:rFonts w:asciiTheme="minorHAnsi" w:hAnsiTheme="minorHAnsi" w:cs="Arial"/>
          <w:sz w:val="22"/>
          <w:szCs w:val="22"/>
          <w:lang w:val="hr-HR"/>
        </w:rPr>
      </w:pPr>
      <w:r w:rsidRPr="000063FC">
        <w:rPr>
          <w:rFonts w:asciiTheme="minorHAnsi" w:hAnsiTheme="minorHAnsi" w:cs="Arial"/>
          <w:sz w:val="22"/>
          <w:szCs w:val="22"/>
          <w:lang w:val="hr-HR"/>
        </w:rPr>
        <w:t>Radna grupa za provedbu Akcijskog plana prioritetnih mjera i aktivnosti;</w:t>
      </w:r>
    </w:p>
    <w:p w:rsidR="00BC341E" w:rsidRPr="000063FC" w:rsidRDefault="00BC341E">
      <w:pPr>
        <w:pStyle w:val="Obinitekst10"/>
        <w:spacing w:line="276" w:lineRule="auto"/>
        <w:jc w:val="both"/>
        <w:rPr>
          <w:rFonts w:asciiTheme="minorHAnsi" w:hAnsiTheme="minorHAnsi" w:cs="Arial"/>
          <w:sz w:val="22"/>
          <w:szCs w:val="22"/>
          <w:lang w:val="hr-HR"/>
        </w:rPr>
      </w:pPr>
    </w:p>
    <w:p w:rsidR="00BC341E" w:rsidRPr="000063FC" w:rsidRDefault="007B0169">
      <w:pPr>
        <w:pStyle w:val="Obinitekst10"/>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Energetski savjet je nadzorno i savjetodavno tijelo koje treba osnovati u fazi pokretanja Procesa. U cilju dobre komunikacije i praćenja cijelog Procesa prijedlog je da koordinator Procesa obnaša i dužnost predsjednika Energetskog savjeta. Energetski savjet trebaju činiti predstavnici Gradske uprave i glavnih dionika Procesa. Osnovne zadaće Energetskog savjeta su sljedeće:</w:t>
      </w:r>
    </w:p>
    <w:p w:rsidR="00BC341E" w:rsidRPr="000063FC" w:rsidRDefault="007B0169" w:rsidP="00C20113">
      <w:pPr>
        <w:pStyle w:val="Obinitekst10"/>
        <w:numPr>
          <w:ilvl w:val="0"/>
          <w:numId w:val="18"/>
        </w:numPr>
        <w:spacing w:line="276" w:lineRule="auto"/>
        <w:ind w:left="709" w:hanging="425"/>
        <w:jc w:val="both"/>
        <w:rPr>
          <w:rFonts w:asciiTheme="minorHAnsi" w:hAnsiTheme="minorHAnsi" w:cs="Arial"/>
          <w:sz w:val="22"/>
          <w:szCs w:val="22"/>
          <w:lang w:val="hr-HR"/>
        </w:rPr>
      </w:pPr>
      <w:r w:rsidRPr="000063FC">
        <w:rPr>
          <w:rFonts w:asciiTheme="minorHAnsi" w:hAnsiTheme="minorHAnsi" w:cs="Arial"/>
          <w:sz w:val="22"/>
          <w:szCs w:val="22"/>
          <w:lang w:val="hr-HR"/>
        </w:rPr>
        <w:t>Praćenje svih faza Procesa izrade, provedbe i praćenja Akcijskog plana;</w:t>
      </w:r>
    </w:p>
    <w:p w:rsidR="00BC341E" w:rsidRPr="000063FC" w:rsidRDefault="007B0169" w:rsidP="00C20113">
      <w:pPr>
        <w:pStyle w:val="Obinitekst10"/>
        <w:numPr>
          <w:ilvl w:val="0"/>
          <w:numId w:val="18"/>
        </w:numPr>
        <w:shd w:val="clear" w:color="auto" w:fill="FFFFFF"/>
        <w:spacing w:line="276" w:lineRule="auto"/>
        <w:ind w:left="709" w:hanging="425"/>
        <w:jc w:val="both"/>
        <w:rPr>
          <w:rFonts w:asciiTheme="minorHAnsi" w:hAnsiTheme="minorHAnsi" w:cs="Arial"/>
          <w:sz w:val="22"/>
          <w:szCs w:val="22"/>
          <w:lang w:val="hr-HR"/>
        </w:rPr>
      </w:pPr>
      <w:r w:rsidRPr="000063FC">
        <w:rPr>
          <w:rFonts w:asciiTheme="minorHAnsi" w:hAnsiTheme="minorHAnsi" w:cs="Arial"/>
          <w:sz w:val="22"/>
          <w:szCs w:val="22"/>
          <w:lang w:val="hr-HR"/>
        </w:rPr>
        <w:t>Komunikacija s dionicima i građanstvom;</w:t>
      </w:r>
    </w:p>
    <w:p w:rsidR="00BC341E" w:rsidRPr="000063FC" w:rsidRDefault="007B0169" w:rsidP="00C20113">
      <w:pPr>
        <w:pStyle w:val="Obinitekst10"/>
        <w:numPr>
          <w:ilvl w:val="0"/>
          <w:numId w:val="18"/>
        </w:numPr>
        <w:spacing w:line="276" w:lineRule="auto"/>
        <w:ind w:left="709" w:hanging="425"/>
        <w:jc w:val="both"/>
        <w:rPr>
          <w:rFonts w:asciiTheme="minorHAnsi" w:hAnsiTheme="minorHAnsi" w:cs="Arial"/>
          <w:sz w:val="22"/>
          <w:szCs w:val="22"/>
          <w:lang w:val="hr-HR"/>
        </w:rPr>
      </w:pPr>
      <w:r w:rsidRPr="000063FC">
        <w:rPr>
          <w:rFonts w:asciiTheme="minorHAnsi" w:hAnsiTheme="minorHAnsi" w:cs="Arial"/>
          <w:sz w:val="22"/>
          <w:szCs w:val="22"/>
          <w:lang w:val="hr-HR"/>
        </w:rPr>
        <w:t>Recenzija Akcijskog plana;</w:t>
      </w:r>
    </w:p>
    <w:p w:rsidR="00BC341E" w:rsidRPr="000063FC" w:rsidRDefault="007B0169" w:rsidP="00C20113">
      <w:pPr>
        <w:pStyle w:val="Obinitekst10"/>
        <w:numPr>
          <w:ilvl w:val="0"/>
          <w:numId w:val="18"/>
        </w:numPr>
        <w:spacing w:line="276" w:lineRule="auto"/>
        <w:ind w:left="709" w:hanging="425"/>
        <w:jc w:val="both"/>
        <w:rPr>
          <w:rFonts w:asciiTheme="minorHAnsi" w:hAnsiTheme="minorHAnsi" w:cs="Arial"/>
          <w:sz w:val="22"/>
          <w:szCs w:val="22"/>
          <w:lang w:val="hr-HR"/>
        </w:rPr>
      </w:pPr>
      <w:r w:rsidRPr="000063FC">
        <w:rPr>
          <w:rFonts w:asciiTheme="minorHAnsi" w:hAnsiTheme="minorHAnsi" w:cs="Arial"/>
          <w:sz w:val="22"/>
          <w:szCs w:val="22"/>
          <w:lang w:val="hr-HR"/>
        </w:rPr>
        <w:t>Prihvaćanje Akcijskog plana;</w:t>
      </w:r>
    </w:p>
    <w:p w:rsidR="00BC341E" w:rsidRPr="000063FC" w:rsidRDefault="007B0169" w:rsidP="00C20113">
      <w:pPr>
        <w:pStyle w:val="Obinitekst10"/>
        <w:numPr>
          <w:ilvl w:val="0"/>
          <w:numId w:val="18"/>
        </w:numPr>
        <w:spacing w:line="276" w:lineRule="auto"/>
        <w:ind w:left="709" w:hanging="425"/>
        <w:jc w:val="both"/>
        <w:rPr>
          <w:rFonts w:asciiTheme="minorHAnsi" w:hAnsiTheme="minorHAnsi" w:cs="Arial"/>
          <w:sz w:val="22"/>
          <w:szCs w:val="22"/>
          <w:lang w:val="hr-HR"/>
        </w:rPr>
      </w:pPr>
      <w:r w:rsidRPr="000063FC">
        <w:rPr>
          <w:rFonts w:asciiTheme="minorHAnsi" w:hAnsiTheme="minorHAnsi" w:cs="Arial"/>
          <w:sz w:val="22"/>
          <w:szCs w:val="22"/>
          <w:lang w:val="hr-HR"/>
        </w:rPr>
        <w:t>Prijedlog Gradskoj skupštini da Akcijski plan postane službeni, provedbeni dokument Grada;</w:t>
      </w:r>
    </w:p>
    <w:p w:rsidR="00BC341E" w:rsidRPr="000063FC" w:rsidRDefault="007B0169" w:rsidP="00C20113">
      <w:pPr>
        <w:pStyle w:val="Obinitekst10"/>
        <w:numPr>
          <w:ilvl w:val="0"/>
          <w:numId w:val="18"/>
        </w:numPr>
        <w:spacing w:line="276" w:lineRule="auto"/>
        <w:ind w:left="709" w:hanging="425"/>
        <w:jc w:val="both"/>
        <w:rPr>
          <w:rFonts w:asciiTheme="minorHAnsi" w:hAnsiTheme="minorHAnsi" w:cs="Arial"/>
          <w:sz w:val="22"/>
          <w:szCs w:val="22"/>
          <w:lang w:val="hr-HR"/>
        </w:rPr>
      </w:pPr>
      <w:r w:rsidRPr="000063FC">
        <w:rPr>
          <w:rFonts w:asciiTheme="minorHAnsi" w:hAnsiTheme="minorHAnsi" w:cs="Arial"/>
          <w:sz w:val="22"/>
          <w:szCs w:val="22"/>
          <w:lang w:val="hr-HR"/>
        </w:rPr>
        <w:t>Praćenje rada Radne grupe za provedbu Plana prioritetnih mjera i aktivnosti;</w:t>
      </w:r>
    </w:p>
    <w:p w:rsidR="00BC341E" w:rsidRPr="000063FC" w:rsidRDefault="007B0169" w:rsidP="00C20113">
      <w:pPr>
        <w:pStyle w:val="Obinitekst10"/>
        <w:numPr>
          <w:ilvl w:val="0"/>
          <w:numId w:val="18"/>
        </w:numPr>
        <w:spacing w:line="276" w:lineRule="auto"/>
        <w:ind w:left="709" w:hanging="425"/>
        <w:jc w:val="both"/>
        <w:rPr>
          <w:rFonts w:asciiTheme="minorHAnsi" w:hAnsiTheme="minorHAnsi" w:cs="Arial"/>
          <w:sz w:val="22"/>
          <w:szCs w:val="22"/>
          <w:lang w:val="hr-HR"/>
        </w:rPr>
      </w:pPr>
      <w:r w:rsidRPr="000063FC">
        <w:rPr>
          <w:rFonts w:asciiTheme="minorHAnsi" w:hAnsiTheme="minorHAnsi" w:cs="Arial"/>
          <w:sz w:val="22"/>
          <w:szCs w:val="22"/>
          <w:lang w:val="hr-HR"/>
        </w:rPr>
        <w:t xml:space="preserve">Praćenje i kontrola provedbe  Plana prioritetnih mjera i aktivnosti; </w:t>
      </w:r>
    </w:p>
    <w:p w:rsidR="00BC341E" w:rsidRPr="000063FC" w:rsidRDefault="007B0169" w:rsidP="00C20113">
      <w:pPr>
        <w:pStyle w:val="Obinitekst10"/>
        <w:numPr>
          <w:ilvl w:val="0"/>
          <w:numId w:val="18"/>
        </w:numPr>
        <w:spacing w:line="276" w:lineRule="auto"/>
        <w:ind w:left="709" w:hanging="425"/>
        <w:jc w:val="both"/>
        <w:rPr>
          <w:rFonts w:asciiTheme="minorHAnsi" w:hAnsiTheme="minorHAnsi" w:cs="Arial"/>
          <w:sz w:val="22"/>
          <w:szCs w:val="22"/>
          <w:lang w:val="hr-HR"/>
        </w:rPr>
      </w:pPr>
      <w:r w:rsidRPr="000063FC">
        <w:rPr>
          <w:rFonts w:asciiTheme="minorHAnsi" w:hAnsiTheme="minorHAnsi" w:cs="Arial"/>
          <w:sz w:val="22"/>
          <w:szCs w:val="22"/>
          <w:lang w:val="hr-HR"/>
        </w:rPr>
        <w:t>Periodičko izvještavanje Gradske skupštine o rezultatima Procesa izrade, provedbe i praćenja Akcijskog plana;</w:t>
      </w:r>
    </w:p>
    <w:p w:rsidR="00BC341E" w:rsidRPr="000063FC" w:rsidRDefault="007B0169" w:rsidP="00C20113">
      <w:pPr>
        <w:pStyle w:val="Obinitekst10"/>
        <w:numPr>
          <w:ilvl w:val="0"/>
          <w:numId w:val="18"/>
        </w:numPr>
        <w:spacing w:line="276" w:lineRule="auto"/>
        <w:ind w:left="709" w:hanging="425"/>
        <w:jc w:val="both"/>
        <w:rPr>
          <w:rFonts w:asciiTheme="minorHAnsi" w:hAnsiTheme="minorHAnsi" w:cs="Arial"/>
          <w:sz w:val="22"/>
          <w:szCs w:val="22"/>
          <w:lang w:val="hr-HR"/>
        </w:rPr>
      </w:pPr>
      <w:r w:rsidRPr="000063FC">
        <w:rPr>
          <w:rFonts w:asciiTheme="minorHAnsi" w:hAnsiTheme="minorHAnsi" w:cs="Arial"/>
          <w:sz w:val="22"/>
          <w:szCs w:val="22"/>
          <w:lang w:val="hr-HR"/>
        </w:rPr>
        <w:t>Recenzija Izvještaja o postignutim rezultatima provedbe Akcijskog plana za Europsku komisiju;</w:t>
      </w:r>
    </w:p>
    <w:p w:rsidR="00BC341E" w:rsidRPr="000063FC" w:rsidRDefault="007B0169" w:rsidP="00C20113">
      <w:pPr>
        <w:pStyle w:val="Obinitekst10"/>
        <w:numPr>
          <w:ilvl w:val="0"/>
          <w:numId w:val="18"/>
        </w:numPr>
        <w:spacing w:line="276" w:lineRule="auto"/>
        <w:ind w:left="709" w:hanging="425"/>
        <w:jc w:val="both"/>
        <w:rPr>
          <w:rFonts w:asciiTheme="minorHAnsi" w:hAnsiTheme="minorHAnsi" w:cs="Arial"/>
          <w:sz w:val="22"/>
          <w:szCs w:val="22"/>
          <w:lang w:val="hr-HR"/>
        </w:rPr>
      </w:pPr>
      <w:r w:rsidRPr="000063FC">
        <w:rPr>
          <w:rFonts w:asciiTheme="minorHAnsi" w:hAnsiTheme="minorHAnsi" w:cs="Arial"/>
          <w:sz w:val="22"/>
          <w:szCs w:val="22"/>
          <w:lang w:val="hr-HR"/>
        </w:rPr>
        <w:t>Prihvaćanje Izvještaja o postignutim rezultatima provedbe Akcijskog plana za Europsku komisiju.</w:t>
      </w:r>
    </w:p>
    <w:p w:rsidR="00BC341E" w:rsidRPr="000063FC" w:rsidRDefault="00BC341E">
      <w:pPr>
        <w:pStyle w:val="Obinitekst10"/>
        <w:spacing w:line="276" w:lineRule="auto"/>
        <w:jc w:val="both"/>
        <w:rPr>
          <w:rFonts w:asciiTheme="minorHAnsi" w:hAnsiTheme="minorHAnsi" w:cs="Arial"/>
          <w:sz w:val="22"/>
          <w:szCs w:val="22"/>
          <w:lang w:val="hr-HR"/>
        </w:rPr>
      </w:pPr>
    </w:p>
    <w:p w:rsidR="00BC341E" w:rsidRPr="000063FC" w:rsidRDefault="007B0169">
      <w:pPr>
        <w:pStyle w:val="Obinitekst10"/>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Prijedlog je da Energetski savjet Grada Zagreba čine predstavnici sljedećih institucija:</w:t>
      </w:r>
    </w:p>
    <w:p w:rsidR="00BC341E" w:rsidRPr="000063FC" w:rsidRDefault="007B0169" w:rsidP="00C20113">
      <w:pPr>
        <w:pStyle w:val="Obinitekst10"/>
        <w:numPr>
          <w:ilvl w:val="0"/>
          <w:numId w:val="19"/>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Gradskog ureda za energetiku, zaštitu okoliša i održivi razvoj;</w:t>
      </w:r>
    </w:p>
    <w:p w:rsidR="00BC341E" w:rsidRPr="000063FC" w:rsidRDefault="007B0169" w:rsidP="00C20113">
      <w:pPr>
        <w:pStyle w:val="Obinitekst10"/>
        <w:numPr>
          <w:ilvl w:val="0"/>
          <w:numId w:val="19"/>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Gradskog ureda za prostorno uređenje, izgradnju Grada, graditeljstvo, komunalne poslove i promet;</w:t>
      </w:r>
    </w:p>
    <w:p w:rsidR="00BC341E" w:rsidRPr="000063FC" w:rsidRDefault="007B0169" w:rsidP="00C20113">
      <w:pPr>
        <w:pStyle w:val="Obinitekst10"/>
        <w:numPr>
          <w:ilvl w:val="0"/>
          <w:numId w:val="19"/>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Gradskog ureda za gospodarstvo, rad i poduzetništvo;</w:t>
      </w:r>
    </w:p>
    <w:p w:rsidR="00BC341E" w:rsidRPr="000063FC" w:rsidRDefault="007B0169" w:rsidP="00C20113">
      <w:pPr>
        <w:pStyle w:val="Obinitekst10"/>
        <w:numPr>
          <w:ilvl w:val="0"/>
          <w:numId w:val="19"/>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Gradskog ureda za strategijsko planiranje i razvitak Grada – Odjel za statistiku;</w:t>
      </w:r>
    </w:p>
    <w:p w:rsidR="00BC341E" w:rsidRPr="000063FC" w:rsidRDefault="007B0169" w:rsidP="00C20113">
      <w:pPr>
        <w:pStyle w:val="Obinitekst10"/>
        <w:numPr>
          <w:ilvl w:val="0"/>
          <w:numId w:val="19"/>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HEP ODS-a d.o.o. - Elektre Zagreb;</w:t>
      </w:r>
    </w:p>
    <w:p w:rsidR="00BC341E" w:rsidRPr="000063FC" w:rsidRDefault="007B0169" w:rsidP="00C20113">
      <w:pPr>
        <w:pStyle w:val="Obinitekst10"/>
        <w:numPr>
          <w:ilvl w:val="0"/>
          <w:numId w:val="19"/>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HEP Toplinarstva d.o.o.</w:t>
      </w:r>
    </w:p>
    <w:p w:rsidR="00BC341E" w:rsidRPr="000063FC" w:rsidRDefault="007B0169" w:rsidP="00C20113">
      <w:pPr>
        <w:pStyle w:val="Obinitekst10"/>
        <w:numPr>
          <w:ilvl w:val="0"/>
          <w:numId w:val="19"/>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Gradske plinare Zagreb d.o.o.;</w:t>
      </w:r>
    </w:p>
    <w:p w:rsidR="00BC341E" w:rsidRPr="000063FC" w:rsidRDefault="007B0169" w:rsidP="00C20113">
      <w:pPr>
        <w:pStyle w:val="Obinitekst10"/>
        <w:numPr>
          <w:ilvl w:val="0"/>
          <w:numId w:val="19"/>
        </w:numPr>
        <w:shd w:val="clear" w:color="auto" w:fill="FFFFFF"/>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Regionalne energetske agencije Sjeverozapadne Hrvatske.</w:t>
      </w:r>
    </w:p>
    <w:p w:rsidR="00BC341E" w:rsidRPr="000063FC" w:rsidRDefault="00BC341E">
      <w:pPr>
        <w:pStyle w:val="Obinitekst10"/>
        <w:spacing w:line="276" w:lineRule="auto"/>
        <w:jc w:val="both"/>
        <w:rPr>
          <w:rFonts w:asciiTheme="minorHAnsi" w:hAnsiTheme="minorHAnsi" w:cs="Arial"/>
          <w:sz w:val="22"/>
          <w:szCs w:val="22"/>
          <w:lang w:val="hr-HR"/>
        </w:rPr>
      </w:pPr>
    </w:p>
    <w:p w:rsidR="00BC341E" w:rsidRPr="000063FC" w:rsidRDefault="007B0169">
      <w:pPr>
        <w:pStyle w:val="Obinitekst10"/>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Uz predstavnike predloženih institucija, svoje bi mjesto u Energetskom savjetu Grada Zagreba trebali naći i istaknuti energetski stručnjaci s dugogodišnjim iskustvom iz područja:</w:t>
      </w:r>
    </w:p>
    <w:p w:rsidR="00BC341E" w:rsidRPr="000063FC" w:rsidRDefault="007B0169" w:rsidP="00C20113">
      <w:pPr>
        <w:pStyle w:val="Obinitekst10"/>
        <w:numPr>
          <w:ilvl w:val="0"/>
          <w:numId w:val="21"/>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Energetskog planiranja,</w:t>
      </w:r>
    </w:p>
    <w:p w:rsidR="00BC341E" w:rsidRPr="000063FC" w:rsidRDefault="007B0169" w:rsidP="00C20113">
      <w:pPr>
        <w:pStyle w:val="Obinitekst10"/>
        <w:numPr>
          <w:ilvl w:val="0"/>
          <w:numId w:val="21"/>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Graditeljstva i prostornog planiranja,</w:t>
      </w:r>
    </w:p>
    <w:p w:rsidR="00BC341E" w:rsidRPr="000063FC" w:rsidRDefault="007B0169" w:rsidP="00C20113">
      <w:pPr>
        <w:pStyle w:val="Obinitekst10"/>
        <w:numPr>
          <w:ilvl w:val="0"/>
          <w:numId w:val="21"/>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Prometa i komunalne infrastrukture.</w:t>
      </w:r>
    </w:p>
    <w:p w:rsidR="00BC341E" w:rsidRPr="000063FC" w:rsidRDefault="00BC341E">
      <w:pPr>
        <w:pStyle w:val="Obinitekst10"/>
        <w:spacing w:line="276" w:lineRule="auto"/>
        <w:jc w:val="both"/>
        <w:rPr>
          <w:rFonts w:asciiTheme="minorHAnsi" w:hAnsiTheme="minorHAnsi" w:cs="Arial"/>
          <w:sz w:val="22"/>
          <w:szCs w:val="22"/>
          <w:lang w:val="hr-HR"/>
        </w:rPr>
      </w:pPr>
    </w:p>
    <w:p w:rsidR="00BC341E" w:rsidRPr="000063FC" w:rsidRDefault="007B0169">
      <w:pPr>
        <w:pStyle w:val="Obinitekst10"/>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 xml:space="preserve">Radna grupa za provedbu Plana prioritetnih mjera i aktivnosti je radno tijelo zaduženo prvenstveno za pokretanje i koordinaciju provedbe konkretnih projekata i mjera energetske učinkovitosti, obnovljivih izvora energije i zaštite okoliša u skladu s rasporedom i dinamikom Plana. Prijedlog je da uz dio djelatnika iz Gradskog ureda za energetiku, zaštitu okoliša i održivi razvoj, Radnu grupu obavezno čine i stručnjaci koji su radili na izradi Akcijskog plana. Nadalje, Radnoj se grupi uvijek, u skladu s konkretnom situacijom na terenu, mogu pridružiti novi članovi. Važno je da voditelj Radne grupe bude istaknuti stručnjak s dugogodišnjim iskustvom u vođenju velikih projekata energetske učinkovitosti. Radnu grupu treba osnovati već u fazi izrade Akcijskog plana kao bi vrlo brzo nakon njegovog proglašenja službenim, provedbenim dokumentom Grada Zagreba krenula provedba Plana. </w:t>
      </w:r>
    </w:p>
    <w:p w:rsidR="00BC341E" w:rsidRPr="000063FC" w:rsidRDefault="00BC341E">
      <w:pPr>
        <w:pStyle w:val="Obinitekst10"/>
        <w:spacing w:line="276" w:lineRule="auto"/>
        <w:jc w:val="both"/>
        <w:rPr>
          <w:rFonts w:asciiTheme="minorHAnsi" w:hAnsiTheme="minorHAnsi" w:cs="Arial"/>
          <w:sz w:val="22"/>
          <w:szCs w:val="22"/>
          <w:lang w:val="hr-HR"/>
        </w:rPr>
      </w:pPr>
    </w:p>
    <w:p w:rsidR="00BC341E" w:rsidRPr="000063FC" w:rsidRDefault="007B0169">
      <w:pPr>
        <w:pStyle w:val="Obinitekst10"/>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Zbog opsežnog posla od velike je važnosti što prije poduzeti sve pripremne radnje za formiranje Radne grupe čiji bi glavni zadaci obuhvaćali:</w:t>
      </w:r>
    </w:p>
    <w:p w:rsidR="00BC341E" w:rsidRPr="000063FC" w:rsidRDefault="007B0169" w:rsidP="00C20113">
      <w:pPr>
        <w:pStyle w:val="Obinitekst10"/>
        <w:numPr>
          <w:ilvl w:val="0"/>
          <w:numId w:val="20"/>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vođenje i koordinaciju cjelokupne provedbe Plana prioritetnih mjera i aktivnosti;</w:t>
      </w:r>
    </w:p>
    <w:p w:rsidR="00BC341E" w:rsidRPr="000063FC" w:rsidRDefault="007B0169" w:rsidP="00C20113">
      <w:pPr>
        <w:pStyle w:val="Obinitekst10"/>
        <w:numPr>
          <w:ilvl w:val="0"/>
          <w:numId w:val="20"/>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uspostavu komunikacijske strategije;</w:t>
      </w:r>
    </w:p>
    <w:p w:rsidR="00BC341E" w:rsidRPr="000063FC" w:rsidRDefault="007B0169" w:rsidP="00C20113">
      <w:pPr>
        <w:pStyle w:val="Obinitekst10"/>
        <w:numPr>
          <w:ilvl w:val="0"/>
          <w:numId w:val="20"/>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vođenje natječaja za izradu projektne dokumentacije za projekte i mjere prema Planu;</w:t>
      </w:r>
    </w:p>
    <w:p w:rsidR="00BC341E" w:rsidRPr="000063FC" w:rsidRDefault="007B0169" w:rsidP="00C20113">
      <w:pPr>
        <w:pStyle w:val="Obinitekst10"/>
        <w:numPr>
          <w:ilvl w:val="0"/>
          <w:numId w:val="20"/>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vođenje natječaja za izvođače radova za projekte i mjere prema Planu;</w:t>
      </w:r>
    </w:p>
    <w:p w:rsidR="00BC341E" w:rsidRPr="000063FC" w:rsidRDefault="007B0169" w:rsidP="00C20113">
      <w:pPr>
        <w:pStyle w:val="Obinitekst10"/>
        <w:numPr>
          <w:ilvl w:val="0"/>
          <w:numId w:val="20"/>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vođenje natječaja za potrebnu opremu za projekte i mjere prema Planu;</w:t>
      </w:r>
    </w:p>
    <w:p w:rsidR="00BC341E" w:rsidRPr="000063FC" w:rsidRDefault="007B0169" w:rsidP="00C20113">
      <w:pPr>
        <w:pStyle w:val="Obinitekst10"/>
        <w:numPr>
          <w:ilvl w:val="0"/>
          <w:numId w:val="20"/>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vođenje projekata i mjera po Planu;</w:t>
      </w:r>
    </w:p>
    <w:p w:rsidR="00BC341E" w:rsidRPr="000063FC" w:rsidRDefault="007B0169" w:rsidP="00C20113">
      <w:pPr>
        <w:pStyle w:val="Obinitekst10"/>
        <w:numPr>
          <w:ilvl w:val="0"/>
          <w:numId w:val="20"/>
        </w:numPr>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pripremu periodičkih izvještaja o rezultatima provedbe Plana.</w:t>
      </w:r>
    </w:p>
    <w:p w:rsidR="00BC341E" w:rsidRPr="000063FC" w:rsidRDefault="00BC341E">
      <w:pPr>
        <w:pStyle w:val="Obinitekst10"/>
        <w:spacing w:line="276" w:lineRule="auto"/>
        <w:jc w:val="both"/>
        <w:rPr>
          <w:rFonts w:asciiTheme="minorHAnsi" w:hAnsiTheme="minorHAnsi" w:cs="Arial"/>
          <w:sz w:val="22"/>
          <w:szCs w:val="22"/>
          <w:lang w:val="hr-HR"/>
        </w:rPr>
      </w:pPr>
    </w:p>
    <w:p w:rsidR="00BC341E" w:rsidRPr="000063FC" w:rsidRDefault="007B0169">
      <w:pPr>
        <w:pStyle w:val="Obinitekst10"/>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Od uspješne izrade i provedbe Akcijskog plana koristi bi na izravan ili neizravan način imali svi građani Grada Zagreba koji će preko predstavnika raznih interesnih skupina (dionika) sudjelovati u svim fazama realizacije. Sudjelovanje što većeg broja dionika je početni korak u procesu promjene energetskih stavova i ponašanja građana. Potpisivanjem Sporazuma gradonačelnika Grad Zagreb se obvezao na uključivanje građana u izradu i provedbu Akcijskog plana.</w:t>
      </w:r>
    </w:p>
    <w:p w:rsidR="00BC341E" w:rsidRPr="000063FC" w:rsidRDefault="00BC341E">
      <w:pPr>
        <w:pStyle w:val="Obinitekst10"/>
        <w:spacing w:line="276" w:lineRule="auto"/>
        <w:jc w:val="both"/>
        <w:rPr>
          <w:rFonts w:asciiTheme="minorHAnsi" w:hAnsiTheme="minorHAnsi" w:cs="Arial"/>
          <w:sz w:val="22"/>
          <w:szCs w:val="22"/>
          <w:lang w:val="hr-HR"/>
        </w:rPr>
      </w:pPr>
    </w:p>
    <w:p w:rsidR="00BC341E" w:rsidRPr="000063FC" w:rsidRDefault="007B0169">
      <w:pPr>
        <w:pStyle w:val="Obinitekst10"/>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Dionici u izradi i provedbi Akcijskog plana trebaju biti svi oni:</w:t>
      </w:r>
    </w:p>
    <w:p w:rsidR="00BC341E" w:rsidRPr="000063FC" w:rsidRDefault="007B0169" w:rsidP="00C20113">
      <w:pPr>
        <w:pStyle w:val="Obinitekst10"/>
        <w:numPr>
          <w:ilvl w:val="0"/>
          <w:numId w:val="24"/>
        </w:numPr>
        <w:spacing w:line="276" w:lineRule="auto"/>
        <w:ind w:left="709" w:hanging="283"/>
        <w:jc w:val="both"/>
        <w:rPr>
          <w:rFonts w:asciiTheme="minorHAnsi" w:hAnsiTheme="minorHAnsi" w:cs="Arial"/>
          <w:sz w:val="22"/>
          <w:szCs w:val="22"/>
          <w:lang w:val="hr-HR"/>
        </w:rPr>
      </w:pPr>
      <w:r w:rsidRPr="000063FC">
        <w:rPr>
          <w:rFonts w:asciiTheme="minorHAnsi" w:hAnsiTheme="minorHAnsi" w:cs="Arial"/>
          <w:sz w:val="22"/>
          <w:szCs w:val="22"/>
          <w:lang w:val="hr-HR"/>
        </w:rPr>
        <w:t>čiji su interesi na bilo koji način povezani s Akcijskim planom;</w:t>
      </w:r>
    </w:p>
    <w:p w:rsidR="00BC341E" w:rsidRPr="000063FC" w:rsidRDefault="007B0169" w:rsidP="00C20113">
      <w:pPr>
        <w:pStyle w:val="Obinitekst10"/>
        <w:numPr>
          <w:ilvl w:val="0"/>
          <w:numId w:val="24"/>
        </w:numPr>
        <w:spacing w:line="276" w:lineRule="auto"/>
        <w:ind w:left="709" w:hanging="283"/>
        <w:jc w:val="both"/>
        <w:rPr>
          <w:rFonts w:asciiTheme="minorHAnsi" w:hAnsiTheme="minorHAnsi" w:cs="Arial"/>
          <w:sz w:val="22"/>
          <w:szCs w:val="22"/>
          <w:lang w:val="hr-HR"/>
        </w:rPr>
      </w:pPr>
      <w:r w:rsidRPr="000063FC">
        <w:rPr>
          <w:rFonts w:asciiTheme="minorHAnsi" w:hAnsiTheme="minorHAnsi" w:cs="Arial"/>
          <w:sz w:val="22"/>
          <w:szCs w:val="22"/>
          <w:lang w:val="hr-HR"/>
        </w:rPr>
        <w:t>čije aktivnosti utječu na Akcijski plan na bilo koji način;</w:t>
      </w:r>
    </w:p>
    <w:p w:rsidR="00BC341E" w:rsidRPr="000063FC" w:rsidRDefault="007B0169" w:rsidP="00C20113">
      <w:pPr>
        <w:pStyle w:val="Obinitekst10"/>
        <w:numPr>
          <w:ilvl w:val="0"/>
          <w:numId w:val="24"/>
        </w:numPr>
        <w:spacing w:line="276" w:lineRule="auto"/>
        <w:ind w:left="709" w:hanging="283"/>
        <w:jc w:val="both"/>
        <w:rPr>
          <w:rFonts w:asciiTheme="minorHAnsi" w:hAnsiTheme="minorHAnsi" w:cs="Arial"/>
          <w:sz w:val="22"/>
          <w:szCs w:val="22"/>
          <w:lang w:val="hr-HR"/>
        </w:rPr>
      </w:pPr>
      <w:r w:rsidRPr="000063FC">
        <w:rPr>
          <w:rFonts w:asciiTheme="minorHAnsi" w:hAnsiTheme="minorHAnsi" w:cs="Arial"/>
          <w:sz w:val="22"/>
          <w:szCs w:val="22"/>
          <w:lang w:val="hr-HR"/>
        </w:rPr>
        <w:t>čije su vlasništvo, pristup informacijama, izvori, stručnost i dr. potrebni za uspješnu izradu i provedbu Akcijskog plana.</w:t>
      </w:r>
    </w:p>
    <w:p w:rsidR="00BC341E" w:rsidRPr="000063FC" w:rsidRDefault="00BC341E">
      <w:pPr>
        <w:pStyle w:val="Obinitekst10"/>
        <w:spacing w:line="276" w:lineRule="auto"/>
        <w:jc w:val="both"/>
        <w:rPr>
          <w:rFonts w:asciiTheme="minorHAnsi" w:hAnsiTheme="minorHAnsi" w:cs="Arial"/>
          <w:sz w:val="22"/>
          <w:szCs w:val="22"/>
          <w:lang w:val="hr-HR"/>
        </w:rPr>
      </w:pPr>
    </w:p>
    <w:p w:rsidR="00BC341E" w:rsidRPr="000063FC" w:rsidRDefault="007B0169">
      <w:pPr>
        <w:pStyle w:val="Obinitekst10"/>
        <w:spacing w:line="276" w:lineRule="auto"/>
        <w:jc w:val="both"/>
        <w:rPr>
          <w:rFonts w:asciiTheme="minorHAnsi" w:hAnsiTheme="minorHAnsi" w:cs="Arial"/>
          <w:sz w:val="22"/>
          <w:szCs w:val="22"/>
          <w:lang w:val="hr-HR"/>
        </w:rPr>
      </w:pPr>
      <w:r w:rsidRPr="000063FC">
        <w:rPr>
          <w:rFonts w:asciiTheme="minorHAnsi" w:hAnsiTheme="minorHAnsi" w:cs="Arial"/>
          <w:sz w:val="22"/>
          <w:szCs w:val="22"/>
          <w:lang w:val="hr-HR"/>
        </w:rPr>
        <w:t>U proces izrade i provedbe Akcijskog plana treba od početka uključiti što više interesnih skupina za što je nužna djelotvorna komunikacijska strategija, pri čemu je prvi korak njihova identifikacija.</w:t>
      </w:r>
    </w:p>
    <w:p w:rsidR="00BC341E" w:rsidRPr="000063FC" w:rsidRDefault="00BC341E">
      <w:pPr>
        <w:pStyle w:val="Obinitekst10"/>
        <w:spacing w:line="276" w:lineRule="auto"/>
        <w:jc w:val="both"/>
        <w:rPr>
          <w:rFonts w:asciiTheme="minorHAnsi" w:hAnsiTheme="minorHAnsi" w:cs="Arial"/>
          <w:sz w:val="22"/>
          <w:szCs w:val="22"/>
          <w:lang w:val="hr-HR"/>
        </w:rPr>
      </w:pPr>
    </w:p>
    <w:p w:rsidR="00BC341E" w:rsidRPr="000063FC" w:rsidRDefault="007B0169">
      <w:pPr>
        <w:spacing w:line="276" w:lineRule="auto"/>
        <w:rPr>
          <w:rFonts w:asciiTheme="minorHAnsi" w:hAnsiTheme="minorHAnsi" w:cs="Arial"/>
          <w:noProof/>
          <w:szCs w:val="22"/>
        </w:rPr>
      </w:pPr>
      <w:r w:rsidRPr="000063FC">
        <w:rPr>
          <w:rFonts w:asciiTheme="minorHAnsi" w:hAnsiTheme="minorHAnsi" w:cs="Arial"/>
          <w:noProof/>
          <w:szCs w:val="22"/>
        </w:rPr>
        <w:t>Dionici s područja</w:t>
      </w:r>
      <w:r w:rsidRPr="000063FC">
        <w:rPr>
          <w:rFonts w:asciiTheme="minorHAnsi" w:hAnsiTheme="minorHAnsi" w:cs="Arial"/>
          <w:noProof/>
          <w:color w:val="FF0000"/>
          <w:szCs w:val="22"/>
        </w:rPr>
        <w:t xml:space="preserve"> </w:t>
      </w:r>
      <w:r w:rsidRPr="000063FC">
        <w:rPr>
          <w:rFonts w:asciiTheme="minorHAnsi" w:hAnsiTheme="minorHAnsi" w:cs="Arial"/>
          <w:noProof/>
          <w:szCs w:val="22"/>
        </w:rPr>
        <w:t>grada Zagreba mogu se podijeliti u sljedeće kategorije:</w:t>
      </w:r>
    </w:p>
    <w:p w:rsidR="00BC341E" w:rsidRPr="000063FC" w:rsidRDefault="007B0169" w:rsidP="00C20113">
      <w:pPr>
        <w:numPr>
          <w:ilvl w:val="0"/>
          <w:numId w:val="16"/>
        </w:numPr>
        <w:tabs>
          <w:tab w:val="clear" w:pos="720"/>
          <w:tab w:val="clear" w:pos="6912"/>
        </w:tabs>
        <w:spacing w:line="276" w:lineRule="auto"/>
        <w:rPr>
          <w:rFonts w:asciiTheme="minorHAnsi" w:hAnsiTheme="minorHAnsi" w:cs="Arial"/>
          <w:noProof/>
          <w:szCs w:val="22"/>
        </w:rPr>
      </w:pPr>
      <w:r w:rsidRPr="000063FC">
        <w:rPr>
          <w:rFonts w:asciiTheme="minorHAnsi" w:hAnsiTheme="minorHAnsi" w:cs="Arial"/>
          <w:noProof/>
          <w:szCs w:val="22"/>
        </w:rPr>
        <w:t>Mjesna samouprava (gradske četvrti i mjesni odbori);</w:t>
      </w:r>
    </w:p>
    <w:p w:rsidR="00BC341E" w:rsidRPr="000063FC" w:rsidRDefault="007B0169" w:rsidP="00C20113">
      <w:pPr>
        <w:numPr>
          <w:ilvl w:val="0"/>
          <w:numId w:val="16"/>
        </w:numPr>
        <w:tabs>
          <w:tab w:val="clear" w:pos="720"/>
          <w:tab w:val="clear" w:pos="6912"/>
        </w:tabs>
        <w:spacing w:line="276" w:lineRule="auto"/>
        <w:rPr>
          <w:rFonts w:asciiTheme="minorHAnsi" w:hAnsiTheme="minorHAnsi" w:cs="Arial"/>
          <w:noProof/>
          <w:szCs w:val="22"/>
        </w:rPr>
      </w:pPr>
      <w:r w:rsidRPr="000063FC">
        <w:rPr>
          <w:rFonts w:asciiTheme="minorHAnsi" w:hAnsiTheme="minorHAnsi" w:cs="Arial"/>
          <w:noProof/>
          <w:szCs w:val="22"/>
        </w:rPr>
        <w:t>Gradski uredi, zavodi i službe;</w:t>
      </w:r>
    </w:p>
    <w:p w:rsidR="00BC341E" w:rsidRPr="000063FC" w:rsidRDefault="007B0169" w:rsidP="00C20113">
      <w:pPr>
        <w:numPr>
          <w:ilvl w:val="0"/>
          <w:numId w:val="16"/>
        </w:numPr>
        <w:tabs>
          <w:tab w:val="clear" w:pos="720"/>
          <w:tab w:val="clear" w:pos="6912"/>
        </w:tabs>
        <w:spacing w:line="276" w:lineRule="auto"/>
        <w:rPr>
          <w:rFonts w:asciiTheme="minorHAnsi" w:hAnsiTheme="minorHAnsi" w:cs="Arial"/>
          <w:noProof/>
          <w:szCs w:val="22"/>
        </w:rPr>
      </w:pPr>
      <w:r w:rsidRPr="000063FC">
        <w:rPr>
          <w:rFonts w:asciiTheme="minorHAnsi" w:hAnsiTheme="minorHAnsi" w:cs="Arial"/>
          <w:noProof/>
          <w:szCs w:val="22"/>
        </w:rPr>
        <w:t>Gradska trgovačka društva;</w:t>
      </w:r>
    </w:p>
    <w:p w:rsidR="00BC341E" w:rsidRPr="000063FC" w:rsidRDefault="007B0169" w:rsidP="00C20113">
      <w:pPr>
        <w:numPr>
          <w:ilvl w:val="0"/>
          <w:numId w:val="16"/>
        </w:numPr>
        <w:tabs>
          <w:tab w:val="clear" w:pos="720"/>
          <w:tab w:val="clear" w:pos="6912"/>
        </w:tabs>
        <w:spacing w:line="276" w:lineRule="auto"/>
        <w:rPr>
          <w:rFonts w:asciiTheme="minorHAnsi" w:hAnsiTheme="minorHAnsi" w:cs="Arial"/>
          <w:noProof/>
          <w:szCs w:val="22"/>
        </w:rPr>
      </w:pPr>
      <w:r w:rsidRPr="000063FC">
        <w:rPr>
          <w:rFonts w:asciiTheme="minorHAnsi" w:hAnsiTheme="minorHAnsi" w:cs="Arial"/>
          <w:noProof/>
          <w:szCs w:val="22"/>
        </w:rPr>
        <w:t>Obrtnici/Hrvatska obrtnička komora;</w:t>
      </w:r>
    </w:p>
    <w:p w:rsidR="00BC341E" w:rsidRPr="000063FC" w:rsidRDefault="007B0169" w:rsidP="00C20113">
      <w:pPr>
        <w:numPr>
          <w:ilvl w:val="0"/>
          <w:numId w:val="16"/>
        </w:numPr>
        <w:tabs>
          <w:tab w:val="clear" w:pos="720"/>
          <w:tab w:val="clear" w:pos="6912"/>
        </w:tabs>
        <w:spacing w:line="276" w:lineRule="auto"/>
        <w:rPr>
          <w:rFonts w:asciiTheme="minorHAnsi" w:hAnsiTheme="minorHAnsi" w:cs="Arial"/>
          <w:noProof/>
          <w:szCs w:val="22"/>
        </w:rPr>
      </w:pPr>
      <w:r w:rsidRPr="000063FC">
        <w:rPr>
          <w:rFonts w:asciiTheme="minorHAnsi" w:hAnsiTheme="minorHAnsi" w:cs="Arial"/>
          <w:noProof/>
          <w:szCs w:val="22"/>
        </w:rPr>
        <w:t>Poduzetnici/Hrvatska gospodarska komora/Hrvatska udruga poslodavaca;</w:t>
      </w:r>
    </w:p>
    <w:p w:rsidR="00BC341E" w:rsidRPr="000063FC" w:rsidRDefault="007B0169" w:rsidP="00C20113">
      <w:pPr>
        <w:numPr>
          <w:ilvl w:val="0"/>
          <w:numId w:val="16"/>
        </w:numPr>
        <w:tabs>
          <w:tab w:val="clear" w:pos="720"/>
          <w:tab w:val="clear" w:pos="6912"/>
        </w:tabs>
        <w:spacing w:line="276" w:lineRule="auto"/>
        <w:rPr>
          <w:rFonts w:asciiTheme="minorHAnsi" w:hAnsiTheme="minorHAnsi" w:cs="Arial"/>
          <w:noProof/>
          <w:szCs w:val="22"/>
        </w:rPr>
      </w:pPr>
      <w:r w:rsidRPr="000063FC">
        <w:rPr>
          <w:rFonts w:asciiTheme="minorHAnsi" w:hAnsiTheme="minorHAnsi" w:cs="Arial"/>
          <w:noProof/>
          <w:szCs w:val="22"/>
        </w:rPr>
        <w:t>Sveučilište u Zagrebu, veleučilišta i visoke škole;</w:t>
      </w:r>
    </w:p>
    <w:p w:rsidR="00BC341E" w:rsidRPr="000063FC" w:rsidRDefault="007B0169" w:rsidP="00C20113">
      <w:pPr>
        <w:numPr>
          <w:ilvl w:val="0"/>
          <w:numId w:val="16"/>
        </w:numPr>
        <w:tabs>
          <w:tab w:val="clear" w:pos="720"/>
          <w:tab w:val="clear" w:pos="6912"/>
        </w:tabs>
        <w:spacing w:line="276" w:lineRule="auto"/>
        <w:rPr>
          <w:rFonts w:asciiTheme="minorHAnsi" w:hAnsiTheme="minorHAnsi" w:cs="Arial"/>
          <w:noProof/>
          <w:szCs w:val="22"/>
        </w:rPr>
      </w:pPr>
      <w:r w:rsidRPr="000063FC">
        <w:rPr>
          <w:rFonts w:asciiTheme="minorHAnsi" w:hAnsiTheme="minorHAnsi" w:cs="Arial"/>
          <w:noProof/>
          <w:szCs w:val="22"/>
        </w:rPr>
        <w:t>Ostale obrazovne ustanove</w:t>
      </w:r>
    </w:p>
    <w:p w:rsidR="00BC341E" w:rsidRPr="000063FC" w:rsidRDefault="007B0169" w:rsidP="00C20113">
      <w:pPr>
        <w:numPr>
          <w:ilvl w:val="0"/>
          <w:numId w:val="16"/>
        </w:numPr>
        <w:tabs>
          <w:tab w:val="clear" w:pos="720"/>
          <w:tab w:val="clear" w:pos="6912"/>
        </w:tabs>
        <w:spacing w:line="276" w:lineRule="auto"/>
        <w:rPr>
          <w:rFonts w:asciiTheme="minorHAnsi" w:hAnsiTheme="minorHAnsi" w:cs="Arial"/>
          <w:noProof/>
          <w:szCs w:val="22"/>
        </w:rPr>
      </w:pPr>
      <w:r w:rsidRPr="000063FC">
        <w:rPr>
          <w:rFonts w:asciiTheme="minorHAnsi" w:hAnsiTheme="minorHAnsi" w:cs="Arial"/>
          <w:noProof/>
          <w:szCs w:val="22"/>
        </w:rPr>
        <w:t>Nevladine udruge;</w:t>
      </w:r>
    </w:p>
    <w:p w:rsidR="00BC341E" w:rsidRPr="000063FC" w:rsidRDefault="007B0169" w:rsidP="00C20113">
      <w:pPr>
        <w:numPr>
          <w:ilvl w:val="0"/>
          <w:numId w:val="16"/>
        </w:numPr>
        <w:tabs>
          <w:tab w:val="clear" w:pos="720"/>
          <w:tab w:val="clear" w:pos="6912"/>
        </w:tabs>
        <w:spacing w:line="276" w:lineRule="auto"/>
        <w:rPr>
          <w:rFonts w:asciiTheme="minorHAnsi" w:hAnsiTheme="minorHAnsi" w:cs="Arial"/>
          <w:noProof/>
          <w:szCs w:val="22"/>
        </w:rPr>
      </w:pPr>
      <w:r w:rsidRPr="000063FC">
        <w:rPr>
          <w:rFonts w:asciiTheme="minorHAnsi" w:hAnsiTheme="minorHAnsi" w:cs="Arial"/>
          <w:noProof/>
          <w:szCs w:val="22"/>
        </w:rPr>
        <w:t>Udruge potrošača.</w:t>
      </w:r>
    </w:p>
    <w:p w:rsidR="00BC341E" w:rsidRPr="000063FC" w:rsidRDefault="00BC341E">
      <w:pPr>
        <w:spacing w:line="276" w:lineRule="auto"/>
        <w:rPr>
          <w:rFonts w:asciiTheme="minorHAnsi" w:hAnsiTheme="minorHAnsi" w:cs="Arial"/>
          <w:noProof/>
          <w:szCs w:val="22"/>
        </w:rPr>
      </w:pPr>
    </w:p>
    <w:p w:rsidR="00BC341E" w:rsidRPr="000063FC" w:rsidRDefault="007B0169">
      <w:pPr>
        <w:pStyle w:val="NoSpacing"/>
        <w:spacing w:line="276" w:lineRule="auto"/>
        <w:rPr>
          <w:rFonts w:asciiTheme="minorHAnsi" w:hAnsiTheme="minorHAnsi" w:cs="Arial"/>
          <w:noProof/>
        </w:rPr>
      </w:pPr>
      <w:r w:rsidRPr="000063FC">
        <w:rPr>
          <w:rFonts w:asciiTheme="minorHAnsi" w:hAnsiTheme="minorHAnsi"/>
          <w:lang w:eastAsia="hr-HR"/>
        </w:rPr>
        <w:t xml:space="preserve">Oblici mjesne samouprave u Gradu Zagrebu su </w:t>
      </w:r>
      <w:r w:rsidRPr="000063FC">
        <w:rPr>
          <w:rFonts w:asciiTheme="minorHAnsi" w:hAnsiTheme="minorHAnsi"/>
          <w:bCs/>
          <w:lang w:eastAsia="hr-HR"/>
        </w:rPr>
        <w:t>gradske četvrti</w:t>
      </w:r>
      <w:r w:rsidRPr="000063FC">
        <w:rPr>
          <w:rFonts w:asciiTheme="minorHAnsi" w:hAnsiTheme="minorHAnsi"/>
          <w:lang w:eastAsia="hr-HR"/>
        </w:rPr>
        <w:t xml:space="preserve"> i </w:t>
      </w:r>
      <w:r w:rsidRPr="000063FC">
        <w:rPr>
          <w:rFonts w:asciiTheme="minorHAnsi" w:hAnsiTheme="minorHAnsi"/>
          <w:bCs/>
          <w:lang w:eastAsia="hr-HR"/>
        </w:rPr>
        <w:t>mjesni odbori</w:t>
      </w:r>
      <w:r w:rsidRPr="000063FC">
        <w:rPr>
          <w:rFonts w:asciiTheme="minorHAnsi" w:hAnsiTheme="minorHAnsi"/>
          <w:lang w:eastAsia="hr-HR"/>
        </w:rPr>
        <w:t xml:space="preserve">. </w:t>
      </w:r>
      <w:r w:rsidRPr="000063FC">
        <w:rPr>
          <w:rFonts w:asciiTheme="minorHAnsi" w:hAnsiTheme="minorHAnsi" w:cs="Arial"/>
          <w:noProof/>
        </w:rPr>
        <w:t xml:space="preserve">Grad se sastoji od 17 gradskih četvrti – Donji grad, Gornji grad-Medveščak, Trnje, Maksimir, Pešćenica-Žitnjak, Novi Zagreb – istok, Novi Zagreb – zapad, Trešnjevka – sjever, Trešnjevka – jug, Črnomerec, Gornja Dubrava, Donja Dubrava, Stenjevec, Podsused - Vrapče, Podsljeme, Sesvete i Brezovica te 218 mjesnih odbora. </w:t>
      </w:r>
    </w:p>
    <w:p w:rsidR="00BC341E" w:rsidRPr="000063FC" w:rsidRDefault="00BC341E">
      <w:pPr>
        <w:spacing w:line="276" w:lineRule="auto"/>
        <w:rPr>
          <w:rFonts w:asciiTheme="minorHAnsi" w:hAnsiTheme="minorHAnsi" w:cs="Arial"/>
          <w:noProof/>
          <w:szCs w:val="22"/>
        </w:rPr>
      </w:pPr>
    </w:p>
    <w:p w:rsidR="00BC341E" w:rsidRPr="000063FC" w:rsidRDefault="007B0169">
      <w:pPr>
        <w:spacing w:line="276" w:lineRule="auto"/>
        <w:rPr>
          <w:rFonts w:asciiTheme="minorHAnsi" w:hAnsiTheme="minorHAnsi" w:cs="Arial"/>
          <w:noProof/>
          <w:szCs w:val="22"/>
        </w:rPr>
      </w:pPr>
      <w:r w:rsidRPr="000063FC">
        <w:rPr>
          <w:rFonts w:asciiTheme="minorHAnsi" w:hAnsiTheme="minorHAnsi" w:cs="Arial"/>
          <w:noProof/>
          <w:szCs w:val="22"/>
        </w:rPr>
        <w:t xml:space="preserve">Gradsku upravu čini 15 gradskih ureda, zavoda i  službi - </w:t>
      </w:r>
      <w:hyperlink r:id="rId44" w:history="1">
        <w:r w:rsidRPr="000063FC">
          <w:rPr>
            <w:rFonts w:asciiTheme="minorHAnsi" w:hAnsiTheme="minorHAnsi" w:cs="Arial"/>
            <w:noProof/>
            <w:szCs w:val="22"/>
          </w:rPr>
          <w:t>Stručna služba gradonačelnika</w:t>
        </w:r>
      </w:hyperlink>
      <w:r w:rsidRPr="000063FC">
        <w:rPr>
          <w:rFonts w:asciiTheme="minorHAnsi" w:hAnsiTheme="minorHAnsi" w:cs="Arial"/>
          <w:noProof/>
          <w:szCs w:val="22"/>
        </w:rPr>
        <w:t xml:space="preserve">, </w:t>
      </w:r>
      <w:hyperlink r:id="rId45" w:history="1">
        <w:r w:rsidRPr="000063FC">
          <w:rPr>
            <w:rFonts w:asciiTheme="minorHAnsi" w:hAnsiTheme="minorHAnsi" w:cs="Arial"/>
            <w:noProof/>
            <w:szCs w:val="22"/>
          </w:rPr>
          <w:t>Ured gradonačelnika</w:t>
        </w:r>
      </w:hyperlink>
      <w:r w:rsidRPr="000063FC">
        <w:rPr>
          <w:rFonts w:asciiTheme="minorHAnsi" w:hAnsiTheme="minorHAnsi" w:cs="Arial"/>
          <w:noProof/>
          <w:szCs w:val="22"/>
        </w:rPr>
        <w:t xml:space="preserve">, </w:t>
      </w:r>
      <w:hyperlink r:id="rId46" w:history="1">
        <w:r w:rsidRPr="000063FC">
          <w:rPr>
            <w:rFonts w:asciiTheme="minorHAnsi" w:hAnsiTheme="minorHAnsi" w:cs="Arial"/>
            <w:noProof/>
            <w:szCs w:val="22"/>
          </w:rPr>
          <w:t>Gradski kontrolni ured</w:t>
        </w:r>
      </w:hyperlink>
      <w:r w:rsidRPr="000063FC">
        <w:rPr>
          <w:rFonts w:asciiTheme="minorHAnsi" w:hAnsiTheme="minorHAnsi" w:cs="Arial"/>
          <w:noProof/>
          <w:szCs w:val="22"/>
        </w:rPr>
        <w:t xml:space="preserve">, </w:t>
      </w:r>
      <w:hyperlink r:id="rId47" w:history="1">
        <w:r w:rsidRPr="000063FC">
          <w:rPr>
            <w:rFonts w:asciiTheme="minorHAnsi" w:hAnsiTheme="minorHAnsi" w:cs="Arial"/>
            <w:noProof/>
            <w:szCs w:val="22"/>
          </w:rPr>
          <w:t>Gradski ured za strategijsko planiranje i razvoj grada</w:t>
        </w:r>
      </w:hyperlink>
      <w:r w:rsidRPr="000063FC">
        <w:rPr>
          <w:rFonts w:asciiTheme="minorHAnsi" w:hAnsiTheme="minorHAnsi" w:cs="Arial"/>
          <w:noProof/>
          <w:szCs w:val="22"/>
        </w:rPr>
        <w:t xml:space="preserve">, </w:t>
      </w:r>
      <w:hyperlink r:id="rId48" w:history="1">
        <w:r w:rsidRPr="000063FC">
          <w:rPr>
            <w:rFonts w:asciiTheme="minorHAnsi" w:hAnsiTheme="minorHAnsi" w:cs="Arial"/>
            <w:noProof/>
            <w:szCs w:val="22"/>
          </w:rPr>
          <w:t>Gradski ured za opću upravu</w:t>
        </w:r>
      </w:hyperlink>
      <w:r w:rsidRPr="000063FC">
        <w:rPr>
          <w:rFonts w:asciiTheme="minorHAnsi" w:hAnsiTheme="minorHAnsi" w:cs="Arial"/>
          <w:noProof/>
          <w:szCs w:val="22"/>
        </w:rPr>
        <w:t xml:space="preserve">, </w:t>
      </w:r>
      <w:hyperlink r:id="rId49" w:history="1">
        <w:r w:rsidRPr="000063FC">
          <w:rPr>
            <w:rFonts w:asciiTheme="minorHAnsi" w:hAnsiTheme="minorHAnsi" w:cs="Arial"/>
            <w:noProof/>
            <w:szCs w:val="22"/>
          </w:rPr>
          <w:t>Gradski ured za financije</w:t>
        </w:r>
      </w:hyperlink>
      <w:r w:rsidRPr="000063FC">
        <w:rPr>
          <w:rFonts w:asciiTheme="minorHAnsi" w:hAnsiTheme="minorHAnsi" w:cs="Arial"/>
          <w:noProof/>
          <w:szCs w:val="22"/>
        </w:rPr>
        <w:t xml:space="preserve">, </w:t>
      </w:r>
      <w:hyperlink r:id="rId50" w:history="1">
        <w:r w:rsidRPr="000063FC">
          <w:rPr>
            <w:rFonts w:asciiTheme="minorHAnsi" w:hAnsiTheme="minorHAnsi" w:cs="Arial"/>
            <w:noProof/>
            <w:szCs w:val="22"/>
          </w:rPr>
          <w:t>Gradski ured za gospodarstvo, rad i poduzetništvo</w:t>
        </w:r>
      </w:hyperlink>
      <w:r w:rsidRPr="000063FC">
        <w:rPr>
          <w:rFonts w:asciiTheme="minorHAnsi" w:hAnsiTheme="minorHAnsi" w:cs="Arial"/>
          <w:noProof/>
          <w:szCs w:val="22"/>
        </w:rPr>
        <w:t xml:space="preserve">, </w:t>
      </w:r>
      <w:hyperlink r:id="rId51" w:history="1">
        <w:r w:rsidRPr="000063FC">
          <w:rPr>
            <w:rFonts w:asciiTheme="minorHAnsi" w:hAnsiTheme="minorHAnsi" w:cs="Arial"/>
            <w:noProof/>
            <w:szCs w:val="22"/>
          </w:rPr>
          <w:t>Gradski ured za energetiku, zaštitu okoliša i održivi razvoj</w:t>
        </w:r>
      </w:hyperlink>
      <w:r w:rsidRPr="000063FC">
        <w:rPr>
          <w:rFonts w:asciiTheme="minorHAnsi" w:hAnsiTheme="minorHAnsi" w:cs="Arial"/>
          <w:noProof/>
          <w:szCs w:val="22"/>
        </w:rPr>
        <w:t xml:space="preserve">, </w:t>
      </w:r>
      <w:hyperlink r:id="rId52" w:history="1">
        <w:r w:rsidRPr="000063FC">
          <w:rPr>
            <w:rFonts w:asciiTheme="minorHAnsi" w:hAnsiTheme="minorHAnsi" w:cs="Arial"/>
            <w:noProof/>
            <w:szCs w:val="22"/>
          </w:rPr>
          <w:t>Gradski ured za obrazovanje, kulturu i šport</w:t>
        </w:r>
      </w:hyperlink>
      <w:r w:rsidRPr="000063FC">
        <w:rPr>
          <w:rFonts w:asciiTheme="minorHAnsi" w:hAnsiTheme="minorHAnsi" w:cs="Arial"/>
          <w:noProof/>
          <w:szCs w:val="22"/>
        </w:rPr>
        <w:t xml:space="preserve">, </w:t>
      </w:r>
      <w:hyperlink r:id="rId53" w:history="1">
        <w:r w:rsidRPr="000063FC">
          <w:rPr>
            <w:rFonts w:asciiTheme="minorHAnsi" w:hAnsiTheme="minorHAnsi" w:cs="Arial"/>
            <w:noProof/>
            <w:szCs w:val="22"/>
          </w:rPr>
          <w:t>Gradski ured za zdravstvo i branitelje</w:t>
        </w:r>
      </w:hyperlink>
      <w:r w:rsidRPr="000063FC">
        <w:rPr>
          <w:rFonts w:asciiTheme="minorHAnsi" w:hAnsiTheme="minorHAnsi" w:cs="Arial"/>
          <w:noProof/>
          <w:szCs w:val="22"/>
        </w:rPr>
        <w:t xml:space="preserve">, </w:t>
      </w:r>
      <w:hyperlink r:id="rId54" w:history="1">
        <w:r w:rsidRPr="000063FC">
          <w:rPr>
            <w:rFonts w:asciiTheme="minorHAnsi" w:hAnsiTheme="minorHAnsi" w:cs="Arial"/>
            <w:noProof/>
            <w:szCs w:val="22"/>
          </w:rPr>
          <w:t>Gradski ured za socijalnu zaštitu i osobe s invaliditetom</w:t>
        </w:r>
      </w:hyperlink>
      <w:r w:rsidRPr="000063FC">
        <w:rPr>
          <w:rFonts w:asciiTheme="minorHAnsi" w:hAnsiTheme="minorHAnsi" w:cs="Arial"/>
          <w:noProof/>
          <w:szCs w:val="22"/>
        </w:rPr>
        <w:t xml:space="preserve">, </w:t>
      </w:r>
      <w:hyperlink r:id="rId55" w:history="1">
        <w:r w:rsidRPr="000063FC">
          <w:rPr>
            <w:rFonts w:asciiTheme="minorHAnsi" w:hAnsiTheme="minorHAnsi" w:cs="Arial"/>
            <w:noProof/>
            <w:szCs w:val="22"/>
          </w:rPr>
          <w:t>Gradski ured za poljoprivredu i šumarstvo</w:t>
        </w:r>
      </w:hyperlink>
      <w:r w:rsidRPr="000063FC">
        <w:rPr>
          <w:rFonts w:asciiTheme="minorHAnsi" w:hAnsiTheme="minorHAnsi" w:cs="Arial"/>
          <w:noProof/>
          <w:szCs w:val="22"/>
        </w:rPr>
        <w:t xml:space="preserve">, </w:t>
      </w:r>
      <w:hyperlink r:id="rId56" w:history="1">
        <w:r w:rsidRPr="000063FC">
          <w:rPr>
            <w:rFonts w:asciiTheme="minorHAnsi" w:hAnsiTheme="minorHAnsi" w:cs="Arial"/>
            <w:noProof/>
            <w:szCs w:val="22"/>
          </w:rPr>
          <w:t>Gradski ured za prostorno uređenje, izgradnju grada, graditeljstvo, komunalne poslove i promet</w:t>
        </w:r>
      </w:hyperlink>
      <w:r w:rsidRPr="000063FC">
        <w:rPr>
          <w:rFonts w:asciiTheme="minorHAnsi" w:hAnsiTheme="minorHAnsi" w:cs="Arial"/>
          <w:noProof/>
          <w:szCs w:val="22"/>
        </w:rPr>
        <w:t xml:space="preserve">, </w:t>
      </w:r>
      <w:hyperlink r:id="rId57" w:history="1">
        <w:r w:rsidRPr="000063FC">
          <w:rPr>
            <w:rFonts w:asciiTheme="minorHAnsi" w:hAnsiTheme="minorHAnsi" w:cs="Arial"/>
            <w:noProof/>
            <w:szCs w:val="22"/>
          </w:rPr>
          <w:t>Gradski ured za imovinsko-pravne poslove i imovinu grada</w:t>
        </w:r>
      </w:hyperlink>
      <w:r w:rsidRPr="000063FC">
        <w:rPr>
          <w:rFonts w:asciiTheme="minorHAnsi" w:hAnsiTheme="minorHAnsi" w:cs="Arial"/>
          <w:noProof/>
          <w:szCs w:val="22"/>
        </w:rPr>
        <w:t xml:space="preserve">, </w:t>
      </w:r>
      <w:hyperlink r:id="rId58" w:history="1">
        <w:r w:rsidRPr="000063FC">
          <w:rPr>
            <w:rFonts w:asciiTheme="minorHAnsi" w:hAnsiTheme="minorHAnsi" w:cs="Arial"/>
            <w:noProof/>
            <w:szCs w:val="22"/>
          </w:rPr>
          <w:t>Gradski ured za katastar i geodetske poslove</w:t>
        </w:r>
      </w:hyperlink>
      <w:r w:rsidRPr="000063FC">
        <w:rPr>
          <w:rFonts w:asciiTheme="minorHAnsi" w:hAnsiTheme="minorHAnsi" w:cs="Arial"/>
          <w:noProof/>
          <w:szCs w:val="22"/>
        </w:rPr>
        <w:t xml:space="preserve">, </w:t>
      </w:r>
      <w:hyperlink r:id="rId59" w:history="1">
        <w:r w:rsidRPr="000063FC">
          <w:rPr>
            <w:rFonts w:asciiTheme="minorHAnsi" w:hAnsiTheme="minorHAnsi" w:cs="Arial"/>
            <w:noProof/>
            <w:szCs w:val="22"/>
          </w:rPr>
          <w:t>Ured za upravljanje u hitnim situacijama</w:t>
        </w:r>
      </w:hyperlink>
      <w:r w:rsidRPr="000063FC">
        <w:rPr>
          <w:rFonts w:asciiTheme="minorHAnsi" w:hAnsiTheme="minorHAnsi" w:cs="Arial"/>
          <w:noProof/>
          <w:szCs w:val="22"/>
        </w:rPr>
        <w:t xml:space="preserve">, </w:t>
      </w:r>
      <w:hyperlink r:id="rId60" w:history="1">
        <w:r w:rsidRPr="000063FC">
          <w:rPr>
            <w:rFonts w:asciiTheme="minorHAnsi" w:hAnsiTheme="minorHAnsi" w:cs="Arial"/>
            <w:noProof/>
            <w:szCs w:val="22"/>
          </w:rPr>
          <w:t>Gradski zavod za zaštitu spomenika kulture i prirode</w:t>
        </w:r>
      </w:hyperlink>
      <w:r w:rsidRPr="000063FC">
        <w:rPr>
          <w:rFonts w:asciiTheme="minorHAnsi" w:hAnsiTheme="minorHAnsi" w:cs="Arial"/>
          <w:noProof/>
          <w:szCs w:val="22"/>
        </w:rPr>
        <w:t xml:space="preserve">, </w:t>
      </w:r>
      <w:hyperlink r:id="rId61" w:history="1">
        <w:r w:rsidRPr="000063FC">
          <w:rPr>
            <w:rFonts w:asciiTheme="minorHAnsi" w:hAnsiTheme="minorHAnsi" w:cs="Arial"/>
            <w:noProof/>
            <w:szCs w:val="22"/>
          </w:rPr>
          <w:t>Služba za mjesnu samoupravu</w:t>
        </w:r>
      </w:hyperlink>
      <w:r w:rsidRPr="000063FC">
        <w:rPr>
          <w:rFonts w:asciiTheme="minorHAnsi" w:hAnsiTheme="minorHAnsi" w:cs="Arial"/>
          <w:noProof/>
          <w:szCs w:val="22"/>
        </w:rPr>
        <w:t xml:space="preserve"> i </w:t>
      </w:r>
      <w:hyperlink r:id="rId62" w:history="1">
        <w:r w:rsidRPr="000063FC">
          <w:rPr>
            <w:rFonts w:asciiTheme="minorHAnsi" w:hAnsiTheme="minorHAnsi" w:cs="Arial"/>
            <w:noProof/>
            <w:szCs w:val="22"/>
          </w:rPr>
          <w:t>Stručna služba gradske skupštine grada Zagreba</w:t>
        </w:r>
      </w:hyperlink>
      <w:r w:rsidRPr="000063FC">
        <w:rPr>
          <w:rFonts w:asciiTheme="minorHAnsi" w:hAnsiTheme="minorHAnsi" w:cs="Arial"/>
          <w:noProof/>
          <w:szCs w:val="22"/>
        </w:rPr>
        <w:t xml:space="preserve">. Gradskim uredima, zavodima i službama upravljaju pročelnici, a na čelu Stručne službe Gradske skupštine je tajnik Gradske skupštine. </w:t>
      </w:r>
    </w:p>
    <w:p w:rsidR="00BC341E" w:rsidRPr="000063FC" w:rsidRDefault="00BC341E">
      <w:pPr>
        <w:spacing w:line="276" w:lineRule="auto"/>
        <w:rPr>
          <w:rFonts w:asciiTheme="minorHAnsi" w:hAnsiTheme="minorHAnsi" w:cs="Arial"/>
          <w:noProof/>
          <w:szCs w:val="22"/>
        </w:rPr>
      </w:pPr>
    </w:p>
    <w:p w:rsidR="00BC341E" w:rsidRPr="000063FC" w:rsidRDefault="007B0169" w:rsidP="00C24CE2">
      <w:pPr>
        <w:spacing w:line="276" w:lineRule="auto"/>
        <w:rPr>
          <w:rFonts w:asciiTheme="minorHAnsi" w:hAnsiTheme="minorHAnsi" w:cs="Arial"/>
          <w:noProof/>
          <w:szCs w:val="22"/>
        </w:rPr>
      </w:pPr>
      <w:r w:rsidRPr="000063FC">
        <w:rPr>
          <w:rFonts w:asciiTheme="minorHAnsi" w:hAnsiTheme="minorHAnsi" w:cs="Arial"/>
          <w:noProof/>
          <w:szCs w:val="22"/>
        </w:rPr>
        <w:t>Slijedeću skupinu dionika čine gradska trgovačka društva - Zagrebački holding d.o.o, Razvojna agencija Zagreb - TPZ d.o.o., APIS IT d.o.o., Vodoprivreda Zagreb d.d. te Zračna luka Zagreb d.o.o.</w:t>
      </w:r>
    </w:p>
    <w:p w:rsidR="00BC341E" w:rsidRPr="000063FC" w:rsidRDefault="00BC341E">
      <w:pPr>
        <w:spacing w:line="276" w:lineRule="auto"/>
        <w:rPr>
          <w:rFonts w:asciiTheme="minorHAnsi" w:hAnsiTheme="minorHAnsi" w:cs="Arial"/>
          <w:noProof/>
          <w:szCs w:val="22"/>
        </w:rPr>
      </w:pPr>
    </w:p>
    <w:p w:rsidR="00BC341E" w:rsidRPr="000063FC" w:rsidRDefault="007B0169" w:rsidP="00C24CE2">
      <w:pPr>
        <w:pStyle w:val="NoSpacing"/>
        <w:spacing w:line="276" w:lineRule="auto"/>
        <w:jc w:val="both"/>
        <w:rPr>
          <w:rFonts w:asciiTheme="minorHAnsi" w:hAnsiTheme="minorHAnsi"/>
          <w:noProof/>
        </w:rPr>
      </w:pPr>
      <w:r w:rsidRPr="000063FC">
        <w:rPr>
          <w:rFonts w:asciiTheme="minorHAnsi" w:hAnsiTheme="minorHAnsi"/>
          <w:noProof/>
        </w:rPr>
        <w:t xml:space="preserve">Kao važne dionike, sigurno treba istaknuti i interesna udruženja navedenih tvrtki i poduzeća: Hrvatsku gospodarsku komoru – Komora Zagreb i Hrvatsku obrtničku komoru - Obrtnička komora Zagreb te udruženja obrtnika unutar HGK te veći broj nevladinih udruga i udruga potrošača. Od obrazovnih ustanova, na području Zagreba djeluje 138 osnovnih škola, 102 srednje škole, 49 visokih učilišta - 33 fakulteta, 4 veleučilišta i 12 visokih škola. </w:t>
      </w:r>
    </w:p>
    <w:p w:rsidR="00BC341E" w:rsidRPr="000063FC" w:rsidRDefault="00BC341E">
      <w:pPr>
        <w:pStyle w:val="NoSpacing"/>
        <w:spacing w:line="276" w:lineRule="auto"/>
        <w:rPr>
          <w:rFonts w:asciiTheme="minorHAnsi" w:hAnsiTheme="minorHAnsi"/>
        </w:rPr>
      </w:pPr>
    </w:p>
    <w:p w:rsidR="00BC341E" w:rsidRPr="000063FC" w:rsidRDefault="007B0169" w:rsidP="00C24CE2">
      <w:pPr>
        <w:pStyle w:val="NoSpacing"/>
        <w:spacing w:line="276" w:lineRule="auto"/>
        <w:jc w:val="both"/>
        <w:rPr>
          <w:rFonts w:asciiTheme="minorHAnsi" w:hAnsiTheme="minorHAnsi"/>
        </w:rPr>
      </w:pPr>
      <w:r w:rsidRPr="000063FC">
        <w:rPr>
          <w:rFonts w:asciiTheme="minorHAnsi" w:hAnsiTheme="minorHAnsi"/>
        </w:rPr>
        <w:t>Identifikacija sudionika i dionika Procesa izrade, provedbe i praćenja Akcijskog plana kao i njihovo pravovremeno uključenje i kontinuirano sudjelovanje u čitavom Procesu, u konačnici će rezultirati razvitkom Grada Zagreba na načelima održivosti, zaštite okoliša, energetske učinkovitosti  i korištenja obnovljivih izvora energije.</w:t>
      </w:r>
    </w:p>
    <w:p w:rsidR="006970AF" w:rsidRPr="000063FC" w:rsidRDefault="006970AF">
      <w:pPr>
        <w:tabs>
          <w:tab w:val="clear" w:pos="720"/>
          <w:tab w:val="clear" w:pos="6912"/>
        </w:tabs>
        <w:spacing w:line="240" w:lineRule="auto"/>
        <w:jc w:val="left"/>
        <w:rPr>
          <w:rFonts w:asciiTheme="minorHAnsi" w:hAnsiTheme="minorHAnsi" w:cs="Arial"/>
          <w:szCs w:val="22"/>
        </w:rPr>
      </w:pPr>
      <w:r w:rsidRPr="000063FC">
        <w:rPr>
          <w:rFonts w:asciiTheme="minorHAnsi" w:hAnsiTheme="minorHAnsi" w:cs="Arial"/>
          <w:szCs w:val="22"/>
        </w:rPr>
        <w:br w:type="page"/>
      </w:r>
    </w:p>
    <w:p w:rsidR="006970AF" w:rsidRPr="000063FC" w:rsidRDefault="006970AF" w:rsidP="006970AF">
      <w:pPr>
        <w:pStyle w:val="Heading1"/>
        <w:spacing w:before="240"/>
      </w:pPr>
      <w:bookmarkStart w:id="288" w:name="_Toc254010223"/>
      <w:r w:rsidRPr="000063FC">
        <w:t>Definiranje okvira potrebnih financijskih sredstava z</w:t>
      </w:r>
      <w:r w:rsidR="00912258" w:rsidRPr="000063FC">
        <w:t xml:space="preserve">a metodološko praćenje emisija </w:t>
      </w:r>
      <w:r w:rsidRPr="000063FC">
        <w:t>CO</w:t>
      </w:r>
      <w:r w:rsidRPr="000063FC">
        <w:rPr>
          <w:vertAlign w:val="subscript"/>
        </w:rPr>
        <w:t>2</w:t>
      </w:r>
      <w:r w:rsidRPr="000063FC">
        <w:t xml:space="preserve"> i provedbu Akcijskog plana</w:t>
      </w:r>
      <w:bookmarkEnd w:id="288"/>
      <w:r w:rsidRPr="000063FC">
        <w:t xml:space="preserve">   </w:t>
      </w:r>
    </w:p>
    <w:p w:rsidR="006970AF" w:rsidRPr="000063FC" w:rsidRDefault="00F56931" w:rsidP="006970AF">
      <w:pPr>
        <w:pStyle w:val="Heading2"/>
      </w:pPr>
      <w:bookmarkStart w:id="289" w:name="_Toc254010224"/>
      <w:r w:rsidRPr="000063FC">
        <w:rPr>
          <w:caps w:val="0"/>
        </w:rPr>
        <w:t>PREGLED MOGUĆIH IZVORA FINANCIRANJA PROVEDBE AKCIJSKOG PLANA</w:t>
      </w:r>
      <w:bookmarkEnd w:id="289"/>
    </w:p>
    <w:p w:rsidR="006970AF" w:rsidRPr="000063FC" w:rsidRDefault="006970AF" w:rsidP="009D3298">
      <w:pPr>
        <w:spacing w:line="276" w:lineRule="auto"/>
        <w:rPr>
          <w:rFonts w:cs="Arial"/>
        </w:rPr>
      </w:pPr>
      <w:r w:rsidRPr="000063FC">
        <w:rPr>
          <w:rFonts w:cs="Arial"/>
        </w:rPr>
        <w:t>Gradu Zagrebu na raspolaganju su značajni izvori za financiranje provedbe Akcijskog plana energetski održivog razvitka Grada Zagreba kao i kontinuiranog, metodološkog praćenja emisija CO</w:t>
      </w:r>
      <w:r w:rsidRPr="000063FC">
        <w:rPr>
          <w:rFonts w:cs="Arial"/>
          <w:vertAlign w:val="subscript"/>
        </w:rPr>
        <w:t>2</w:t>
      </w:r>
      <w:r w:rsidRPr="000063FC">
        <w:rPr>
          <w:rFonts w:cs="Arial"/>
        </w:rPr>
        <w:t xml:space="preserve"> (tablica 8.1). </w:t>
      </w:r>
    </w:p>
    <w:p w:rsidR="006970AF" w:rsidRPr="000063FC" w:rsidRDefault="006970AF" w:rsidP="006970AF">
      <w:pPr>
        <w:spacing w:line="276" w:lineRule="auto"/>
        <w:rPr>
          <w:rFonts w:cs="Arial"/>
        </w:rPr>
      </w:pPr>
    </w:p>
    <w:p w:rsidR="006970AF" w:rsidRPr="000063FC" w:rsidRDefault="006970AF" w:rsidP="00B33E2F">
      <w:pPr>
        <w:pStyle w:val="Heading6"/>
      </w:pPr>
      <w:bookmarkStart w:id="290" w:name="_Toc254010280"/>
      <w:r w:rsidRPr="000063FC">
        <w:t xml:space="preserve">Tablica 8.1: Pregled mogućih izvora financiranja mjera i aktivnosti </w:t>
      </w:r>
      <w:r w:rsidR="00C24CE2" w:rsidRPr="000063FC">
        <w:t>Akcijskog plana</w:t>
      </w:r>
      <w:bookmarkEnd w:id="29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126"/>
        <w:gridCol w:w="1276"/>
        <w:gridCol w:w="1533"/>
        <w:gridCol w:w="1835"/>
      </w:tblGrid>
      <w:tr w:rsidR="006970AF" w:rsidRPr="000063FC" w:rsidTr="00E20A31">
        <w:trPr>
          <w:trHeight w:val="227"/>
        </w:trPr>
        <w:tc>
          <w:tcPr>
            <w:tcW w:w="2518" w:type="dxa"/>
            <w:shd w:val="clear" w:color="auto" w:fill="4BACC6" w:themeFill="accent5"/>
            <w:vAlign w:val="center"/>
          </w:tcPr>
          <w:p w:rsidR="006970AF" w:rsidRPr="000063FC" w:rsidRDefault="006970AF" w:rsidP="006970AF">
            <w:pPr>
              <w:jc w:val="center"/>
              <w:rPr>
                <w:rFonts w:asciiTheme="minorHAnsi" w:hAnsiTheme="minorHAnsi" w:cs="Arial"/>
                <w:b/>
                <w:color w:val="FFFFFF" w:themeColor="background1"/>
                <w:sz w:val="18"/>
                <w:szCs w:val="18"/>
              </w:rPr>
            </w:pPr>
            <w:r w:rsidRPr="000063FC">
              <w:rPr>
                <w:rFonts w:asciiTheme="minorHAnsi" w:hAnsiTheme="minorHAnsi" w:cs="Arial"/>
                <w:b/>
                <w:color w:val="FFFFFF" w:themeColor="background1"/>
                <w:sz w:val="18"/>
                <w:szCs w:val="18"/>
              </w:rPr>
              <w:t>Izvor financiranja</w:t>
            </w:r>
          </w:p>
        </w:tc>
        <w:tc>
          <w:tcPr>
            <w:tcW w:w="2126" w:type="dxa"/>
            <w:shd w:val="clear" w:color="auto" w:fill="4BACC6" w:themeFill="accent5"/>
            <w:vAlign w:val="center"/>
          </w:tcPr>
          <w:p w:rsidR="006970AF" w:rsidRPr="000063FC" w:rsidRDefault="006970AF" w:rsidP="006970AF">
            <w:pPr>
              <w:jc w:val="center"/>
              <w:rPr>
                <w:rFonts w:asciiTheme="minorHAnsi" w:hAnsiTheme="minorHAnsi" w:cs="Arial"/>
                <w:b/>
                <w:color w:val="FFFFFF" w:themeColor="background1"/>
                <w:sz w:val="18"/>
                <w:szCs w:val="18"/>
              </w:rPr>
            </w:pPr>
            <w:r w:rsidRPr="000063FC">
              <w:rPr>
                <w:rFonts w:asciiTheme="minorHAnsi" w:hAnsiTheme="minorHAnsi" w:cs="Arial"/>
                <w:b/>
                <w:color w:val="FFFFFF" w:themeColor="background1"/>
                <w:sz w:val="18"/>
                <w:szCs w:val="18"/>
              </w:rPr>
              <w:t>Vrsta</w:t>
            </w:r>
          </w:p>
        </w:tc>
        <w:tc>
          <w:tcPr>
            <w:tcW w:w="1276" w:type="dxa"/>
            <w:shd w:val="clear" w:color="auto" w:fill="4BACC6" w:themeFill="accent5"/>
            <w:vAlign w:val="center"/>
          </w:tcPr>
          <w:p w:rsidR="006970AF" w:rsidRPr="000063FC" w:rsidRDefault="006970AF" w:rsidP="006970AF">
            <w:pPr>
              <w:jc w:val="center"/>
              <w:rPr>
                <w:rFonts w:asciiTheme="minorHAnsi" w:hAnsiTheme="minorHAnsi" w:cs="Arial"/>
                <w:b/>
                <w:color w:val="FFFFFF" w:themeColor="background1"/>
                <w:sz w:val="18"/>
                <w:szCs w:val="18"/>
              </w:rPr>
            </w:pPr>
            <w:r w:rsidRPr="000063FC">
              <w:rPr>
                <w:rFonts w:asciiTheme="minorHAnsi" w:hAnsiTheme="minorHAnsi" w:cs="Arial"/>
                <w:b/>
                <w:color w:val="FFFFFF" w:themeColor="background1"/>
                <w:sz w:val="18"/>
                <w:szCs w:val="18"/>
              </w:rPr>
              <w:t>Maksimalni iznos</w:t>
            </w:r>
          </w:p>
        </w:tc>
        <w:tc>
          <w:tcPr>
            <w:tcW w:w="1533" w:type="dxa"/>
            <w:shd w:val="clear" w:color="auto" w:fill="4BACC6" w:themeFill="accent5"/>
            <w:vAlign w:val="center"/>
          </w:tcPr>
          <w:p w:rsidR="006970AF" w:rsidRPr="000063FC" w:rsidRDefault="006970AF" w:rsidP="006970AF">
            <w:pPr>
              <w:jc w:val="center"/>
              <w:rPr>
                <w:rFonts w:asciiTheme="minorHAnsi" w:hAnsiTheme="minorHAnsi" w:cs="Arial"/>
                <w:b/>
                <w:color w:val="FFFFFF" w:themeColor="background1"/>
                <w:sz w:val="18"/>
                <w:szCs w:val="18"/>
              </w:rPr>
            </w:pPr>
            <w:r w:rsidRPr="000063FC">
              <w:rPr>
                <w:rFonts w:asciiTheme="minorHAnsi" w:hAnsiTheme="minorHAnsi" w:cs="Arial"/>
                <w:b/>
                <w:color w:val="FFFFFF" w:themeColor="background1"/>
                <w:sz w:val="18"/>
                <w:szCs w:val="18"/>
              </w:rPr>
              <w:t>Udio u ukupnim troškovima (%)</w:t>
            </w:r>
          </w:p>
        </w:tc>
        <w:tc>
          <w:tcPr>
            <w:tcW w:w="1835" w:type="dxa"/>
            <w:shd w:val="clear" w:color="auto" w:fill="4BACC6" w:themeFill="accent5"/>
            <w:vAlign w:val="center"/>
          </w:tcPr>
          <w:p w:rsidR="006970AF" w:rsidRPr="000063FC" w:rsidRDefault="006970AF" w:rsidP="006970AF">
            <w:pPr>
              <w:jc w:val="center"/>
              <w:rPr>
                <w:rFonts w:asciiTheme="minorHAnsi" w:hAnsiTheme="minorHAnsi" w:cs="Arial"/>
                <w:b/>
                <w:color w:val="FFFFFF" w:themeColor="background1"/>
                <w:sz w:val="18"/>
                <w:szCs w:val="18"/>
              </w:rPr>
            </w:pPr>
            <w:r w:rsidRPr="000063FC">
              <w:rPr>
                <w:rFonts w:asciiTheme="minorHAnsi" w:hAnsiTheme="minorHAnsi" w:cs="Arial"/>
                <w:b/>
                <w:color w:val="FFFFFF" w:themeColor="background1"/>
                <w:sz w:val="18"/>
                <w:szCs w:val="18"/>
              </w:rPr>
              <w:t>Godina u kojoj su sredstva na raspolaganju</w:t>
            </w:r>
          </w:p>
        </w:tc>
      </w:tr>
      <w:tr w:rsidR="006970AF" w:rsidRPr="000063FC" w:rsidTr="00E20A31">
        <w:trPr>
          <w:trHeight w:val="227"/>
        </w:trPr>
        <w:tc>
          <w:tcPr>
            <w:tcW w:w="2518" w:type="dxa"/>
            <w:shd w:val="clear" w:color="auto" w:fill="DAEEF3" w:themeFill="accent5" w:themeFillTint="33"/>
            <w:vAlign w:val="center"/>
          </w:tcPr>
          <w:p w:rsidR="006970AF" w:rsidRPr="000063FC" w:rsidRDefault="006970AF" w:rsidP="006970AF">
            <w:pPr>
              <w:rPr>
                <w:rFonts w:asciiTheme="minorHAnsi" w:hAnsiTheme="minorHAnsi" w:cs="Arial"/>
                <w:sz w:val="18"/>
                <w:szCs w:val="18"/>
              </w:rPr>
            </w:pPr>
            <w:r w:rsidRPr="000063FC">
              <w:rPr>
                <w:rFonts w:asciiTheme="minorHAnsi" w:hAnsiTheme="minorHAnsi" w:cs="Arial"/>
                <w:sz w:val="18"/>
                <w:szCs w:val="18"/>
              </w:rPr>
              <w:t>Proračun Grada Zagreba</w:t>
            </w:r>
          </w:p>
        </w:tc>
        <w:tc>
          <w:tcPr>
            <w:tcW w:w="212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Vlastita sredstva</w:t>
            </w:r>
          </w:p>
        </w:tc>
        <w:tc>
          <w:tcPr>
            <w:tcW w:w="127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w:t>
            </w:r>
          </w:p>
        </w:tc>
        <w:tc>
          <w:tcPr>
            <w:tcW w:w="1533"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100</w:t>
            </w:r>
          </w:p>
        </w:tc>
        <w:tc>
          <w:tcPr>
            <w:tcW w:w="1835"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2010.</w:t>
            </w:r>
          </w:p>
        </w:tc>
      </w:tr>
      <w:tr w:rsidR="006970AF" w:rsidRPr="000063FC" w:rsidTr="00E20A31">
        <w:trPr>
          <w:trHeight w:val="227"/>
        </w:trPr>
        <w:tc>
          <w:tcPr>
            <w:tcW w:w="2518" w:type="dxa"/>
            <w:shd w:val="clear" w:color="auto" w:fill="DAEEF3" w:themeFill="accent5" w:themeFillTint="33"/>
            <w:vAlign w:val="center"/>
          </w:tcPr>
          <w:p w:rsidR="006970AF" w:rsidRPr="000063FC" w:rsidRDefault="006970AF" w:rsidP="006970AF">
            <w:pPr>
              <w:rPr>
                <w:rFonts w:asciiTheme="minorHAnsi" w:hAnsiTheme="minorHAnsi" w:cs="Arial"/>
                <w:sz w:val="18"/>
                <w:szCs w:val="18"/>
              </w:rPr>
            </w:pPr>
            <w:r w:rsidRPr="000063FC">
              <w:rPr>
                <w:rFonts w:asciiTheme="minorHAnsi" w:hAnsiTheme="minorHAnsi" w:cs="Arial"/>
                <w:sz w:val="18"/>
                <w:szCs w:val="18"/>
              </w:rPr>
              <w:t>ESCO model</w:t>
            </w:r>
          </w:p>
        </w:tc>
        <w:tc>
          <w:tcPr>
            <w:tcW w:w="212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Vlastita sredstva/privatni kapital</w:t>
            </w:r>
          </w:p>
        </w:tc>
        <w:tc>
          <w:tcPr>
            <w:tcW w:w="127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Nije određen</w:t>
            </w:r>
          </w:p>
        </w:tc>
        <w:tc>
          <w:tcPr>
            <w:tcW w:w="1533"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100</w:t>
            </w:r>
          </w:p>
        </w:tc>
        <w:tc>
          <w:tcPr>
            <w:tcW w:w="1835"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2010.</w:t>
            </w:r>
          </w:p>
        </w:tc>
      </w:tr>
      <w:tr w:rsidR="006970AF" w:rsidRPr="000063FC" w:rsidTr="00E20A31">
        <w:trPr>
          <w:trHeight w:val="227"/>
        </w:trPr>
        <w:tc>
          <w:tcPr>
            <w:tcW w:w="2518" w:type="dxa"/>
            <w:shd w:val="clear" w:color="auto" w:fill="DAEEF3" w:themeFill="accent5" w:themeFillTint="33"/>
            <w:vAlign w:val="center"/>
          </w:tcPr>
          <w:p w:rsidR="006970AF" w:rsidRPr="000063FC" w:rsidRDefault="006970AF" w:rsidP="006970AF">
            <w:pPr>
              <w:rPr>
                <w:rFonts w:asciiTheme="minorHAnsi" w:hAnsiTheme="minorHAnsi" w:cs="Arial"/>
                <w:sz w:val="18"/>
                <w:szCs w:val="18"/>
              </w:rPr>
            </w:pPr>
            <w:r w:rsidRPr="000063FC">
              <w:rPr>
                <w:rFonts w:asciiTheme="minorHAnsi" w:hAnsiTheme="minorHAnsi" w:cs="Arial"/>
                <w:sz w:val="18"/>
                <w:szCs w:val="18"/>
              </w:rPr>
              <w:t>HBOR</w:t>
            </w:r>
          </w:p>
        </w:tc>
        <w:tc>
          <w:tcPr>
            <w:tcW w:w="212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Kredit/vlastita sredstva</w:t>
            </w:r>
          </w:p>
        </w:tc>
        <w:tc>
          <w:tcPr>
            <w:tcW w:w="127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Nije određen</w:t>
            </w:r>
          </w:p>
        </w:tc>
        <w:tc>
          <w:tcPr>
            <w:tcW w:w="1533"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50</w:t>
            </w:r>
          </w:p>
        </w:tc>
        <w:tc>
          <w:tcPr>
            <w:tcW w:w="1835"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2010.</w:t>
            </w:r>
          </w:p>
        </w:tc>
      </w:tr>
      <w:tr w:rsidR="006970AF" w:rsidRPr="000063FC" w:rsidTr="00E20A31">
        <w:trPr>
          <w:trHeight w:val="227"/>
        </w:trPr>
        <w:tc>
          <w:tcPr>
            <w:tcW w:w="2518" w:type="dxa"/>
            <w:shd w:val="clear" w:color="auto" w:fill="DAEEF3" w:themeFill="accent5" w:themeFillTint="33"/>
            <w:vAlign w:val="center"/>
          </w:tcPr>
          <w:p w:rsidR="006970AF" w:rsidRPr="000063FC" w:rsidRDefault="006970AF" w:rsidP="006970AF">
            <w:pPr>
              <w:rPr>
                <w:rFonts w:asciiTheme="minorHAnsi" w:hAnsiTheme="minorHAnsi" w:cs="Arial"/>
                <w:sz w:val="18"/>
                <w:szCs w:val="18"/>
              </w:rPr>
            </w:pPr>
            <w:r w:rsidRPr="000063FC">
              <w:rPr>
                <w:rFonts w:asciiTheme="minorHAnsi" w:hAnsiTheme="minorHAnsi" w:cs="Arial"/>
                <w:sz w:val="18"/>
                <w:szCs w:val="18"/>
              </w:rPr>
              <w:t>FZOEU</w:t>
            </w:r>
          </w:p>
        </w:tc>
        <w:tc>
          <w:tcPr>
            <w:tcW w:w="212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Bespovratna sredstva</w:t>
            </w:r>
          </w:p>
        </w:tc>
        <w:tc>
          <w:tcPr>
            <w:tcW w:w="127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1 700 000 kn po projektu</w:t>
            </w:r>
          </w:p>
        </w:tc>
        <w:tc>
          <w:tcPr>
            <w:tcW w:w="1533"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40</w:t>
            </w:r>
          </w:p>
        </w:tc>
        <w:tc>
          <w:tcPr>
            <w:tcW w:w="1835"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2010.</w:t>
            </w:r>
          </w:p>
        </w:tc>
      </w:tr>
      <w:tr w:rsidR="006970AF" w:rsidRPr="000063FC" w:rsidTr="00E20A31">
        <w:trPr>
          <w:trHeight w:val="227"/>
        </w:trPr>
        <w:tc>
          <w:tcPr>
            <w:tcW w:w="2518" w:type="dxa"/>
            <w:shd w:val="clear" w:color="auto" w:fill="DAEEF3" w:themeFill="accent5" w:themeFillTint="33"/>
            <w:vAlign w:val="center"/>
          </w:tcPr>
          <w:p w:rsidR="006970AF" w:rsidRPr="000063FC" w:rsidRDefault="006970AF" w:rsidP="006970AF">
            <w:pPr>
              <w:rPr>
                <w:rFonts w:asciiTheme="minorHAnsi" w:hAnsiTheme="minorHAnsi" w:cs="Arial"/>
                <w:sz w:val="18"/>
                <w:szCs w:val="18"/>
              </w:rPr>
            </w:pPr>
            <w:r w:rsidRPr="000063FC">
              <w:rPr>
                <w:rFonts w:asciiTheme="minorHAnsi" w:hAnsiTheme="minorHAnsi" w:cs="Arial"/>
                <w:sz w:val="18"/>
                <w:szCs w:val="18"/>
              </w:rPr>
              <w:t>IPA 1 Pomoć u tranziciji i jačanje institucija</w:t>
            </w:r>
          </w:p>
        </w:tc>
        <w:tc>
          <w:tcPr>
            <w:tcW w:w="212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Bespovratna sredstva/vlastita sredstva</w:t>
            </w:r>
          </w:p>
        </w:tc>
        <w:tc>
          <w:tcPr>
            <w:tcW w:w="127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Nije određen</w:t>
            </w:r>
          </w:p>
        </w:tc>
        <w:tc>
          <w:tcPr>
            <w:tcW w:w="1533"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85</w:t>
            </w:r>
          </w:p>
        </w:tc>
        <w:tc>
          <w:tcPr>
            <w:tcW w:w="1835"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2010.-2013.</w:t>
            </w:r>
          </w:p>
        </w:tc>
      </w:tr>
      <w:tr w:rsidR="006970AF" w:rsidRPr="000063FC" w:rsidTr="00E20A31">
        <w:trPr>
          <w:trHeight w:val="227"/>
        </w:trPr>
        <w:tc>
          <w:tcPr>
            <w:tcW w:w="2518" w:type="dxa"/>
            <w:shd w:val="clear" w:color="auto" w:fill="DAEEF3" w:themeFill="accent5" w:themeFillTint="33"/>
            <w:vAlign w:val="center"/>
          </w:tcPr>
          <w:p w:rsidR="006970AF" w:rsidRPr="000063FC" w:rsidRDefault="006970AF" w:rsidP="006970AF">
            <w:pPr>
              <w:jc w:val="left"/>
              <w:rPr>
                <w:rFonts w:asciiTheme="minorHAnsi" w:hAnsiTheme="minorHAnsi" w:cs="Arial"/>
                <w:sz w:val="18"/>
                <w:szCs w:val="18"/>
              </w:rPr>
            </w:pPr>
            <w:r w:rsidRPr="000063FC">
              <w:rPr>
                <w:rFonts w:asciiTheme="minorHAnsi" w:hAnsiTheme="minorHAnsi" w:cs="Arial"/>
                <w:sz w:val="18"/>
                <w:szCs w:val="18"/>
              </w:rPr>
              <w:t>IPA 2 Prekogranična suradnja Hrvatska-Slovenija</w:t>
            </w:r>
          </w:p>
        </w:tc>
        <w:tc>
          <w:tcPr>
            <w:tcW w:w="212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Bespovratna sredstva/ vlastita sredstva</w:t>
            </w:r>
          </w:p>
        </w:tc>
        <w:tc>
          <w:tcPr>
            <w:tcW w:w="127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 xml:space="preserve">300 000 Eur </w:t>
            </w:r>
          </w:p>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po projektu</w:t>
            </w:r>
          </w:p>
        </w:tc>
        <w:tc>
          <w:tcPr>
            <w:tcW w:w="1533"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85</w:t>
            </w:r>
          </w:p>
        </w:tc>
        <w:tc>
          <w:tcPr>
            <w:tcW w:w="1835"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2010.-2013.</w:t>
            </w:r>
          </w:p>
        </w:tc>
      </w:tr>
      <w:tr w:rsidR="006970AF" w:rsidRPr="000063FC" w:rsidTr="00E20A31">
        <w:trPr>
          <w:trHeight w:val="227"/>
        </w:trPr>
        <w:tc>
          <w:tcPr>
            <w:tcW w:w="2518" w:type="dxa"/>
            <w:shd w:val="clear" w:color="auto" w:fill="DAEEF3" w:themeFill="accent5" w:themeFillTint="33"/>
            <w:vAlign w:val="center"/>
          </w:tcPr>
          <w:p w:rsidR="006970AF" w:rsidRPr="000063FC" w:rsidRDefault="006970AF" w:rsidP="006970AF">
            <w:pPr>
              <w:rPr>
                <w:rFonts w:asciiTheme="minorHAnsi" w:hAnsiTheme="minorHAnsi" w:cs="Arial"/>
                <w:sz w:val="18"/>
                <w:szCs w:val="18"/>
              </w:rPr>
            </w:pPr>
            <w:r w:rsidRPr="000063FC">
              <w:rPr>
                <w:rFonts w:asciiTheme="minorHAnsi" w:hAnsiTheme="minorHAnsi" w:cs="Arial"/>
                <w:sz w:val="18"/>
                <w:szCs w:val="18"/>
              </w:rPr>
              <w:t>Transnacionalni program za Jugoistočnu Europu</w:t>
            </w:r>
          </w:p>
        </w:tc>
        <w:tc>
          <w:tcPr>
            <w:tcW w:w="212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Bespovratna sredstva/ vlastita sredstva</w:t>
            </w:r>
          </w:p>
        </w:tc>
        <w:tc>
          <w:tcPr>
            <w:tcW w:w="127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206 mil. Eur</w:t>
            </w:r>
          </w:p>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ukupno</w:t>
            </w:r>
          </w:p>
        </w:tc>
        <w:tc>
          <w:tcPr>
            <w:tcW w:w="1533"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85</w:t>
            </w:r>
          </w:p>
        </w:tc>
        <w:tc>
          <w:tcPr>
            <w:tcW w:w="1835"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2007.-2013.</w:t>
            </w:r>
          </w:p>
        </w:tc>
      </w:tr>
      <w:tr w:rsidR="006970AF" w:rsidRPr="000063FC" w:rsidTr="00E20A31">
        <w:trPr>
          <w:trHeight w:val="227"/>
        </w:trPr>
        <w:tc>
          <w:tcPr>
            <w:tcW w:w="2518" w:type="dxa"/>
            <w:shd w:val="clear" w:color="auto" w:fill="DAEEF3" w:themeFill="accent5" w:themeFillTint="33"/>
            <w:vAlign w:val="center"/>
          </w:tcPr>
          <w:p w:rsidR="006970AF" w:rsidRPr="000063FC" w:rsidRDefault="006970AF" w:rsidP="006970AF">
            <w:pPr>
              <w:rPr>
                <w:rFonts w:asciiTheme="minorHAnsi" w:hAnsiTheme="minorHAnsi" w:cs="Arial"/>
                <w:sz w:val="18"/>
                <w:szCs w:val="18"/>
              </w:rPr>
            </w:pPr>
            <w:r w:rsidRPr="000063FC">
              <w:rPr>
                <w:rFonts w:asciiTheme="minorHAnsi" w:hAnsiTheme="minorHAnsi" w:cs="Arial"/>
                <w:sz w:val="18"/>
                <w:szCs w:val="18"/>
              </w:rPr>
              <w:t>CIP, IEE</w:t>
            </w:r>
          </w:p>
        </w:tc>
        <w:tc>
          <w:tcPr>
            <w:tcW w:w="212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Bespovratna sredstva/ vlastita sredstva</w:t>
            </w:r>
          </w:p>
        </w:tc>
        <w:tc>
          <w:tcPr>
            <w:tcW w:w="127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2,5 mil Eur</w:t>
            </w:r>
          </w:p>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po projektu</w:t>
            </w:r>
          </w:p>
        </w:tc>
        <w:tc>
          <w:tcPr>
            <w:tcW w:w="1533"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75</w:t>
            </w:r>
          </w:p>
        </w:tc>
        <w:tc>
          <w:tcPr>
            <w:tcW w:w="1835"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2010.</w:t>
            </w:r>
          </w:p>
        </w:tc>
      </w:tr>
      <w:tr w:rsidR="006970AF" w:rsidRPr="000063FC" w:rsidTr="00E20A31">
        <w:trPr>
          <w:trHeight w:val="227"/>
        </w:trPr>
        <w:tc>
          <w:tcPr>
            <w:tcW w:w="2518" w:type="dxa"/>
            <w:shd w:val="clear" w:color="auto" w:fill="DAEEF3" w:themeFill="accent5" w:themeFillTint="33"/>
            <w:vAlign w:val="center"/>
          </w:tcPr>
          <w:p w:rsidR="006970AF" w:rsidRPr="000063FC" w:rsidRDefault="006970AF" w:rsidP="006970AF">
            <w:pPr>
              <w:rPr>
                <w:rFonts w:asciiTheme="minorHAnsi" w:hAnsiTheme="minorHAnsi" w:cs="Arial"/>
                <w:sz w:val="18"/>
                <w:szCs w:val="18"/>
              </w:rPr>
            </w:pPr>
            <w:r w:rsidRPr="000063FC">
              <w:rPr>
                <w:rFonts w:asciiTheme="minorHAnsi" w:hAnsiTheme="minorHAnsi" w:cs="Arial"/>
                <w:sz w:val="18"/>
                <w:szCs w:val="18"/>
              </w:rPr>
              <w:t>FP 7, Suradnja</w:t>
            </w:r>
          </w:p>
        </w:tc>
        <w:tc>
          <w:tcPr>
            <w:tcW w:w="212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Bespovratna sredstva/ vlastita sredstva</w:t>
            </w:r>
          </w:p>
        </w:tc>
        <w:tc>
          <w:tcPr>
            <w:tcW w:w="127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32,4 mlrd Eur ukupno</w:t>
            </w:r>
          </w:p>
        </w:tc>
        <w:tc>
          <w:tcPr>
            <w:tcW w:w="1533"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75</w:t>
            </w:r>
          </w:p>
        </w:tc>
        <w:tc>
          <w:tcPr>
            <w:tcW w:w="1835"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2007.-2013.</w:t>
            </w:r>
          </w:p>
        </w:tc>
      </w:tr>
      <w:tr w:rsidR="006970AF" w:rsidRPr="000063FC" w:rsidTr="00E20A31">
        <w:trPr>
          <w:trHeight w:val="227"/>
        </w:trPr>
        <w:tc>
          <w:tcPr>
            <w:tcW w:w="2518" w:type="dxa"/>
            <w:shd w:val="clear" w:color="auto" w:fill="DAEEF3" w:themeFill="accent5" w:themeFillTint="33"/>
            <w:vAlign w:val="center"/>
          </w:tcPr>
          <w:p w:rsidR="006970AF" w:rsidRPr="000063FC" w:rsidRDefault="006970AF" w:rsidP="006970AF">
            <w:pPr>
              <w:rPr>
                <w:rFonts w:asciiTheme="minorHAnsi" w:hAnsiTheme="minorHAnsi" w:cs="Arial"/>
                <w:sz w:val="18"/>
                <w:szCs w:val="18"/>
              </w:rPr>
            </w:pPr>
            <w:r w:rsidRPr="000063FC">
              <w:rPr>
                <w:rFonts w:asciiTheme="minorHAnsi" w:hAnsiTheme="minorHAnsi" w:cs="Arial"/>
                <w:sz w:val="18"/>
                <w:szCs w:val="18"/>
              </w:rPr>
              <w:t>CONCERTO</w:t>
            </w:r>
          </w:p>
        </w:tc>
        <w:tc>
          <w:tcPr>
            <w:tcW w:w="212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Bespovratna sredstva/ vlastita sredstva</w:t>
            </w:r>
          </w:p>
        </w:tc>
        <w:tc>
          <w:tcPr>
            <w:tcW w:w="127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150 mil Eur</w:t>
            </w:r>
          </w:p>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ukupno</w:t>
            </w:r>
          </w:p>
        </w:tc>
        <w:tc>
          <w:tcPr>
            <w:tcW w:w="1533"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50-100</w:t>
            </w:r>
          </w:p>
        </w:tc>
        <w:tc>
          <w:tcPr>
            <w:tcW w:w="1835"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2007.-2013.</w:t>
            </w:r>
          </w:p>
        </w:tc>
      </w:tr>
      <w:tr w:rsidR="006970AF" w:rsidRPr="000063FC" w:rsidTr="00E20A31">
        <w:trPr>
          <w:trHeight w:val="227"/>
        </w:trPr>
        <w:tc>
          <w:tcPr>
            <w:tcW w:w="2518" w:type="dxa"/>
            <w:shd w:val="clear" w:color="auto" w:fill="DAEEF3" w:themeFill="accent5" w:themeFillTint="33"/>
            <w:vAlign w:val="center"/>
          </w:tcPr>
          <w:p w:rsidR="006970AF" w:rsidRPr="000063FC" w:rsidRDefault="006970AF" w:rsidP="006970AF">
            <w:pPr>
              <w:rPr>
                <w:rFonts w:asciiTheme="minorHAnsi" w:hAnsiTheme="minorHAnsi" w:cs="Arial"/>
                <w:sz w:val="18"/>
                <w:szCs w:val="18"/>
              </w:rPr>
            </w:pPr>
            <w:r w:rsidRPr="000063FC">
              <w:rPr>
                <w:rFonts w:asciiTheme="minorHAnsi" w:hAnsiTheme="minorHAnsi" w:cs="Arial"/>
                <w:sz w:val="18"/>
                <w:szCs w:val="18"/>
              </w:rPr>
              <w:t>Strukturni fondovi</w:t>
            </w:r>
          </w:p>
        </w:tc>
        <w:tc>
          <w:tcPr>
            <w:tcW w:w="212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Bespovratna sredstva/ vlastita sredstva</w:t>
            </w:r>
          </w:p>
        </w:tc>
        <w:tc>
          <w:tcPr>
            <w:tcW w:w="127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347,41 mlrd Eur</w:t>
            </w:r>
          </w:p>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ukupno</w:t>
            </w:r>
          </w:p>
        </w:tc>
        <w:tc>
          <w:tcPr>
            <w:tcW w:w="1533"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w:t>
            </w:r>
          </w:p>
        </w:tc>
        <w:tc>
          <w:tcPr>
            <w:tcW w:w="1835"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Ulaskom u EU</w:t>
            </w:r>
          </w:p>
        </w:tc>
      </w:tr>
      <w:tr w:rsidR="006970AF" w:rsidRPr="000063FC" w:rsidTr="00E20A31">
        <w:trPr>
          <w:trHeight w:val="227"/>
        </w:trPr>
        <w:tc>
          <w:tcPr>
            <w:tcW w:w="2518" w:type="dxa"/>
            <w:shd w:val="clear" w:color="auto" w:fill="DAEEF3" w:themeFill="accent5" w:themeFillTint="33"/>
            <w:vAlign w:val="center"/>
          </w:tcPr>
          <w:p w:rsidR="006970AF" w:rsidRPr="000063FC" w:rsidRDefault="006970AF" w:rsidP="006970AF">
            <w:pPr>
              <w:rPr>
                <w:rFonts w:asciiTheme="minorHAnsi" w:hAnsiTheme="minorHAnsi" w:cs="Arial"/>
                <w:sz w:val="18"/>
                <w:szCs w:val="18"/>
              </w:rPr>
            </w:pPr>
            <w:r w:rsidRPr="000063FC">
              <w:rPr>
                <w:rFonts w:asciiTheme="minorHAnsi" w:hAnsiTheme="minorHAnsi" w:cs="Arial"/>
                <w:sz w:val="18"/>
                <w:szCs w:val="18"/>
              </w:rPr>
              <w:t>ELENA</w:t>
            </w:r>
          </w:p>
        </w:tc>
        <w:tc>
          <w:tcPr>
            <w:tcW w:w="212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Bespovratna sredstva</w:t>
            </w:r>
          </w:p>
        </w:tc>
        <w:tc>
          <w:tcPr>
            <w:tcW w:w="127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15 mil. Eur</w:t>
            </w:r>
          </w:p>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po projektu</w:t>
            </w:r>
          </w:p>
        </w:tc>
        <w:tc>
          <w:tcPr>
            <w:tcW w:w="1533"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100</w:t>
            </w:r>
          </w:p>
        </w:tc>
        <w:tc>
          <w:tcPr>
            <w:tcW w:w="1835"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2010.</w:t>
            </w:r>
          </w:p>
        </w:tc>
      </w:tr>
      <w:tr w:rsidR="006970AF" w:rsidRPr="000063FC" w:rsidTr="00E20A31">
        <w:trPr>
          <w:trHeight w:val="227"/>
        </w:trPr>
        <w:tc>
          <w:tcPr>
            <w:tcW w:w="2518" w:type="dxa"/>
            <w:shd w:val="clear" w:color="auto" w:fill="DAEEF3" w:themeFill="accent5" w:themeFillTint="33"/>
            <w:vAlign w:val="center"/>
          </w:tcPr>
          <w:p w:rsidR="006970AF" w:rsidRPr="000063FC" w:rsidRDefault="006970AF" w:rsidP="006970AF">
            <w:pPr>
              <w:rPr>
                <w:rFonts w:asciiTheme="minorHAnsi" w:hAnsiTheme="minorHAnsi" w:cs="Arial"/>
                <w:sz w:val="18"/>
                <w:szCs w:val="18"/>
              </w:rPr>
            </w:pPr>
            <w:r w:rsidRPr="000063FC">
              <w:rPr>
                <w:rFonts w:asciiTheme="minorHAnsi" w:hAnsiTheme="minorHAnsi" w:cs="Arial"/>
                <w:sz w:val="18"/>
                <w:szCs w:val="18"/>
              </w:rPr>
              <w:t>WeBSEDFF</w:t>
            </w:r>
          </w:p>
        </w:tc>
        <w:tc>
          <w:tcPr>
            <w:tcW w:w="212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Kredit/ vlastita sredstva</w:t>
            </w:r>
          </w:p>
        </w:tc>
        <w:tc>
          <w:tcPr>
            <w:tcW w:w="127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6 mil Eur</w:t>
            </w:r>
          </w:p>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po projektu</w:t>
            </w:r>
          </w:p>
        </w:tc>
        <w:tc>
          <w:tcPr>
            <w:tcW w:w="1533"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50-100</w:t>
            </w:r>
          </w:p>
        </w:tc>
        <w:tc>
          <w:tcPr>
            <w:tcW w:w="1835"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2010.</w:t>
            </w:r>
          </w:p>
        </w:tc>
      </w:tr>
      <w:tr w:rsidR="006970AF" w:rsidRPr="000063FC" w:rsidTr="00E20A31">
        <w:trPr>
          <w:trHeight w:val="227"/>
        </w:trPr>
        <w:tc>
          <w:tcPr>
            <w:tcW w:w="2518" w:type="dxa"/>
            <w:shd w:val="clear" w:color="auto" w:fill="DAEEF3" w:themeFill="accent5" w:themeFillTint="33"/>
            <w:vAlign w:val="center"/>
          </w:tcPr>
          <w:p w:rsidR="006970AF" w:rsidRPr="000063FC" w:rsidRDefault="006970AF" w:rsidP="006970AF">
            <w:pPr>
              <w:rPr>
                <w:rFonts w:asciiTheme="minorHAnsi" w:hAnsiTheme="minorHAnsi" w:cs="Arial"/>
                <w:sz w:val="18"/>
                <w:szCs w:val="18"/>
              </w:rPr>
            </w:pPr>
            <w:r w:rsidRPr="000063FC">
              <w:rPr>
                <w:rFonts w:asciiTheme="minorHAnsi" w:hAnsiTheme="minorHAnsi" w:cs="Arial"/>
                <w:sz w:val="18"/>
                <w:szCs w:val="18"/>
              </w:rPr>
              <w:t>Otvoreni regionalni fond za OIE i EE</w:t>
            </w:r>
          </w:p>
        </w:tc>
        <w:tc>
          <w:tcPr>
            <w:tcW w:w="212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Bespovratna sredstva/ vlastita sredstva</w:t>
            </w:r>
          </w:p>
        </w:tc>
        <w:tc>
          <w:tcPr>
            <w:tcW w:w="1276"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400 000 Eur</w:t>
            </w:r>
          </w:p>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po projektu</w:t>
            </w:r>
          </w:p>
        </w:tc>
        <w:tc>
          <w:tcPr>
            <w:tcW w:w="1533"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50-100</w:t>
            </w:r>
          </w:p>
        </w:tc>
        <w:tc>
          <w:tcPr>
            <w:tcW w:w="1835" w:type="dxa"/>
            <w:vAlign w:val="center"/>
          </w:tcPr>
          <w:p w:rsidR="006970AF" w:rsidRPr="000063FC" w:rsidRDefault="006970AF" w:rsidP="006970AF">
            <w:pPr>
              <w:jc w:val="center"/>
              <w:rPr>
                <w:rFonts w:asciiTheme="minorHAnsi" w:hAnsiTheme="minorHAnsi" w:cs="Arial"/>
                <w:sz w:val="18"/>
                <w:szCs w:val="18"/>
              </w:rPr>
            </w:pPr>
            <w:r w:rsidRPr="000063FC">
              <w:rPr>
                <w:rFonts w:asciiTheme="minorHAnsi" w:hAnsiTheme="minorHAnsi" w:cs="Arial"/>
                <w:sz w:val="18"/>
                <w:szCs w:val="18"/>
              </w:rPr>
              <w:t>2008.-2011.</w:t>
            </w:r>
          </w:p>
        </w:tc>
      </w:tr>
    </w:tbl>
    <w:p w:rsidR="006970AF" w:rsidRPr="000063FC" w:rsidRDefault="006970AF" w:rsidP="006970AF">
      <w:pPr>
        <w:rPr>
          <w:b/>
          <w:sz w:val="24"/>
          <w:szCs w:val="24"/>
        </w:rPr>
      </w:pPr>
    </w:p>
    <w:p w:rsidR="006970AF" w:rsidRPr="000063FC" w:rsidRDefault="006514BB" w:rsidP="006970AF">
      <w:r>
        <w:t xml:space="preserve">Ovdje je važno napomenuti </w:t>
      </w:r>
      <w:r w:rsidR="006970AF" w:rsidRPr="000063FC">
        <w:t>da će strukturni fondovi biti dostupni tek ulaskom Hrvatske u Europsku uniju.</w:t>
      </w:r>
    </w:p>
    <w:p w:rsidR="006970AF" w:rsidRPr="000063FC" w:rsidRDefault="006970AF" w:rsidP="006970AF"/>
    <w:p w:rsidR="006970AF" w:rsidRPr="000063FC" w:rsidRDefault="00F56931" w:rsidP="006970AF">
      <w:pPr>
        <w:pStyle w:val="Heading2"/>
      </w:pPr>
      <w:bookmarkStart w:id="291" w:name="_Toc254010225"/>
      <w:r w:rsidRPr="000063FC">
        <w:rPr>
          <w:caps w:val="0"/>
        </w:rPr>
        <w:t>FINANCIJSKI OKVIR ZA METODOLOŠKO PRAĆENJE EMISIJA  CO</w:t>
      </w:r>
      <w:r w:rsidRPr="000063FC">
        <w:rPr>
          <w:caps w:val="0"/>
          <w:vertAlign w:val="subscript"/>
        </w:rPr>
        <w:t>2</w:t>
      </w:r>
      <w:r w:rsidRPr="000063FC">
        <w:rPr>
          <w:caps w:val="0"/>
        </w:rPr>
        <w:t xml:space="preserve"> I PROVEDBU AKCIJSKOG PLANA</w:t>
      </w:r>
      <w:bookmarkEnd w:id="291"/>
    </w:p>
    <w:p w:rsidR="006970AF" w:rsidRPr="000063FC" w:rsidRDefault="006970AF" w:rsidP="006970AF">
      <w:pPr>
        <w:spacing w:line="276" w:lineRule="auto"/>
      </w:pPr>
      <w:r w:rsidRPr="000063FC">
        <w:rPr>
          <w:szCs w:val="22"/>
        </w:rPr>
        <w:t>U poglavlju</w:t>
      </w:r>
      <w:r w:rsidRPr="000063FC">
        <w:t xml:space="preserve"> 4. su identificirane mjere energetske učinkovitosti za sektore zgradarstva, prometa i javne rasvjete čija će provedba do 2020. godine rezultirati smanjenjem emisija CO</w:t>
      </w:r>
      <w:r w:rsidRPr="000063FC">
        <w:rPr>
          <w:vertAlign w:val="subscript"/>
        </w:rPr>
        <w:t xml:space="preserve">2 </w:t>
      </w:r>
      <w:r w:rsidRPr="000063FC">
        <w:t>za 21%. Za identificirane su mjere postavljeni vremenski okviri provedbe (pog. 5.) i dane procjene smanjenja emisija CO</w:t>
      </w:r>
      <w:r w:rsidRPr="000063FC">
        <w:rPr>
          <w:vertAlign w:val="subscript"/>
        </w:rPr>
        <w:t>2</w:t>
      </w:r>
      <w:r w:rsidRPr="000063FC">
        <w:t xml:space="preserve"> (pog. 6.) U ovom će poglavlju biti dan financijski okvir njihove provedbe do 2020. godine. Ovdje je važno naglasiti da za neke mjere, zbog njihove iznimne složenosti, jednostavno nije bilo moguće odrediti investicijske troškove bez dublje analize i izrade investicijskih studija.</w:t>
      </w:r>
    </w:p>
    <w:p w:rsidR="006970AF" w:rsidRPr="000063FC" w:rsidRDefault="006970AF" w:rsidP="006970AF">
      <w:pPr>
        <w:spacing w:line="276" w:lineRule="auto"/>
      </w:pPr>
      <w:r w:rsidRPr="000063FC">
        <w:t>Financijski okvir provedbe mjere podijeljen je prema sektorima i pripadajućim podsektorima.</w:t>
      </w:r>
    </w:p>
    <w:p w:rsidR="006970AF" w:rsidRPr="000063FC" w:rsidRDefault="006970AF">
      <w:pPr>
        <w:tabs>
          <w:tab w:val="clear" w:pos="720"/>
          <w:tab w:val="clear" w:pos="6912"/>
        </w:tabs>
        <w:spacing w:line="240" w:lineRule="auto"/>
        <w:jc w:val="left"/>
        <w:rPr>
          <w:szCs w:val="22"/>
        </w:rPr>
      </w:pPr>
    </w:p>
    <w:p w:rsidR="006970AF" w:rsidRPr="000063FC" w:rsidRDefault="006970AF" w:rsidP="006970AF">
      <w:pPr>
        <w:pStyle w:val="Heading3"/>
        <w:rPr>
          <w:sz w:val="28"/>
          <w:szCs w:val="28"/>
        </w:rPr>
      </w:pPr>
      <w:bookmarkStart w:id="292" w:name="_Toc254010226"/>
      <w:r w:rsidRPr="000063FC">
        <w:t>Financijski okvir provedbe mjera u sektoru zgradarstva</w:t>
      </w:r>
      <w:bookmarkEnd w:id="292"/>
    </w:p>
    <w:p w:rsidR="006970AF" w:rsidRPr="000063FC" w:rsidRDefault="006970AF" w:rsidP="006970AF">
      <w:pPr>
        <w:spacing w:line="276" w:lineRule="auto"/>
      </w:pPr>
      <w:r w:rsidRPr="000063FC">
        <w:t>Financijski okvir provedbe identificiranih mjera za smanjenje emisija CO</w:t>
      </w:r>
      <w:r w:rsidRPr="000063FC">
        <w:rPr>
          <w:vertAlign w:val="subscript"/>
        </w:rPr>
        <w:t>2</w:t>
      </w:r>
      <w:r w:rsidRPr="000063FC">
        <w:t xml:space="preserve"> po pojedinim podsektorima sektora zgradarstvo prikazan je u </w:t>
      </w:r>
      <w:r w:rsidRPr="000063FC">
        <w:rPr>
          <w:shd w:val="clear" w:color="auto" w:fill="FFFFFF" w:themeFill="background1"/>
        </w:rPr>
        <w:t>tablici 8.2.</w:t>
      </w:r>
      <w:r w:rsidRPr="000063FC">
        <w:t xml:space="preserve"> </w:t>
      </w:r>
    </w:p>
    <w:p w:rsidR="006970AF" w:rsidRPr="000063FC" w:rsidRDefault="006970AF" w:rsidP="006970AF"/>
    <w:p w:rsidR="006970AF" w:rsidRPr="000063FC" w:rsidRDefault="006970AF" w:rsidP="00B33E2F">
      <w:pPr>
        <w:pStyle w:val="Heading6"/>
      </w:pPr>
      <w:bookmarkStart w:id="293" w:name="_Toc254010281"/>
      <w:r w:rsidRPr="000063FC">
        <w:t>Tablica 8.2: Financijski okvir provedbe identificiranih mjera sektora zgradarstvo</w:t>
      </w:r>
      <w:bookmarkEnd w:id="293"/>
    </w:p>
    <w:tbl>
      <w:tblPr>
        <w:tblW w:w="0" w:type="auto"/>
        <w:tblInd w:w="93" w:type="dxa"/>
        <w:tblLayout w:type="fixed"/>
        <w:tblLook w:val="04A0" w:firstRow="1" w:lastRow="0" w:firstColumn="1" w:lastColumn="0" w:noHBand="0" w:noVBand="1"/>
      </w:tblPr>
      <w:tblGrid>
        <w:gridCol w:w="1008"/>
        <w:gridCol w:w="6804"/>
        <w:gridCol w:w="141"/>
        <w:gridCol w:w="1242"/>
      </w:tblGrid>
      <w:tr w:rsidR="006970AF" w:rsidRPr="000063FC" w:rsidTr="00B50C00">
        <w:trPr>
          <w:trHeight w:val="340"/>
        </w:trPr>
        <w:tc>
          <w:tcPr>
            <w:tcW w:w="1008" w:type="dxa"/>
            <w:tcBorders>
              <w:top w:val="single" w:sz="8" w:space="0" w:color="000000"/>
              <w:left w:val="single" w:sz="8" w:space="0" w:color="000000"/>
              <w:bottom w:val="nil"/>
              <w:right w:val="single" w:sz="8" w:space="0" w:color="000000"/>
            </w:tcBorders>
            <w:shd w:val="clear" w:color="auto" w:fill="4BACC6" w:themeFill="accent5"/>
            <w:vAlign w:val="center"/>
            <w:hideMark/>
          </w:tcPr>
          <w:p w:rsidR="006970AF" w:rsidRPr="000063FC" w:rsidRDefault="006970AF" w:rsidP="00B50C00">
            <w:pPr>
              <w:jc w:val="center"/>
              <w:rPr>
                <w:b/>
                <w:bCs/>
                <w:color w:val="FFFFFF" w:themeColor="background1"/>
                <w:sz w:val="18"/>
                <w:szCs w:val="18"/>
              </w:rPr>
            </w:pPr>
            <w:r w:rsidRPr="000063FC">
              <w:rPr>
                <w:b/>
                <w:bCs/>
                <w:color w:val="FFFFFF" w:themeColor="background1"/>
                <w:sz w:val="18"/>
                <w:szCs w:val="18"/>
              </w:rPr>
              <w:t>Podsektor</w:t>
            </w:r>
          </w:p>
        </w:tc>
        <w:tc>
          <w:tcPr>
            <w:tcW w:w="6945" w:type="dxa"/>
            <w:gridSpan w:val="2"/>
            <w:tcBorders>
              <w:top w:val="single" w:sz="8" w:space="0" w:color="000000"/>
              <w:left w:val="nil"/>
              <w:bottom w:val="nil"/>
              <w:right w:val="nil"/>
            </w:tcBorders>
            <w:shd w:val="clear" w:color="auto" w:fill="4BACC6" w:themeFill="accent5"/>
            <w:vAlign w:val="center"/>
            <w:hideMark/>
          </w:tcPr>
          <w:p w:rsidR="006970AF" w:rsidRPr="000063FC" w:rsidRDefault="006970AF" w:rsidP="00B50C00">
            <w:pPr>
              <w:jc w:val="center"/>
              <w:rPr>
                <w:b/>
                <w:bCs/>
                <w:color w:val="FFFFFF" w:themeColor="background1"/>
                <w:sz w:val="18"/>
                <w:szCs w:val="18"/>
              </w:rPr>
            </w:pPr>
            <w:r w:rsidRPr="000063FC">
              <w:rPr>
                <w:b/>
                <w:bCs/>
                <w:color w:val="FFFFFF" w:themeColor="background1"/>
                <w:sz w:val="18"/>
                <w:szCs w:val="18"/>
              </w:rPr>
              <w:t>Mjera</w:t>
            </w:r>
          </w:p>
        </w:tc>
        <w:tc>
          <w:tcPr>
            <w:tcW w:w="1242" w:type="dxa"/>
            <w:tcBorders>
              <w:top w:val="single" w:sz="8" w:space="0" w:color="auto"/>
              <w:left w:val="single" w:sz="8" w:space="0" w:color="auto"/>
              <w:bottom w:val="nil"/>
              <w:right w:val="single" w:sz="8" w:space="0" w:color="auto"/>
            </w:tcBorders>
            <w:shd w:val="clear" w:color="auto" w:fill="4BACC6" w:themeFill="accent5"/>
            <w:noWrap/>
            <w:vAlign w:val="center"/>
            <w:hideMark/>
          </w:tcPr>
          <w:p w:rsidR="006970AF" w:rsidRPr="000063FC" w:rsidRDefault="006970AF" w:rsidP="00B50C00">
            <w:pPr>
              <w:jc w:val="center"/>
              <w:rPr>
                <w:b/>
                <w:bCs/>
                <w:color w:val="FFFFFF" w:themeColor="background1"/>
                <w:sz w:val="18"/>
                <w:szCs w:val="18"/>
              </w:rPr>
            </w:pPr>
            <w:r w:rsidRPr="000063FC">
              <w:rPr>
                <w:b/>
                <w:bCs/>
                <w:color w:val="FFFFFF" w:themeColor="background1"/>
                <w:sz w:val="18"/>
                <w:szCs w:val="18"/>
              </w:rPr>
              <w:t>Financijski okvir (kn)</w:t>
            </w:r>
          </w:p>
        </w:tc>
      </w:tr>
      <w:tr w:rsidR="006970AF" w:rsidRPr="000063FC" w:rsidTr="006970AF">
        <w:trPr>
          <w:trHeight w:val="300"/>
        </w:trPr>
        <w:tc>
          <w:tcPr>
            <w:tcW w:w="919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70AF" w:rsidRPr="000063FC" w:rsidRDefault="006970AF" w:rsidP="006970AF">
            <w:pPr>
              <w:jc w:val="left"/>
              <w:rPr>
                <w:b/>
                <w:bCs/>
                <w:color w:val="000000"/>
                <w:sz w:val="18"/>
                <w:szCs w:val="18"/>
              </w:rPr>
            </w:pPr>
            <w:r w:rsidRPr="000063FC">
              <w:rPr>
                <w:b/>
                <w:bCs/>
                <w:color w:val="000000"/>
                <w:sz w:val="18"/>
                <w:szCs w:val="18"/>
              </w:rPr>
              <w:t>Promocija, obrazovanje i promjena ponašanja</w:t>
            </w:r>
          </w:p>
        </w:tc>
      </w:tr>
      <w:tr w:rsidR="006970AF" w:rsidRPr="000063FC" w:rsidTr="00C24CE2">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1.</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Obrazovanje i promjena ponašanja djelatnika/korisnika zgrada u vlasništvu Grada Zagreba</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500 000 godišnje</w:t>
            </w:r>
          </w:p>
        </w:tc>
      </w:tr>
      <w:tr w:rsidR="006970AF" w:rsidRPr="000063FC" w:rsidTr="00C24CE2">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2.</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Obrazovanje i promocija energetske učinkovitosti za građane</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45 000 000 godišnje</w:t>
            </w:r>
          </w:p>
        </w:tc>
      </w:tr>
      <w:tr w:rsidR="006970AF" w:rsidRPr="000063FC" w:rsidTr="006970AF">
        <w:trPr>
          <w:trHeight w:val="300"/>
        </w:trPr>
        <w:tc>
          <w:tcPr>
            <w:tcW w:w="919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70AF" w:rsidRPr="000063FC" w:rsidRDefault="006970AF" w:rsidP="006970AF">
            <w:pPr>
              <w:jc w:val="left"/>
              <w:rPr>
                <w:b/>
                <w:bCs/>
                <w:color w:val="000000"/>
                <w:sz w:val="18"/>
                <w:szCs w:val="18"/>
              </w:rPr>
            </w:pPr>
            <w:r w:rsidRPr="000063FC">
              <w:rPr>
                <w:b/>
                <w:bCs/>
                <w:color w:val="000000"/>
                <w:sz w:val="18"/>
                <w:szCs w:val="18"/>
              </w:rPr>
              <w:t>Zgrade i poduzeća u vlasništvu Grada Zagreba</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1.</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Uvođenje štednih žarulja u sve zgrade u vlasništvu Grada Zagreba</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10 000 000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2.</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Uvođenje kriterija zelene javne nabave za kupovinu električnih uređaja za zgrade u vlasništvu Grada Zagreba</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7 500 000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3.</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Modernizacija kotlovnica na lož ulje za osnovne škole i vrtiće - zamjena kotlovima na plin</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3 400 000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4.</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Modernizacija rasvjete u 500 školskih učionica</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5 000 000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5.</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Sanacija toplinske ovojnice svih zgrada na Gornjem gradu</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6.</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Ugradnja termostatskih ventila u sve zgrade u vlasništvu Grada Zagreba</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45 000 000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7.</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Uvođenje solarnih kolektora za zdravstvene ustanove u vlasništvu Grada Zagreba</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41 000 000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8.</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Modernizacija kotlovnica na lož ulje za osnovne škole i vrtiće – zamjena kotlovima na pelete</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8 400 000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9.</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Toplinska izolacija vanjske ovojnice i krovišta za zgrade u vlasništvu Grada Zagreba</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273 720 000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10.</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Zamjena dotrajale stolarije za zgrade u vlasništvu Grada Zagreba</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201 200 000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11.</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Sanacija toplinske ovojnice svih zgrada na Gornjem gradu</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16 500 000</w:t>
            </w:r>
          </w:p>
        </w:tc>
      </w:tr>
      <w:tr w:rsidR="006970AF" w:rsidRPr="000063FC" w:rsidTr="006970AF">
        <w:trPr>
          <w:trHeight w:val="300"/>
        </w:trPr>
        <w:tc>
          <w:tcPr>
            <w:tcW w:w="919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70AF" w:rsidRPr="000063FC" w:rsidRDefault="006970AF" w:rsidP="006970AF">
            <w:pPr>
              <w:jc w:val="left"/>
              <w:rPr>
                <w:b/>
                <w:bCs/>
                <w:color w:val="000000"/>
                <w:sz w:val="18"/>
                <w:szCs w:val="18"/>
              </w:rPr>
            </w:pPr>
            <w:r w:rsidRPr="000063FC">
              <w:rPr>
                <w:b/>
                <w:bCs/>
                <w:color w:val="000000"/>
                <w:sz w:val="18"/>
                <w:szCs w:val="18"/>
              </w:rPr>
              <w:t>Stambene zgrade</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1.</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Donošenje Pravilnika o obvezi ugradnje solarnih kolektora za pripremu PTV u nove zgrade</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18 000 000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2.</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Subvencioniranje uvođenja mjerenja potrošnje toplinske energije za zgrade koje se griju iz  toplane u svaki stan</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55 288 000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3.</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Subvencija za rekonstrukciju toplinske zaštite vanjske ovojnice i sanaciju krovišta stambenih zgrada</w:t>
            </w: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222 400 000</w:t>
            </w:r>
          </w:p>
        </w:tc>
      </w:tr>
    </w:tbl>
    <w:p w:rsidR="0050526C" w:rsidRPr="000063FC" w:rsidRDefault="0050526C"/>
    <w:tbl>
      <w:tblPr>
        <w:tblW w:w="0" w:type="auto"/>
        <w:tblInd w:w="93" w:type="dxa"/>
        <w:tblLayout w:type="fixed"/>
        <w:tblLook w:val="04A0" w:firstRow="1" w:lastRow="0" w:firstColumn="1" w:lastColumn="0" w:noHBand="0" w:noVBand="1"/>
      </w:tblPr>
      <w:tblGrid>
        <w:gridCol w:w="1008"/>
        <w:gridCol w:w="6804"/>
        <w:gridCol w:w="1383"/>
      </w:tblGrid>
      <w:tr w:rsidR="006970AF" w:rsidRPr="000063FC" w:rsidTr="0050526C">
        <w:trPr>
          <w:trHeight w:val="30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Subvencija ugradnje solarnih kolektora za 3000 kuća/stanova</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16 800 000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5.</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Subvencija zamjene kotlova na lož ulje kotlovima na pelete za kuće/stanove</w:t>
            </w:r>
          </w:p>
        </w:tc>
        <w:tc>
          <w:tcPr>
            <w:tcW w:w="1383"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16 700 000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6.</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Solarna priprema tople vode i izolacija zgrada u Zapruđu</w:t>
            </w:r>
          </w:p>
        </w:tc>
        <w:tc>
          <w:tcPr>
            <w:tcW w:w="1383"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3 800 000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7.</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Poticanje gradnje pasivnih i nisko-energetskih obiteljskih kuća i stambenih zgrada</w:t>
            </w:r>
          </w:p>
        </w:tc>
        <w:tc>
          <w:tcPr>
            <w:tcW w:w="1383"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20 000 000</w:t>
            </w:r>
          </w:p>
        </w:tc>
      </w:tr>
      <w:tr w:rsidR="006970AF" w:rsidRPr="000063FC" w:rsidTr="00B50C0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8.</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Poticanje kupovine energetski učinkovitih električnih uređaja za stambene zgrade</w:t>
            </w:r>
          </w:p>
        </w:tc>
        <w:tc>
          <w:tcPr>
            <w:tcW w:w="1383"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35 000 000</w:t>
            </w:r>
          </w:p>
        </w:tc>
      </w:tr>
      <w:tr w:rsidR="006970AF" w:rsidRPr="000063FC" w:rsidTr="00B50C00">
        <w:trPr>
          <w:trHeight w:val="340"/>
        </w:trPr>
        <w:tc>
          <w:tcPr>
            <w:tcW w:w="919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70AF" w:rsidRPr="000063FC" w:rsidRDefault="006970AF" w:rsidP="006970AF">
            <w:pPr>
              <w:jc w:val="left"/>
              <w:rPr>
                <w:b/>
                <w:bCs/>
                <w:color w:val="000000"/>
                <w:sz w:val="18"/>
                <w:szCs w:val="18"/>
              </w:rPr>
            </w:pPr>
            <w:r w:rsidRPr="000063FC">
              <w:rPr>
                <w:b/>
                <w:bCs/>
                <w:color w:val="000000"/>
                <w:sz w:val="18"/>
                <w:szCs w:val="18"/>
              </w:rPr>
              <w:t>Zgrade komercijalnih i uslužnih djelatnosti</w:t>
            </w:r>
          </w:p>
        </w:tc>
      </w:tr>
      <w:tr w:rsidR="006970AF" w:rsidRPr="000063FC" w:rsidTr="00B50C0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1.</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Uvjetovanje dobivanja poticaja poboljšanjem toplinske izolacije zgrade</w:t>
            </w:r>
          </w:p>
        </w:tc>
        <w:tc>
          <w:tcPr>
            <w:tcW w:w="1383"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45 000 000</w:t>
            </w:r>
          </w:p>
        </w:tc>
      </w:tr>
      <w:tr w:rsidR="006970AF" w:rsidRPr="000063FC" w:rsidTr="00B50C0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2.</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Uvjetovanje dobivanja poticaja korištenjem obnovljivih izvora energije</w:t>
            </w:r>
          </w:p>
        </w:tc>
        <w:tc>
          <w:tcPr>
            <w:tcW w:w="1383"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30 000 000</w:t>
            </w:r>
          </w:p>
        </w:tc>
      </w:tr>
      <w:tr w:rsidR="006970AF" w:rsidRPr="000063FC" w:rsidTr="00B50C0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3.</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Poticanje kupovine energetski učinkovitih električnih uređaja za postojeće zgrade</w:t>
            </w:r>
          </w:p>
        </w:tc>
        <w:tc>
          <w:tcPr>
            <w:tcW w:w="1383"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15 000 000</w:t>
            </w:r>
          </w:p>
        </w:tc>
      </w:tr>
      <w:tr w:rsidR="006970AF" w:rsidRPr="000063FC" w:rsidTr="00B50C0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4.</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Smanjene komunalne naknade za nove zgrade u komercijalnom i uslužnom sektoru toplinskih karakteristika boljih od važećih propisa</w:t>
            </w:r>
          </w:p>
        </w:tc>
        <w:tc>
          <w:tcPr>
            <w:tcW w:w="1383"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3 000 000</w:t>
            </w:r>
          </w:p>
        </w:tc>
      </w:tr>
      <w:tr w:rsidR="006970AF" w:rsidRPr="000063FC" w:rsidTr="00B50C0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5.</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Smanjene komunalne naknade za nove zgrade u komercijalnom i uslužnom sektoru koje koriste obnovljive izvore energije</w:t>
            </w:r>
          </w:p>
        </w:tc>
        <w:tc>
          <w:tcPr>
            <w:tcW w:w="1383"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3 000 000</w:t>
            </w:r>
          </w:p>
        </w:tc>
      </w:tr>
      <w:tr w:rsidR="006970AF" w:rsidRPr="000063FC" w:rsidTr="00B50C00">
        <w:trPr>
          <w:trHeight w:val="34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6.</w:t>
            </w:r>
          </w:p>
        </w:tc>
        <w:tc>
          <w:tcPr>
            <w:tcW w:w="6804"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Poticanje kupovine energetski učinkovitih električnih uređaja za nove zgrade</w:t>
            </w:r>
          </w:p>
        </w:tc>
        <w:tc>
          <w:tcPr>
            <w:tcW w:w="1383"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5 000 000</w:t>
            </w:r>
          </w:p>
        </w:tc>
      </w:tr>
    </w:tbl>
    <w:p w:rsidR="006970AF" w:rsidRPr="000063FC" w:rsidRDefault="006970AF" w:rsidP="006970AF"/>
    <w:p w:rsidR="006970AF" w:rsidRPr="000063FC" w:rsidRDefault="006970AF" w:rsidP="006970AF">
      <w:pPr>
        <w:pStyle w:val="Heading3"/>
        <w:rPr>
          <w:sz w:val="28"/>
          <w:szCs w:val="28"/>
        </w:rPr>
      </w:pPr>
      <w:bookmarkStart w:id="294" w:name="_Toc254010227"/>
      <w:r w:rsidRPr="000063FC">
        <w:t>Financijski okvir provedbe mjera u sektoru prometa</w:t>
      </w:r>
      <w:bookmarkEnd w:id="294"/>
    </w:p>
    <w:p w:rsidR="006970AF" w:rsidRPr="000063FC" w:rsidRDefault="006970AF" w:rsidP="006970AF">
      <w:pPr>
        <w:spacing w:line="276" w:lineRule="auto"/>
      </w:pPr>
      <w:r w:rsidRPr="000063FC">
        <w:t>Financijski okvir provedbe identificiranih mjera za smanjenje emisija CO</w:t>
      </w:r>
      <w:r w:rsidRPr="000063FC">
        <w:rPr>
          <w:vertAlign w:val="subscript"/>
        </w:rPr>
        <w:t>2</w:t>
      </w:r>
      <w:r w:rsidRPr="000063FC">
        <w:t xml:space="preserve"> po pojedinim podsektorima sektora promet prikazan je u tablici 8.3.</w:t>
      </w:r>
    </w:p>
    <w:p w:rsidR="006970AF" w:rsidRPr="000063FC" w:rsidRDefault="006970AF" w:rsidP="006970AF"/>
    <w:p w:rsidR="006970AF" w:rsidRPr="000063FC" w:rsidRDefault="006970AF" w:rsidP="00B33E2F">
      <w:pPr>
        <w:pStyle w:val="Heading6"/>
      </w:pPr>
      <w:bookmarkStart w:id="295" w:name="_Toc254010282"/>
      <w:r w:rsidRPr="000063FC">
        <w:t>Tablica 8.3: Financijski okvir provedbe identificiranih mjera sektora promet</w:t>
      </w:r>
      <w:bookmarkEnd w:id="295"/>
    </w:p>
    <w:tbl>
      <w:tblPr>
        <w:tblW w:w="0" w:type="auto"/>
        <w:tblInd w:w="98" w:type="dxa"/>
        <w:tblLayout w:type="fixed"/>
        <w:tblLook w:val="04A0" w:firstRow="1" w:lastRow="0" w:firstColumn="1" w:lastColumn="0" w:noHBand="0" w:noVBand="1"/>
      </w:tblPr>
      <w:tblGrid>
        <w:gridCol w:w="1003"/>
        <w:gridCol w:w="6378"/>
        <w:gridCol w:w="1809"/>
      </w:tblGrid>
      <w:tr w:rsidR="006970AF" w:rsidRPr="000063FC" w:rsidTr="00B50C00">
        <w:trPr>
          <w:trHeight w:val="312"/>
        </w:trPr>
        <w:tc>
          <w:tcPr>
            <w:tcW w:w="1003" w:type="dxa"/>
            <w:tcBorders>
              <w:top w:val="single" w:sz="8" w:space="0" w:color="000000"/>
              <w:left w:val="single" w:sz="8" w:space="0" w:color="000000"/>
              <w:bottom w:val="nil"/>
              <w:right w:val="single" w:sz="8" w:space="0" w:color="000000"/>
            </w:tcBorders>
            <w:shd w:val="clear" w:color="auto" w:fill="4BACC6" w:themeFill="accent5"/>
            <w:vAlign w:val="center"/>
            <w:hideMark/>
          </w:tcPr>
          <w:p w:rsidR="006970AF" w:rsidRPr="000063FC" w:rsidRDefault="006970AF" w:rsidP="00B50C00">
            <w:pPr>
              <w:jc w:val="center"/>
              <w:rPr>
                <w:b/>
                <w:bCs/>
                <w:color w:val="FFFFFF" w:themeColor="background1"/>
                <w:sz w:val="18"/>
                <w:szCs w:val="18"/>
              </w:rPr>
            </w:pPr>
            <w:r w:rsidRPr="000063FC">
              <w:rPr>
                <w:b/>
                <w:bCs/>
                <w:color w:val="FFFFFF" w:themeColor="background1"/>
                <w:sz w:val="18"/>
                <w:szCs w:val="18"/>
              </w:rPr>
              <w:t>Podsektor</w:t>
            </w:r>
          </w:p>
        </w:tc>
        <w:tc>
          <w:tcPr>
            <w:tcW w:w="6378" w:type="dxa"/>
            <w:tcBorders>
              <w:top w:val="single" w:sz="8" w:space="0" w:color="000000"/>
              <w:left w:val="nil"/>
              <w:bottom w:val="nil"/>
              <w:right w:val="nil"/>
            </w:tcBorders>
            <w:shd w:val="clear" w:color="auto" w:fill="4BACC6" w:themeFill="accent5"/>
            <w:vAlign w:val="center"/>
            <w:hideMark/>
          </w:tcPr>
          <w:p w:rsidR="006970AF" w:rsidRPr="000063FC" w:rsidRDefault="006970AF" w:rsidP="00B50C00">
            <w:pPr>
              <w:jc w:val="center"/>
              <w:rPr>
                <w:b/>
                <w:bCs/>
                <w:color w:val="FFFFFF" w:themeColor="background1"/>
                <w:sz w:val="18"/>
                <w:szCs w:val="18"/>
              </w:rPr>
            </w:pPr>
            <w:r w:rsidRPr="000063FC">
              <w:rPr>
                <w:b/>
                <w:bCs/>
                <w:color w:val="FFFFFF" w:themeColor="background1"/>
                <w:sz w:val="18"/>
                <w:szCs w:val="18"/>
              </w:rPr>
              <w:t>Mjera</w:t>
            </w:r>
          </w:p>
        </w:tc>
        <w:tc>
          <w:tcPr>
            <w:tcW w:w="1809" w:type="dxa"/>
            <w:tcBorders>
              <w:top w:val="single" w:sz="8" w:space="0" w:color="auto"/>
              <w:left w:val="single" w:sz="8" w:space="0" w:color="auto"/>
              <w:bottom w:val="nil"/>
              <w:right w:val="single" w:sz="8" w:space="0" w:color="auto"/>
            </w:tcBorders>
            <w:shd w:val="clear" w:color="auto" w:fill="4BACC6" w:themeFill="accent5"/>
            <w:noWrap/>
            <w:vAlign w:val="center"/>
            <w:hideMark/>
          </w:tcPr>
          <w:p w:rsidR="006970AF" w:rsidRPr="000063FC" w:rsidRDefault="006970AF" w:rsidP="00B50C00">
            <w:pPr>
              <w:jc w:val="center"/>
              <w:rPr>
                <w:b/>
                <w:bCs/>
                <w:color w:val="FFFFFF" w:themeColor="background1"/>
                <w:sz w:val="18"/>
                <w:szCs w:val="18"/>
              </w:rPr>
            </w:pPr>
            <w:r w:rsidRPr="000063FC">
              <w:rPr>
                <w:b/>
                <w:bCs/>
                <w:color w:val="FFFFFF" w:themeColor="background1"/>
                <w:sz w:val="18"/>
                <w:szCs w:val="18"/>
              </w:rPr>
              <w:t>Financijski okvir (kn)</w:t>
            </w:r>
          </w:p>
        </w:tc>
      </w:tr>
      <w:tr w:rsidR="006970AF" w:rsidRPr="000063FC" w:rsidTr="00B50C00">
        <w:trPr>
          <w:trHeight w:val="312"/>
        </w:trPr>
        <w:tc>
          <w:tcPr>
            <w:tcW w:w="91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70AF" w:rsidRPr="000063FC" w:rsidRDefault="006970AF" w:rsidP="006970AF">
            <w:pPr>
              <w:jc w:val="left"/>
              <w:rPr>
                <w:b/>
                <w:bCs/>
                <w:color w:val="000000"/>
                <w:sz w:val="18"/>
                <w:szCs w:val="18"/>
              </w:rPr>
            </w:pPr>
            <w:r w:rsidRPr="000063FC">
              <w:rPr>
                <w:b/>
                <w:bCs/>
                <w:color w:val="000000"/>
                <w:sz w:val="18"/>
                <w:szCs w:val="18"/>
              </w:rPr>
              <w:t>Planske, promotivne, informativne i obrazovne mjere i aktivnosti</w:t>
            </w:r>
          </w:p>
        </w:tc>
      </w:tr>
      <w:tr w:rsidR="006970AF" w:rsidRPr="000063FC" w:rsidTr="00B50C00">
        <w:trPr>
          <w:trHeight w:val="31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1.</w:t>
            </w:r>
          </w:p>
        </w:tc>
        <w:tc>
          <w:tcPr>
            <w:tcW w:w="6378"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 xml:space="preserve">Kampanja </w:t>
            </w:r>
            <w:r w:rsidRPr="000063FC">
              <w:rPr>
                <w:i/>
                <w:iCs/>
                <w:color w:val="000000"/>
                <w:sz w:val="18"/>
                <w:szCs w:val="18"/>
              </w:rPr>
              <w:t xml:space="preserve">Jedan dan tjedno bez </w:t>
            </w:r>
            <w:r w:rsidR="0050526C" w:rsidRPr="000063FC">
              <w:rPr>
                <w:i/>
                <w:iCs/>
                <w:color w:val="000000"/>
                <w:sz w:val="18"/>
                <w:szCs w:val="18"/>
              </w:rPr>
              <w:t>automobil</w:t>
            </w:r>
            <w:r w:rsidR="00C24CE2" w:rsidRPr="000063FC">
              <w:rPr>
                <w:i/>
                <w:iCs/>
                <w:color w:val="000000"/>
                <w:sz w:val="18"/>
                <w:szCs w:val="18"/>
              </w:rPr>
              <w:t>a</w:t>
            </w:r>
          </w:p>
        </w:tc>
        <w:tc>
          <w:tcPr>
            <w:tcW w:w="180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center"/>
              <w:rPr>
                <w:color w:val="000000"/>
                <w:sz w:val="18"/>
                <w:szCs w:val="18"/>
              </w:rPr>
            </w:pPr>
          </w:p>
        </w:tc>
      </w:tr>
      <w:tr w:rsidR="006970AF" w:rsidRPr="000063FC" w:rsidTr="00B50C00">
        <w:trPr>
          <w:trHeight w:val="31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2.</w:t>
            </w:r>
          </w:p>
        </w:tc>
        <w:tc>
          <w:tcPr>
            <w:tcW w:w="6378"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Osnivanje informativno-demonstracijskog centra za građane o načinu rada i uporabe vozila pogonjenih alternativnim gorivima (električna energija, prirodni plin, biogoriva i dr.)</w:t>
            </w:r>
          </w:p>
        </w:tc>
        <w:tc>
          <w:tcPr>
            <w:tcW w:w="180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300 000 (program)</w:t>
            </w:r>
          </w:p>
          <w:p w:rsidR="006970AF" w:rsidRPr="000063FC" w:rsidRDefault="006970AF" w:rsidP="00C24CE2">
            <w:pPr>
              <w:jc w:val="right"/>
              <w:rPr>
                <w:color w:val="000000"/>
                <w:sz w:val="18"/>
                <w:szCs w:val="18"/>
              </w:rPr>
            </w:pPr>
            <w:r w:rsidRPr="000063FC">
              <w:rPr>
                <w:color w:val="000000"/>
                <w:sz w:val="18"/>
                <w:szCs w:val="18"/>
              </w:rPr>
              <w:t>2 500 000</w:t>
            </w:r>
          </w:p>
          <w:p w:rsidR="006970AF" w:rsidRPr="000063FC" w:rsidRDefault="006970AF" w:rsidP="00C24CE2">
            <w:pPr>
              <w:jc w:val="right"/>
              <w:rPr>
                <w:color w:val="000000"/>
                <w:sz w:val="18"/>
                <w:szCs w:val="18"/>
              </w:rPr>
            </w:pPr>
            <w:r w:rsidRPr="000063FC">
              <w:rPr>
                <w:color w:val="000000"/>
                <w:sz w:val="18"/>
                <w:szCs w:val="18"/>
              </w:rPr>
              <w:t>(demo vozila)</w:t>
            </w:r>
          </w:p>
        </w:tc>
      </w:tr>
      <w:tr w:rsidR="006970AF" w:rsidRPr="000063FC" w:rsidTr="00B50C00">
        <w:trPr>
          <w:trHeight w:val="31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3.</w:t>
            </w:r>
          </w:p>
        </w:tc>
        <w:tc>
          <w:tcPr>
            <w:tcW w:w="6378"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Promoviranje upotrebe alternativnih goriva</w:t>
            </w:r>
          </w:p>
        </w:tc>
        <w:tc>
          <w:tcPr>
            <w:tcW w:w="180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1 800 000</w:t>
            </w:r>
          </w:p>
        </w:tc>
      </w:tr>
      <w:tr w:rsidR="006970AF" w:rsidRPr="000063FC" w:rsidTr="00B50C00">
        <w:trPr>
          <w:trHeight w:val="31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4.</w:t>
            </w:r>
          </w:p>
        </w:tc>
        <w:tc>
          <w:tcPr>
            <w:tcW w:w="6378" w:type="dxa"/>
            <w:tcBorders>
              <w:top w:val="nil"/>
              <w:left w:val="nil"/>
              <w:bottom w:val="single" w:sz="4" w:space="0" w:color="auto"/>
              <w:right w:val="single" w:sz="4" w:space="0" w:color="auto"/>
            </w:tcBorders>
            <w:shd w:val="clear" w:color="auto" w:fill="auto"/>
            <w:noWrap/>
            <w:hideMark/>
          </w:tcPr>
          <w:p w:rsidR="006970AF" w:rsidRPr="000063FC" w:rsidRDefault="006970AF" w:rsidP="00B50C00">
            <w:pPr>
              <w:jc w:val="left"/>
              <w:rPr>
                <w:color w:val="000000"/>
                <w:sz w:val="18"/>
                <w:szCs w:val="18"/>
              </w:rPr>
            </w:pPr>
            <w:r w:rsidRPr="000063FC">
              <w:rPr>
                <w:color w:val="000000"/>
                <w:sz w:val="18"/>
                <w:szCs w:val="18"/>
              </w:rPr>
              <w:t>Informiranje i treniranje ekološki prihvatljivog načina vožnje (auto škole)</w:t>
            </w:r>
          </w:p>
        </w:tc>
        <w:tc>
          <w:tcPr>
            <w:tcW w:w="180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500 000</w:t>
            </w:r>
            <w:r w:rsidR="00B50C00" w:rsidRPr="000063FC">
              <w:rPr>
                <w:color w:val="000000"/>
                <w:sz w:val="18"/>
                <w:szCs w:val="18"/>
              </w:rPr>
              <w:t xml:space="preserve"> </w:t>
            </w:r>
            <w:r w:rsidRPr="000063FC">
              <w:rPr>
                <w:color w:val="000000"/>
                <w:sz w:val="18"/>
                <w:szCs w:val="18"/>
              </w:rPr>
              <w:t>(program)</w:t>
            </w:r>
          </w:p>
          <w:p w:rsidR="006970AF" w:rsidRPr="000063FC" w:rsidRDefault="006970AF" w:rsidP="00C24CE2">
            <w:pPr>
              <w:jc w:val="right"/>
              <w:rPr>
                <w:color w:val="000000"/>
                <w:sz w:val="18"/>
                <w:szCs w:val="18"/>
              </w:rPr>
            </w:pPr>
            <w:r w:rsidRPr="000063FC">
              <w:rPr>
                <w:color w:val="000000"/>
                <w:sz w:val="18"/>
                <w:szCs w:val="18"/>
              </w:rPr>
              <w:t>300 000 godišnje (provedba)</w:t>
            </w:r>
          </w:p>
        </w:tc>
      </w:tr>
      <w:tr w:rsidR="006970AF" w:rsidRPr="000063FC" w:rsidTr="00B50C00">
        <w:trPr>
          <w:trHeight w:val="31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C24CE2" w:rsidP="00B50C00">
            <w:pPr>
              <w:jc w:val="center"/>
              <w:rPr>
                <w:color w:val="000000"/>
                <w:sz w:val="18"/>
                <w:szCs w:val="18"/>
              </w:rPr>
            </w:pPr>
            <w:r w:rsidRPr="000063FC">
              <w:rPr>
                <w:color w:val="000000"/>
                <w:sz w:val="18"/>
                <w:szCs w:val="18"/>
              </w:rPr>
              <w:t>5</w:t>
            </w:r>
            <w:r w:rsidR="006970AF" w:rsidRPr="000063FC">
              <w:rPr>
                <w:color w:val="000000"/>
                <w:sz w:val="18"/>
                <w:szCs w:val="18"/>
              </w:rPr>
              <w:t>.</w:t>
            </w:r>
          </w:p>
        </w:tc>
        <w:tc>
          <w:tcPr>
            <w:tcW w:w="6378" w:type="dxa"/>
            <w:tcBorders>
              <w:top w:val="nil"/>
              <w:left w:val="nil"/>
              <w:bottom w:val="single" w:sz="4" w:space="0" w:color="auto"/>
              <w:right w:val="single" w:sz="4" w:space="0" w:color="auto"/>
            </w:tcBorders>
            <w:shd w:val="clear" w:color="auto" w:fill="auto"/>
            <w:noWrap/>
            <w:hideMark/>
          </w:tcPr>
          <w:p w:rsidR="006970AF" w:rsidRPr="000063FC" w:rsidRDefault="006970AF" w:rsidP="00B50C00">
            <w:pPr>
              <w:jc w:val="left"/>
              <w:rPr>
                <w:color w:val="000000"/>
                <w:sz w:val="18"/>
                <w:szCs w:val="18"/>
              </w:rPr>
            </w:pPr>
            <w:r w:rsidRPr="000063FC">
              <w:rPr>
                <w:color w:val="000000"/>
                <w:sz w:val="18"/>
                <w:szCs w:val="18"/>
              </w:rPr>
              <w:t>Uvođenje naknada za prometno onečišćenje u centru Grada Zagreba</w:t>
            </w:r>
          </w:p>
        </w:tc>
        <w:tc>
          <w:tcPr>
            <w:tcW w:w="180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500 000  (studija)</w:t>
            </w:r>
          </w:p>
          <w:p w:rsidR="006970AF" w:rsidRPr="000063FC" w:rsidRDefault="006970AF" w:rsidP="00C24CE2">
            <w:pPr>
              <w:jc w:val="right"/>
              <w:rPr>
                <w:color w:val="000000"/>
                <w:sz w:val="18"/>
                <w:szCs w:val="18"/>
              </w:rPr>
            </w:pPr>
            <w:r w:rsidRPr="000063FC">
              <w:rPr>
                <w:color w:val="000000"/>
                <w:sz w:val="18"/>
                <w:szCs w:val="18"/>
              </w:rPr>
              <w:t>300 000 godišnje (provedba)</w:t>
            </w:r>
          </w:p>
        </w:tc>
      </w:tr>
      <w:tr w:rsidR="006970AF" w:rsidRPr="000063FC" w:rsidTr="00B50C00">
        <w:trPr>
          <w:trHeight w:val="312"/>
        </w:trPr>
        <w:tc>
          <w:tcPr>
            <w:tcW w:w="91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70AF" w:rsidRPr="000063FC" w:rsidRDefault="006970AF" w:rsidP="00B50C00">
            <w:pPr>
              <w:jc w:val="left"/>
              <w:rPr>
                <w:b/>
                <w:bCs/>
                <w:color w:val="000000"/>
                <w:sz w:val="18"/>
                <w:szCs w:val="18"/>
              </w:rPr>
            </w:pPr>
            <w:r w:rsidRPr="000063FC">
              <w:rPr>
                <w:b/>
                <w:bCs/>
                <w:color w:val="000000"/>
                <w:sz w:val="18"/>
                <w:szCs w:val="18"/>
              </w:rPr>
              <w:t>Vozila u vlasništvu i korištenju Grada Zagreba</w:t>
            </w:r>
          </w:p>
        </w:tc>
      </w:tr>
      <w:tr w:rsidR="006970AF" w:rsidRPr="000063FC" w:rsidTr="00B50C00">
        <w:trPr>
          <w:trHeight w:val="31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1.</w:t>
            </w:r>
          </w:p>
        </w:tc>
        <w:tc>
          <w:tcPr>
            <w:tcW w:w="6378" w:type="dxa"/>
            <w:tcBorders>
              <w:top w:val="nil"/>
              <w:left w:val="nil"/>
              <w:bottom w:val="single" w:sz="4" w:space="0" w:color="auto"/>
              <w:right w:val="single" w:sz="4" w:space="0" w:color="auto"/>
            </w:tcBorders>
            <w:shd w:val="clear" w:color="auto" w:fill="auto"/>
            <w:noWrap/>
            <w:hideMark/>
          </w:tcPr>
          <w:p w:rsidR="006970AF" w:rsidRPr="000063FC" w:rsidRDefault="006970AF" w:rsidP="00B50C00">
            <w:pPr>
              <w:jc w:val="left"/>
              <w:rPr>
                <w:color w:val="000000"/>
                <w:sz w:val="18"/>
                <w:szCs w:val="18"/>
              </w:rPr>
            </w:pPr>
            <w:r w:rsidRPr="000063FC">
              <w:rPr>
                <w:color w:val="000000"/>
                <w:sz w:val="18"/>
                <w:szCs w:val="18"/>
              </w:rPr>
              <w:t>Uvođenje Sustavnog gospodarenja energijom u vozilima u vlasništvu Grada</w:t>
            </w:r>
          </w:p>
        </w:tc>
        <w:tc>
          <w:tcPr>
            <w:tcW w:w="180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250 000</w:t>
            </w:r>
            <w:r w:rsidR="00B50C00" w:rsidRPr="000063FC">
              <w:rPr>
                <w:color w:val="000000"/>
                <w:sz w:val="18"/>
                <w:szCs w:val="18"/>
              </w:rPr>
              <w:t xml:space="preserve"> </w:t>
            </w:r>
            <w:r w:rsidRPr="000063FC">
              <w:rPr>
                <w:color w:val="000000"/>
                <w:sz w:val="18"/>
                <w:szCs w:val="18"/>
              </w:rPr>
              <w:t>(studija)</w:t>
            </w:r>
          </w:p>
          <w:p w:rsidR="006970AF" w:rsidRPr="000063FC" w:rsidRDefault="006970AF" w:rsidP="00C24CE2">
            <w:pPr>
              <w:jc w:val="right"/>
              <w:rPr>
                <w:color w:val="000000"/>
                <w:sz w:val="18"/>
                <w:szCs w:val="18"/>
              </w:rPr>
            </w:pPr>
            <w:r w:rsidRPr="000063FC">
              <w:rPr>
                <w:color w:val="000000"/>
                <w:sz w:val="18"/>
                <w:szCs w:val="18"/>
              </w:rPr>
              <w:t>3 000 000</w:t>
            </w:r>
            <w:r w:rsidR="00B50C00" w:rsidRPr="000063FC">
              <w:rPr>
                <w:color w:val="000000"/>
                <w:sz w:val="18"/>
                <w:szCs w:val="18"/>
              </w:rPr>
              <w:t xml:space="preserve"> </w:t>
            </w:r>
            <w:r w:rsidRPr="000063FC">
              <w:rPr>
                <w:color w:val="000000"/>
                <w:sz w:val="18"/>
                <w:szCs w:val="18"/>
              </w:rPr>
              <w:t>(provedba)</w:t>
            </w:r>
          </w:p>
        </w:tc>
      </w:tr>
      <w:tr w:rsidR="006970AF" w:rsidRPr="000063FC" w:rsidTr="00B50C00">
        <w:trPr>
          <w:trHeight w:val="31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2.</w:t>
            </w:r>
          </w:p>
        </w:tc>
        <w:tc>
          <w:tcPr>
            <w:tcW w:w="6378"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Uvođenje Zelene javne nabave za sva vozila u vlasništvu Grada Zagreba</w:t>
            </w:r>
          </w:p>
        </w:tc>
        <w:tc>
          <w:tcPr>
            <w:tcW w:w="180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 xml:space="preserve">300 000 </w:t>
            </w:r>
          </w:p>
        </w:tc>
      </w:tr>
      <w:tr w:rsidR="006970AF" w:rsidRPr="000063FC" w:rsidTr="00B50C00">
        <w:trPr>
          <w:trHeight w:val="31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3.</w:t>
            </w:r>
          </w:p>
        </w:tc>
        <w:tc>
          <w:tcPr>
            <w:tcW w:w="6378"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Car sharing za djelatnike istog poduzeća grada Zagreba odnosno gradske uprave</w:t>
            </w:r>
          </w:p>
        </w:tc>
        <w:tc>
          <w:tcPr>
            <w:tcW w:w="180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150 000 godišnje</w:t>
            </w:r>
          </w:p>
        </w:tc>
      </w:tr>
    </w:tbl>
    <w:p w:rsidR="00772AF0" w:rsidRPr="000063FC" w:rsidRDefault="00772AF0"/>
    <w:p w:rsidR="00772AF0" w:rsidRPr="000063FC" w:rsidRDefault="00772AF0"/>
    <w:p w:rsidR="00772AF0" w:rsidRPr="000063FC" w:rsidRDefault="00772AF0"/>
    <w:p w:rsidR="00772AF0" w:rsidRPr="000063FC" w:rsidRDefault="00772AF0"/>
    <w:p w:rsidR="00772AF0" w:rsidRPr="000063FC" w:rsidRDefault="00772AF0"/>
    <w:tbl>
      <w:tblPr>
        <w:tblW w:w="0" w:type="auto"/>
        <w:tblInd w:w="98" w:type="dxa"/>
        <w:tblLayout w:type="fixed"/>
        <w:tblLook w:val="04A0" w:firstRow="1" w:lastRow="0" w:firstColumn="1" w:lastColumn="0" w:noHBand="0" w:noVBand="1"/>
      </w:tblPr>
      <w:tblGrid>
        <w:gridCol w:w="1003"/>
        <w:gridCol w:w="6378"/>
        <w:gridCol w:w="1809"/>
      </w:tblGrid>
      <w:tr w:rsidR="006970AF" w:rsidRPr="000063FC" w:rsidTr="00B50C00">
        <w:trPr>
          <w:trHeight w:val="312"/>
        </w:trPr>
        <w:tc>
          <w:tcPr>
            <w:tcW w:w="91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70AF" w:rsidRPr="000063FC" w:rsidRDefault="006970AF" w:rsidP="00B50C00">
            <w:pPr>
              <w:jc w:val="left"/>
              <w:rPr>
                <w:b/>
                <w:bCs/>
                <w:color w:val="000000"/>
                <w:sz w:val="18"/>
                <w:szCs w:val="18"/>
              </w:rPr>
            </w:pPr>
            <w:r w:rsidRPr="000063FC">
              <w:rPr>
                <w:b/>
                <w:bCs/>
                <w:color w:val="000000"/>
                <w:sz w:val="18"/>
                <w:szCs w:val="18"/>
              </w:rPr>
              <w:t>Javni prijevoz</w:t>
            </w:r>
          </w:p>
        </w:tc>
      </w:tr>
      <w:tr w:rsidR="006970AF" w:rsidRPr="000063FC" w:rsidTr="00B50C00">
        <w:trPr>
          <w:trHeight w:val="31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1.</w:t>
            </w:r>
          </w:p>
        </w:tc>
        <w:tc>
          <w:tcPr>
            <w:tcW w:w="6378"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Uspostava mreže bicikala za iznajmljivanje opremljenih IT zaštitom od krađe</w:t>
            </w:r>
          </w:p>
        </w:tc>
        <w:tc>
          <w:tcPr>
            <w:tcW w:w="180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20 000 000</w:t>
            </w:r>
          </w:p>
        </w:tc>
      </w:tr>
      <w:tr w:rsidR="006970AF" w:rsidRPr="000063FC" w:rsidTr="00B50C00">
        <w:trPr>
          <w:trHeight w:val="31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2.</w:t>
            </w:r>
          </w:p>
        </w:tc>
        <w:tc>
          <w:tcPr>
            <w:tcW w:w="6378"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Uvođenje Zelene javne nabave za sva vozila javnog prijevoza u Gradu Zagrebu</w:t>
            </w:r>
          </w:p>
        </w:tc>
        <w:tc>
          <w:tcPr>
            <w:tcW w:w="180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500 000</w:t>
            </w:r>
          </w:p>
        </w:tc>
      </w:tr>
      <w:tr w:rsidR="006970AF" w:rsidRPr="000063FC" w:rsidTr="0050526C">
        <w:trPr>
          <w:trHeight w:val="312"/>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3.</w:t>
            </w:r>
          </w:p>
        </w:tc>
        <w:tc>
          <w:tcPr>
            <w:tcW w:w="6378" w:type="dxa"/>
            <w:tcBorders>
              <w:top w:val="single" w:sz="4" w:space="0" w:color="auto"/>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Uvođenje Sustavnog gospodarenja energijom u vozilima javnog prijevoza</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5 300 000</w:t>
            </w:r>
          </w:p>
        </w:tc>
      </w:tr>
      <w:tr w:rsidR="006970AF" w:rsidRPr="000063FC" w:rsidTr="00B50C00">
        <w:trPr>
          <w:trHeight w:val="31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4.</w:t>
            </w:r>
          </w:p>
        </w:tc>
        <w:tc>
          <w:tcPr>
            <w:tcW w:w="6378"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Zamjena postojećih dotrajalih autobusa ZET-a autobusima s hibridnim i pogonom na alternativna goriva</w:t>
            </w:r>
          </w:p>
        </w:tc>
        <w:tc>
          <w:tcPr>
            <w:tcW w:w="180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11 100 000</w:t>
            </w:r>
          </w:p>
          <w:p w:rsidR="006970AF" w:rsidRPr="000063FC" w:rsidRDefault="006970AF" w:rsidP="00C24CE2">
            <w:pPr>
              <w:jc w:val="right"/>
              <w:rPr>
                <w:color w:val="000000"/>
                <w:sz w:val="18"/>
                <w:szCs w:val="18"/>
              </w:rPr>
            </w:pPr>
            <w:r w:rsidRPr="000063FC">
              <w:rPr>
                <w:color w:val="000000"/>
                <w:sz w:val="18"/>
                <w:szCs w:val="18"/>
              </w:rPr>
              <w:t>(3-4 busa)</w:t>
            </w:r>
          </w:p>
        </w:tc>
      </w:tr>
      <w:tr w:rsidR="006970AF" w:rsidRPr="000063FC" w:rsidTr="00B50C00">
        <w:trPr>
          <w:trHeight w:val="312"/>
        </w:trPr>
        <w:tc>
          <w:tcPr>
            <w:tcW w:w="91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70AF" w:rsidRPr="000063FC" w:rsidRDefault="006970AF" w:rsidP="00B50C00">
            <w:pPr>
              <w:jc w:val="left"/>
              <w:rPr>
                <w:b/>
                <w:bCs/>
                <w:color w:val="000000"/>
                <w:sz w:val="18"/>
                <w:szCs w:val="18"/>
              </w:rPr>
            </w:pPr>
            <w:r w:rsidRPr="000063FC">
              <w:rPr>
                <w:b/>
                <w:bCs/>
                <w:color w:val="000000"/>
                <w:sz w:val="18"/>
                <w:szCs w:val="18"/>
              </w:rPr>
              <w:t>Osobna i komercijalna vozila</w:t>
            </w:r>
          </w:p>
        </w:tc>
      </w:tr>
      <w:tr w:rsidR="006970AF" w:rsidRPr="000063FC" w:rsidTr="00B50C00">
        <w:trPr>
          <w:trHeight w:val="31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1.</w:t>
            </w:r>
          </w:p>
        </w:tc>
        <w:tc>
          <w:tcPr>
            <w:tcW w:w="6378"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Uvođenje car-sharing modela za povećanje okupiranosti vozila</w:t>
            </w:r>
          </w:p>
        </w:tc>
        <w:tc>
          <w:tcPr>
            <w:tcW w:w="180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50 000 000</w:t>
            </w:r>
          </w:p>
        </w:tc>
      </w:tr>
      <w:tr w:rsidR="006970AF" w:rsidRPr="000063FC" w:rsidTr="00B50C00">
        <w:trPr>
          <w:trHeight w:val="31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2.</w:t>
            </w:r>
          </w:p>
        </w:tc>
        <w:tc>
          <w:tcPr>
            <w:tcW w:w="6378" w:type="dxa"/>
            <w:tcBorders>
              <w:top w:val="nil"/>
              <w:left w:val="nil"/>
              <w:bottom w:val="single" w:sz="4" w:space="0" w:color="auto"/>
              <w:right w:val="single" w:sz="4" w:space="0" w:color="auto"/>
            </w:tcBorders>
            <w:shd w:val="clear" w:color="auto" w:fill="auto"/>
            <w:noWrap/>
            <w:hideMark/>
          </w:tcPr>
          <w:p w:rsidR="006970AF" w:rsidRPr="000063FC" w:rsidRDefault="006970AF" w:rsidP="00B50C00">
            <w:pPr>
              <w:jc w:val="left"/>
              <w:rPr>
                <w:color w:val="000000"/>
                <w:sz w:val="18"/>
                <w:szCs w:val="18"/>
              </w:rPr>
            </w:pPr>
            <w:r w:rsidRPr="000063FC">
              <w:rPr>
                <w:color w:val="000000"/>
                <w:sz w:val="18"/>
                <w:szCs w:val="18"/>
              </w:rPr>
              <w:t>Subvencije za nabavu vozila na alternativna goriva</w:t>
            </w:r>
          </w:p>
          <w:p w:rsidR="0050526C" w:rsidRPr="000063FC" w:rsidRDefault="0050526C" w:rsidP="00B50C00">
            <w:pPr>
              <w:jc w:val="left"/>
              <w:rPr>
                <w:color w:val="000000"/>
                <w:sz w:val="18"/>
                <w:szCs w:val="18"/>
              </w:rPr>
            </w:pPr>
          </w:p>
        </w:tc>
        <w:tc>
          <w:tcPr>
            <w:tcW w:w="180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C24CE2">
            <w:pPr>
              <w:jc w:val="right"/>
              <w:rPr>
                <w:color w:val="000000"/>
                <w:sz w:val="18"/>
                <w:szCs w:val="18"/>
              </w:rPr>
            </w:pPr>
            <w:r w:rsidRPr="000063FC">
              <w:rPr>
                <w:color w:val="000000"/>
                <w:sz w:val="18"/>
                <w:szCs w:val="18"/>
              </w:rPr>
              <w:t>4 500 000</w:t>
            </w:r>
          </w:p>
          <w:p w:rsidR="006970AF" w:rsidRPr="000063FC" w:rsidRDefault="006970AF" w:rsidP="00C24CE2">
            <w:pPr>
              <w:jc w:val="right"/>
              <w:rPr>
                <w:color w:val="000000"/>
                <w:sz w:val="18"/>
                <w:szCs w:val="18"/>
              </w:rPr>
            </w:pPr>
            <w:r w:rsidRPr="000063FC">
              <w:rPr>
                <w:color w:val="000000"/>
                <w:sz w:val="18"/>
                <w:szCs w:val="18"/>
              </w:rPr>
              <w:t>(200 vozila)</w:t>
            </w:r>
          </w:p>
        </w:tc>
      </w:tr>
    </w:tbl>
    <w:p w:rsidR="0050526C" w:rsidRPr="000063FC" w:rsidRDefault="0050526C" w:rsidP="0050526C"/>
    <w:p w:rsidR="006970AF" w:rsidRPr="000063FC" w:rsidRDefault="0050526C" w:rsidP="006970AF">
      <w:pPr>
        <w:pStyle w:val="Heading3"/>
        <w:rPr>
          <w:sz w:val="28"/>
          <w:szCs w:val="28"/>
        </w:rPr>
      </w:pPr>
      <w:bookmarkStart w:id="296" w:name="_Toc254010228"/>
      <w:r w:rsidRPr="000063FC">
        <w:t>Fina</w:t>
      </w:r>
      <w:r w:rsidR="006970AF" w:rsidRPr="000063FC">
        <w:t>ncijski okvir provedbe mjera u sektoru javne rasvjete</w:t>
      </w:r>
      <w:bookmarkEnd w:id="296"/>
    </w:p>
    <w:p w:rsidR="006970AF" w:rsidRPr="000063FC" w:rsidRDefault="006970AF" w:rsidP="006970AF">
      <w:pPr>
        <w:spacing w:line="276" w:lineRule="auto"/>
      </w:pPr>
      <w:r w:rsidRPr="000063FC">
        <w:t xml:space="preserve">Vremenski okvir provedbe identificiranih mjera </w:t>
      </w:r>
      <w:r w:rsidR="00F2761D" w:rsidRPr="000063FC">
        <w:t>za smanjenje emisij</w:t>
      </w:r>
      <w:r w:rsidR="008C3343" w:rsidRPr="000063FC">
        <w:t>a</w:t>
      </w:r>
      <w:r w:rsidR="00F2761D" w:rsidRPr="000063FC">
        <w:t xml:space="preserve"> CO2 </w:t>
      </w:r>
      <w:r w:rsidRPr="000063FC">
        <w:t>po pojedinim podsektorima prikazan je u tablici 8.4.</w:t>
      </w:r>
    </w:p>
    <w:p w:rsidR="006970AF" w:rsidRPr="000063FC" w:rsidRDefault="006970AF" w:rsidP="006970AF"/>
    <w:p w:rsidR="006970AF" w:rsidRPr="000063FC" w:rsidRDefault="006970AF" w:rsidP="00B33E2F">
      <w:pPr>
        <w:pStyle w:val="Heading6"/>
      </w:pPr>
      <w:bookmarkStart w:id="297" w:name="_Toc254010283"/>
      <w:r w:rsidRPr="000063FC">
        <w:t>Tablica 8.4: Financijski okvir provedbe identificiranih mjera sektora javna rasvjeta</w:t>
      </w:r>
      <w:bookmarkEnd w:id="297"/>
    </w:p>
    <w:tbl>
      <w:tblPr>
        <w:tblW w:w="0" w:type="auto"/>
        <w:tblInd w:w="98" w:type="dxa"/>
        <w:tblLayout w:type="fixed"/>
        <w:tblLook w:val="04A0" w:firstRow="1" w:lastRow="0" w:firstColumn="1" w:lastColumn="0" w:noHBand="0" w:noVBand="1"/>
      </w:tblPr>
      <w:tblGrid>
        <w:gridCol w:w="1003"/>
        <w:gridCol w:w="4979"/>
        <w:gridCol w:w="3209"/>
      </w:tblGrid>
      <w:tr w:rsidR="006970AF" w:rsidRPr="000063FC" w:rsidTr="00B50C00">
        <w:trPr>
          <w:trHeight w:val="340"/>
        </w:trPr>
        <w:tc>
          <w:tcPr>
            <w:tcW w:w="1003" w:type="dxa"/>
            <w:tcBorders>
              <w:top w:val="single" w:sz="8" w:space="0" w:color="auto"/>
              <w:left w:val="single" w:sz="8" w:space="0" w:color="auto"/>
              <w:bottom w:val="single" w:sz="8" w:space="0" w:color="auto"/>
              <w:right w:val="single" w:sz="8" w:space="0" w:color="000000"/>
            </w:tcBorders>
            <w:shd w:val="clear" w:color="auto" w:fill="4BACC6" w:themeFill="accent5"/>
            <w:hideMark/>
          </w:tcPr>
          <w:p w:rsidR="006970AF" w:rsidRPr="000063FC" w:rsidRDefault="006970AF" w:rsidP="006970AF">
            <w:pPr>
              <w:rPr>
                <w:b/>
                <w:bCs/>
                <w:color w:val="FFFFFF" w:themeColor="background1"/>
                <w:sz w:val="18"/>
                <w:szCs w:val="18"/>
              </w:rPr>
            </w:pPr>
            <w:r w:rsidRPr="000063FC">
              <w:rPr>
                <w:b/>
                <w:bCs/>
                <w:color w:val="FFFFFF" w:themeColor="background1"/>
                <w:sz w:val="18"/>
                <w:szCs w:val="18"/>
              </w:rPr>
              <w:t>Podsektor</w:t>
            </w:r>
          </w:p>
        </w:tc>
        <w:tc>
          <w:tcPr>
            <w:tcW w:w="4979" w:type="dxa"/>
            <w:tcBorders>
              <w:top w:val="single" w:sz="8" w:space="0" w:color="auto"/>
              <w:left w:val="nil"/>
              <w:bottom w:val="single" w:sz="8" w:space="0" w:color="auto"/>
              <w:right w:val="nil"/>
            </w:tcBorders>
            <w:shd w:val="clear" w:color="auto" w:fill="4BACC6" w:themeFill="accent5"/>
            <w:hideMark/>
          </w:tcPr>
          <w:p w:rsidR="006970AF" w:rsidRPr="000063FC" w:rsidRDefault="006970AF" w:rsidP="006970AF">
            <w:pPr>
              <w:rPr>
                <w:b/>
                <w:bCs/>
                <w:color w:val="FFFFFF" w:themeColor="background1"/>
                <w:sz w:val="18"/>
                <w:szCs w:val="18"/>
              </w:rPr>
            </w:pPr>
            <w:r w:rsidRPr="000063FC">
              <w:rPr>
                <w:b/>
                <w:bCs/>
                <w:color w:val="FFFFFF" w:themeColor="background1"/>
                <w:sz w:val="18"/>
                <w:szCs w:val="18"/>
              </w:rPr>
              <w:t>Mjera</w:t>
            </w:r>
          </w:p>
        </w:tc>
        <w:tc>
          <w:tcPr>
            <w:tcW w:w="3209" w:type="dxa"/>
            <w:tcBorders>
              <w:top w:val="single" w:sz="8" w:space="0" w:color="auto"/>
              <w:left w:val="single" w:sz="8" w:space="0" w:color="auto"/>
              <w:bottom w:val="single" w:sz="8" w:space="0" w:color="auto"/>
              <w:right w:val="single" w:sz="8" w:space="0" w:color="auto"/>
            </w:tcBorders>
            <w:shd w:val="clear" w:color="auto" w:fill="4BACC6" w:themeFill="accent5"/>
            <w:noWrap/>
            <w:vAlign w:val="bottom"/>
            <w:hideMark/>
          </w:tcPr>
          <w:p w:rsidR="006970AF" w:rsidRPr="000063FC" w:rsidRDefault="006970AF" w:rsidP="006970AF">
            <w:pPr>
              <w:jc w:val="left"/>
              <w:rPr>
                <w:b/>
                <w:bCs/>
                <w:color w:val="FFFFFF" w:themeColor="background1"/>
                <w:sz w:val="18"/>
                <w:szCs w:val="18"/>
              </w:rPr>
            </w:pPr>
            <w:r w:rsidRPr="000063FC">
              <w:rPr>
                <w:b/>
                <w:bCs/>
                <w:color w:val="FFFFFF" w:themeColor="background1"/>
                <w:sz w:val="18"/>
                <w:szCs w:val="18"/>
              </w:rPr>
              <w:t>Financijski okvir</w:t>
            </w:r>
          </w:p>
        </w:tc>
      </w:tr>
      <w:tr w:rsidR="006970AF" w:rsidRPr="000063FC" w:rsidTr="00B50C00">
        <w:trPr>
          <w:trHeight w:val="340"/>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1.</w:t>
            </w:r>
          </w:p>
        </w:tc>
        <w:tc>
          <w:tcPr>
            <w:tcW w:w="497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Zamjena zastarjelih rasvjetnih tijela s energetski učinkovitijima i ekološki prihvatljivijima rasvjetnim tijelima</w:t>
            </w:r>
          </w:p>
        </w:tc>
        <w:tc>
          <w:tcPr>
            <w:tcW w:w="3209" w:type="dxa"/>
            <w:tcBorders>
              <w:top w:val="nil"/>
              <w:left w:val="nil"/>
              <w:bottom w:val="single" w:sz="4" w:space="0" w:color="auto"/>
              <w:right w:val="single" w:sz="4" w:space="0" w:color="auto"/>
            </w:tcBorders>
            <w:shd w:val="clear" w:color="auto" w:fill="auto"/>
            <w:noWrap/>
            <w:hideMark/>
          </w:tcPr>
          <w:p w:rsidR="006970AF" w:rsidRPr="000063FC" w:rsidRDefault="006970AF" w:rsidP="00C24CE2">
            <w:pPr>
              <w:jc w:val="right"/>
              <w:rPr>
                <w:color w:val="000000"/>
                <w:sz w:val="18"/>
                <w:szCs w:val="18"/>
              </w:rPr>
            </w:pPr>
            <w:r w:rsidRPr="000063FC">
              <w:rPr>
                <w:color w:val="000000"/>
                <w:sz w:val="18"/>
                <w:szCs w:val="18"/>
              </w:rPr>
              <w:t>132 600 000 (68 000 rasvjetnih tijela)</w:t>
            </w:r>
          </w:p>
        </w:tc>
      </w:tr>
      <w:tr w:rsidR="006970AF" w:rsidRPr="000063FC" w:rsidTr="00B50C00">
        <w:trPr>
          <w:trHeight w:val="340"/>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6970AF" w:rsidRPr="000063FC" w:rsidRDefault="006970AF" w:rsidP="00B50C00">
            <w:pPr>
              <w:jc w:val="center"/>
              <w:rPr>
                <w:color w:val="000000"/>
                <w:sz w:val="18"/>
                <w:szCs w:val="18"/>
              </w:rPr>
            </w:pPr>
            <w:r w:rsidRPr="000063FC">
              <w:rPr>
                <w:color w:val="000000"/>
                <w:sz w:val="18"/>
                <w:szCs w:val="18"/>
              </w:rPr>
              <w:t>2.</w:t>
            </w:r>
          </w:p>
        </w:tc>
        <w:tc>
          <w:tcPr>
            <w:tcW w:w="4979" w:type="dxa"/>
            <w:tcBorders>
              <w:top w:val="nil"/>
              <w:left w:val="nil"/>
              <w:bottom w:val="single" w:sz="4" w:space="0" w:color="auto"/>
              <w:right w:val="single" w:sz="4" w:space="0" w:color="auto"/>
            </w:tcBorders>
            <w:shd w:val="clear" w:color="auto" w:fill="auto"/>
            <w:noWrap/>
            <w:vAlign w:val="bottom"/>
            <w:hideMark/>
          </w:tcPr>
          <w:p w:rsidR="006970AF" w:rsidRPr="000063FC" w:rsidRDefault="006970AF" w:rsidP="006970AF">
            <w:pPr>
              <w:jc w:val="left"/>
              <w:rPr>
                <w:color w:val="000000"/>
                <w:sz w:val="18"/>
                <w:szCs w:val="18"/>
              </w:rPr>
            </w:pPr>
            <w:r w:rsidRPr="000063FC">
              <w:rPr>
                <w:color w:val="000000"/>
                <w:sz w:val="18"/>
                <w:szCs w:val="18"/>
              </w:rPr>
              <w:t>Upravljanje intenzitetom javne rasvjetom</w:t>
            </w:r>
          </w:p>
        </w:tc>
        <w:tc>
          <w:tcPr>
            <w:tcW w:w="3209" w:type="dxa"/>
            <w:tcBorders>
              <w:top w:val="nil"/>
              <w:left w:val="nil"/>
              <w:bottom w:val="single" w:sz="4" w:space="0" w:color="auto"/>
              <w:right w:val="single" w:sz="4" w:space="0" w:color="auto"/>
            </w:tcBorders>
            <w:shd w:val="clear" w:color="auto" w:fill="auto"/>
            <w:noWrap/>
            <w:hideMark/>
          </w:tcPr>
          <w:p w:rsidR="006970AF" w:rsidRPr="000063FC" w:rsidRDefault="00C24CE2" w:rsidP="00C24CE2">
            <w:pPr>
              <w:jc w:val="right"/>
              <w:rPr>
                <w:color w:val="000000"/>
                <w:sz w:val="18"/>
                <w:szCs w:val="18"/>
              </w:rPr>
            </w:pPr>
            <w:r w:rsidRPr="000063FC">
              <w:rPr>
                <w:color w:val="000000"/>
                <w:sz w:val="18"/>
                <w:szCs w:val="18"/>
              </w:rPr>
              <w:t>U kombinaciji s prethodnom</w:t>
            </w:r>
            <w:r w:rsidR="006970AF" w:rsidRPr="000063FC">
              <w:rPr>
                <w:color w:val="000000"/>
                <w:sz w:val="18"/>
                <w:szCs w:val="18"/>
              </w:rPr>
              <w:t xml:space="preserve"> mjerom ne zahtjeva dodatne investicije</w:t>
            </w:r>
          </w:p>
        </w:tc>
      </w:tr>
    </w:tbl>
    <w:p w:rsidR="006970AF" w:rsidRPr="000063FC" w:rsidRDefault="006970AF" w:rsidP="006970AF">
      <w:pPr>
        <w:rPr>
          <w:b/>
          <w:szCs w:val="22"/>
        </w:rPr>
      </w:pPr>
    </w:p>
    <w:p w:rsidR="006970AF" w:rsidRPr="000063FC" w:rsidRDefault="006970AF" w:rsidP="006970AF">
      <w:pPr>
        <w:spacing w:line="276" w:lineRule="auto"/>
        <w:rPr>
          <w:szCs w:val="22"/>
        </w:rPr>
      </w:pPr>
      <w:r w:rsidRPr="000063FC">
        <w:rPr>
          <w:szCs w:val="22"/>
        </w:rPr>
        <w:t xml:space="preserve">Ovdje treba naglasiti da su svi financijski iznosi potrebni za provedbu identificiranih mjera energetske učinkovitosti u sektorima zgradarstva, prometa i javne rasvjete prezentirani u prethodnim tablicama samo okvirne vrijednosti bazirane na trenutačnim tržišnim cijenama. Za određivanje stvarnih investicijskih troškova provedbe pojedine mjere nužno je provesti detaljne ekonomske analize i izraditi investicijske studije. </w:t>
      </w:r>
    </w:p>
    <w:p w:rsidR="006970AF" w:rsidRPr="000063FC" w:rsidRDefault="006970AF" w:rsidP="006970AF"/>
    <w:p w:rsidR="006970AF" w:rsidRPr="000063FC" w:rsidRDefault="006970AF">
      <w:pPr>
        <w:tabs>
          <w:tab w:val="clear" w:pos="720"/>
          <w:tab w:val="clear" w:pos="6912"/>
        </w:tabs>
        <w:spacing w:line="276" w:lineRule="auto"/>
        <w:jc w:val="left"/>
        <w:rPr>
          <w:rFonts w:asciiTheme="minorHAnsi" w:hAnsiTheme="minorHAnsi" w:cs="Arial"/>
          <w:szCs w:val="22"/>
        </w:rPr>
      </w:pPr>
    </w:p>
    <w:p w:rsidR="006970AF" w:rsidRPr="000063FC" w:rsidRDefault="006970AF">
      <w:pPr>
        <w:tabs>
          <w:tab w:val="clear" w:pos="720"/>
          <w:tab w:val="clear" w:pos="6912"/>
        </w:tabs>
        <w:spacing w:line="276" w:lineRule="auto"/>
        <w:jc w:val="left"/>
        <w:rPr>
          <w:rFonts w:asciiTheme="minorHAnsi" w:hAnsiTheme="minorHAnsi" w:cs="Arial"/>
          <w:szCs w:val="22"/>
        </w:rPr>
      </w:pPr>
    </w:p>
    <w:p w:rsidR="006970AF" w:rsidRPr="000063FC" w:rsidRDefault="006970AF">
      <w:pPr>
        <w:tabs>
          <w:tab w:val="clear" w:pos="720"/>
          <w:tab w:val="clear" w:pos="6912"/>
        </w:tabs>
        <w:spacing w:line="276" w:lineRule="auto"/>
        <w:jc w:val="left"/>
        <w:rPr>
          <w:rFonts w:asciiTheme="minorHAnsi" w:hAnsiTheme="minorHAnsi" w:cs="Arial"/>
          <w:szCs w:val="22"/>
        </w:rPr>
      </w:pPr>
    </w:p>
    <w:p w:rsidR="006970AF" w:rsidRPr="000063FC" w:rsidRDefault="006970AF">
      <w:pPr>
        <w:tabs>
          <w:tab w:val="clear" w:pos="720"/>
          <w:tab w:val="clear" w:pos="6912"/>
        </w:tabs>
        <w:spacing w:line="276" w:lineRule="auto"/>
        <w:jc w:val="left"/>
        <w:rPr>
          <w:rFonts w:asciiTheme="minorHAnsi" w:hAnsiTheme="minorHAnsi" w:cs="Arial"/>
          <w:szCs w:val="22"/>
        </w:rPr>
      </w:pPr>
    </w:p>
    <w:p w:rsidR="00B50C00" w:rsidRPr="000063FC" w:rsidRDefault="00B50C00">
      <w:pPr>
        <w:tabs>
          <w:tab w:val="clear" w:pos="720"/>
          <w:tab w:val="clear" w:pos="6912"/>
        </w:tabs>
        <w:spacing w:line="240" w:lineRule="auto"/>
        <w:jc w:val="left"/>
        <w:rPr>
          <w:rFonts w:asciiTheme="minorHAnsi" w:hAnsiTheme="minorHAnsi" w:cs="Arial"/>
          <w:szCs w:val="22"/>
        </w:rPr>
      </w:pPr>
    </w:p>
    <w:p w:rsidR="005D4DCA" w:rsidRPr="000063FC" w:rsidRDefault="005D4DCA">
      <w:pPr>
        <w:tabs>
          <w:tab w:val="clear" w:pos="720"/>
          <w:tab w:val="clear" w:pos="6912"/>
        </w:tabs>
        <w:spacing w:line="240" w:lineRule="auto"/>
        <w:jc w:val="left"/>
        <w:rPr>
          <w:rFonts w:cs="Arial"/>
          <w:b/>
          <w:iCs/>
          <w:caps/>
          <w:kern w:val="28"/>
          <w:sz w:val="24"/>
        </w:rPr>
      </w:pPr>
      <w:r w:rsidRPr="000063FC">
        <w:br w:type="page"/>
      </w:r>
    </w:p>
    <w:p w:rsidR="00BC341E" w:rsidRPr="000063FC" w:rsidRDefault="00F86300">
      <w:pPr>
        <w:pStyle w:val="Heading1"/>
      </w:pPr>
      <w:bookmarkStart w:id="298" w:name="_Toc254010229"/>
      <w:r w:rsidRPr="000063FC">
        <w:t>ZAKLJUČ</w:t>
      </w:r>
      <w:r w:rsidR="00531AAE" w:rsidRPr="000063FC">
        <w:t>ci</w:t>
      </w:r>
      <w:r w:rsidR="00AD7909" w:rsidRPr="000063FC">
        <w:t xml:space="preserve"> I PREPORUKE</w:t>
      </w:r>
      <w:bookmarkEnd w:id="298"/>
    </w:p>
    <w:p w:rsidR="003A7F32" w:rsidRPr="000063FC" w:rsidRDefault="00E013E3" w:rsidP="00772AF0">
      <w:pPr>
        <w:pStyle w:val="Obinitekst10"/>
        <w:spacing w:line="276" w:lineRule="auto"/>
        <w:jc w:val="both"/>
        <w:rPr>
          <w:rFonts w:ascii="Calibri" w:hAnsi="Calibri" w:cs="Arial"/>
          <w:sz w:val="22"/>
          <w:szCs w:val="22"/>
          <w:lang w:val="hr-HR"/>
        </w:rPr>
      </w:pPr>
      <w:r w:rsidRPr="000063FC">
        <w:rPr>
          <w:rFonts w:asciiTheme="minorHAnsi" w:hAnsiTheme="minorHAnsi" w:cs="Arial"/>
          <w:sz w:val="22"/>
          <w:szCs w:val="22"/>
          <w:lang w:val="hr-HR"/>
        </w:rPr>
        <w:t>Izrada Osnovnih odrednica i podloga za praćenje emisija CO</w:t>
      </w:r>
      <w:r w:rsidRPr="000063FC">
        <w:rPr>
          <w:rFonts w:asciiTheme="minorHAnsi" w:hAnsiTheme="minorHAnsi" w:cs="Arial"/>
          <w:sz w:val="22"/>
          <w:szCs w:val="22"/>
          <w:vertAlign w:val="subscript"/>
          <w:lang w:val="hr-HR"/>
        </w:rPr>
        <w:t>2</w:t>
      </w:r>
      <w:r w:rsidRPr="000063FC">
        <w:rPr>
          <w:rFonts w:asciiTheme="minorHAnsi" w:hAnsiTheme="minorHAnsi" w:cs="Arial"/>
          <w:sz w:val="22"/>
          <w:szCs w:val="22"/>
          <w:lang w:val="hr-HR"/>
        </w:rPr>
        <w:t xml:space="preserve"> u Gradu Zagrebu imala je za glavni cilj olakšati </w:t>
      </w:r>
      <w:r w:rsidR="003A7F32" w:rsidRPr="000063FC">
        <w:rPr>
          <w:rFonts w:asciiTheme="minorHAnsi" w:hAnsiTheme="minorHAnsi" w:cs="Arial"/>
          <w:sz w:val="22"/>
          <w:szCs w:val="22"/>
          <w:lang w:val="hr-HR"/>
        </w:rPr>
        <w:t xml:space="preserve">i ubrzati </w:t>
      </w:r>
      <w:r w:rsidRPr="000063FC">
        <w:rPr>
          <w:rFonts w:asciiTheme="minorHAnsi" w:hAnsiTheme="minorHAnsi" w:cs="Arial"/>
          <w:sz w:val="22"/>
          <w:szCs w:val="22"/>
          <w:lang w:val="hr-HR"/>
        </w:rPr>
        <w:t>izradu Akcijskog plana energetski održivog razvitka Grada Zagreba</w:t>
      </w:r>
      <w:r w:rsidR="003A7F32" w:rsidRPr="000063FC">
        <w:rPr>
          <w:rFonts w:asciiTheme="minorHAnsi" w:hAnsiTheme="minorHAnsi" w:cs="Arial"/>
          <w:sz w:val="22"/>
          <w:szCs w:val="22"/>
          <w:lang w:val="hr-HR"/>
        </w:rPr>
        <w:t xml:space="preserve">. </w:t>
      </w:r>
      <w:r w:rsidRPr="000063FC">
        <w:rPr>
          <w:rFonts w:asciiTheme="minorHAnsi" w:hAnsiTheme="minorHAnsi" w:cs="Arial"/>
          <w:sz w:val="22"/>
          <w:szCs w:val="22"/>
          <w:lang w:val="hr-HR"/>
        </w:rPr>
        <w:t xml:space="preserve"> </w:t>
      </w:r>
      <w:r w:rsidR="003A7F32" w:rsidRPr="000063FC">
        <w:rPr>
          <w:rFonts w:asciiTheme="minorHAnsi" w:hAnsiTheme="minorHAnsi" w:cs="Arial"/>
          <w:sz w:val="22"/>
          <w:szCs w:val="22"/>
          <w:lang w:val="hr-HR"/>
        </w:rPr>
        <w:t>Potpisivanjem Sporazuma gradonačelnika Grad Zagreb se obvezao na izradu</w:t>
      </w:r>
      <w:r w:rsidR="003A7F32" w:rsidRPr="000063FC">
        <w:rPr>
          <w:rFonts w:ascii="Calibri" w:hAnsi="Calibri" w:cs="Arial"/>
          <w:sz w:val="22"/>
          <w:szCs w:val="22"/>
          <w:lang w:val="hr-HR"/>
        </w:rPr>
        <w:t xml:space="preserve"> Akcijskog plana (eng. Sustainable Energy Action Plan – SEAP) koji treba biti dostavljen Europskoj komisiji unutar razdoblja od jedne godine. Akcijski plan održivog energetskog razvitka Grada predstavlja ključni dokument koji na bazi prikupljenih podataka o zatečenom stanju identificira te daje precizne i jasne odrednice za provedbu projekata i mjera energetske učinkovitosti i korištenja obnovljivih izvora energije na gradskoj razini, a koji će rezultirati smanjenjem </w:t>
      </w:r>
      <w:r w:rsidR="000063FC" w:rsidRPr="000063FC">
        <w:rPr>
          <w:rFonts w:ascii="Calibri" w:hAnsi="Calibri" w:cs="Arial"/>
          <w:sz w:val="22"/>
          <w:szCs w:val="22"/>
          <w:lang w:val="hr-HR"/>
        </w:rPr>
        <w:t>emisije</w:t>
      </w:r>
      <w:r w:rsidR="003A7F32" w:rsidRPr="000063FC">
        <w:rPr>
          <w:rFonts w:ascii="Calibri" w:hAnsi="Calibri" w:cs="Arial"/>
          <w:sz w:val="22"/>
          <w:szCs w:val="22"/>
          <w:lang w:val="hr-HR"/>
        </w:rPr>
        <w:t xml:space="preserve"> CO</w:t>
      </w:r>
      <w:r w:rsidR="003A7F32" w:rsidRPr="000063FC">
        <w:rPr>
          <w:rFonts w:ascii="Calibri" w:hAnsi="Calibri" w:cs="Arial"/>
          <w:sz w:val="22"/>
          <w:szCs w:val="22"/>
          <w:vertAlign w:val="subscript"/>
          <w:lang w:val="hr-HR"/>
        </w:rPr>
        <w:t>2</w:t>
      </w:r>
      <w:r w:rsidR="003A7F32" w:rsidRPr="000063FC">
        <w:rPr>
          <w:rFonts w:ascii="Calibri" w:hAnsi="Calibri" w:cs="Arial"/>
          <w:sz w:val="22"/>
          <w:szCs w:val="22"/>
          <w:lang w:val="hr-HR"/>
        </w:rPr>
        <w:t xml:space="preserve"> za više od 20% do 2020. godine. </w:t>
      </w:r>
    </w:p>
    <w:p w:rsidR="003A7F32" w:rsidRPr="000063FC" w:rsidRDefault="003A7F32" w:rsidP="00772AF0">
      <w:pPr>
        <w:pStyle w:val="Obinitekst10"/>
        <w:spacing w:line="276" w:lineRule="auto"/>
        <w:jc w:val="both"/>
        <w:rPr>
          <w:rFonts w:ascii="Calibri" w:hAnsi="Calibri" w:cs="Arial"/>
          <w:sz w:val="22"/>
          <w:szCs w:val="22"/>
          <w:lang w:val="hr-HR"/>
        </w:rPr>
      </w:pPr>
    </w:p>
    <w:p w:rsidR="00194434" w:rsidRPr="000063FC" w:rsidRDefault="003A7F32" w:rsidP="00772AF0">
      <w:pPr>
        <w:pStyle w:val="NoSpacing"/>
        <w:spacing w:line="276" w:lineRule="auto"/>
        <w:jc w:val="both"/>
        <w:rPr>
          <w:lang w:eastAsia="hr-HR"/>
        </w:rPr>
      </w:pPr>
      <w:r w:rsidRPr="000063FC">
        <w:rPr>
          <w:lang w:eastAsia="hr-HR"/>
        </w:rPr>
        <w:t>U  ovim Podlogama detaljno su opisane metodologije korištene pri izradi Referentnog inventara emisija CO</w:t>
      </w:r>
      <w:r w:rsidRPr="000063FC">
        <w:rPr>
          <w:vertAlign w:val="subscript"/>
          <w:lang w:eastAsia="hr-HR"/>
        </w:rPr>
        <w:t>2</w:t>
      </w:r>
      <w:r w:rsidR="00194434" w:rsidRPr="000063FC">
        <w:rPr>
          <w:lang w:eastAsia="hr-HR"/>
        </w:rPr>
        <w:t xml:space="preserve">. Iznimno je važno da se metodologija </w:t>
      </w:r>
      <w:r w:rsidR="000063FC" w:rsidRPr="000063FC">
        <w:rPr>
          <w:lang w:eastAsia="hr-HR"/>
        </w:rPr>
        <w:t>primijenjena</w:t>
      </w:r>
      <w:r w:rsidR="00194434" w:rsidRPr="000063FC">
        <w:rPr>
          <w:lang w:eastAsia="hr-HR"/>
        </w:rPr>
        <w:t xml:space="preserve"> za izradu Referentnog inventara emisija CO</w:t>
      </w:r>
      <w:r w:rsidR="00194434" w:rsidRPr="000063FC">
        <w:rPr>
          <w:vertAlign w:val="subscript"/>
          <w:lang w:eastAsia="hr-HR"/>
        </w:rPr>
        <w:t xml:space="preserve">2 </w:t>
      </w:r>
      <w:r w:rsidR="00194434" w:rsidRPr="000063FC">
        <w:rPr>
          <w:lang w:eastAsia="hr-HR"/>
        </w:rPr>
        <w:t>koristi i prilikom izrade svih ostalih inventara emisija</w:t>
      </w:r>
      <w:r w:rsidR="00194434" w:rsidRPr="000063FC">
        <w:rPr>
          <w:vertAlign w:val="subscript"/>
          <w:lang w:eastAsia="hr-HR"/>
        </w:rPr>
        <w:t xml:space="preserve"> </w:t>
      </w:r>
      <w:r w:rsidR="00194434" w:rsidRPr="000063FC">
        <w:rPr>
          <w:lang w:eastAsia="hr-HR"/>
        </w:rPr>
        <w:t>kako bi dobiveni rezultati bili usporedivi. Jedino korištenje identične metodologije izrade inventara emisija jednoznačno pokazuje uspješnost provedbe Akcijskog plana u cjelini.</w:t>
      </w:r>
    </w:p>
    <w:p w:rsidR="00194434" w:rsidRPr="000063FC" w:rsidRDefault="00194434" w:rsidP="00772AF0">
      <w:pPr>
        <w:pStyle w:val="NoSpacing"/>
        <w:spacing w:line="276" w:lineRule="auto"/>
        <w:jc w:val="both"/>
        <w:rPr>
          <w:lang w:eastAsia="hr-HR"/>
        </w:rPr>
      </w:pPr>
    </w:p>
    <w:p w:rsidR="00194434" w:rsidRPr="000063FC" w:rsidRDefault="00194434" w:rsidP="00772AF0">
      <w:pPr>
        <w:pStyle w:val="NoSpacing"/>
        <w:spacing w:line="276" w:lineRule="auto"/>
        <w:jc w:val="both"/>
        <w:rPr>
          <w:lang w:eastAsia="hr-HR"/>
        </w:rPr>
      </w:pPr>
      <w:r w:rsidRPr="000063FC">
        <w:t>Metodologija odabira referentne godine, izrade inventara emisija CO</w:t>
      </w:r>
      <w:r w:rsidRPr="000063FC">
        <w:rPr>
          <w:vertAlign w:val="subscript"/>
        </w:rPr>
        <w:t>2</w:t>
      </w:r>
      <w:r w:rsidRPr="000063FC">
        <w:t xml:space="preserve"> i samog Akcijskog plana bazirala se na smjernicama Europske komisije prema kojima je referentni inventar emisija CO</w:t>
      </w:r>
      <w:r w:rsidRPr="000063FC">
        <w:rPr>
          <w:vertAlign w:val="subscript"/>
        </w:rPr>
        <w:t>2</w:t>
      </w:r>
      <w:r w:rsidRPr="000063FC">
        <w:t xml:space="preserve"> obuhvatio tri sektora neposredne potrošnje energije u Gradu Zagrebu: zgradarstvo, promet i javnu rasvjetu</w:t>
      </w:r>
    </w:p>
    <w:p w:rsidR="00194434" w:rsidRPr="000063FC" w:rsidRDefault="00194434" w:rsidP="00772AF0">
      <w:pPr>
        <w:pStyle w:val="NoSpacing"/>
        <w:spacing w:line="276" w:lineRule="auto"/>
        <w:jc w:val="both"/>
        <w:rPr>
          <w:lang w:eastAsia="hr-HR"/>
        </w:rPr>
      </w:pPr>
    </w:p>
    <w:p w:rsidR="00194434" w:rsidRPr="000063FC" w:rsidRDefault="00194434" w:rsidP="00772AF0">
      <w:pPr>
        <w:pStyle w:val="NoSpacing"/>
        <w:spacing w:line="276" w:lineRule="auto"/>
        <w:jc w:val="both"/>
        <w:rPr>
          <w:rFonts w:cs="Arial"/>
        </w:rPr>
      </w:pPr>
      <w:r w:rsidRPr="000063FC">
        <w:rPr>
          <w:rFonts w:cs="Arial"/>
        </w:rPr>
        <w:t>Sektor zgradarstva je podijeljen na sljedeća tri podsektora:</w:t>
      </w:r>
    </w:p>
    <w:p w:rsidR="00194434" w:rsidRPr="000063FC" w:rsidRDefault="00194434" w:rsidP="00772AF0">
      <w:pPr>
        <w:pStyle w:val="NoSpacing"/>
        <w:numPr>
          <w:ilvl w:val="0"/>
          <w:numId w:val="44"/>
        </w:numPr>
        <w:spacing w:line="276" w:lineRule="auto"/>
        <w:jc w:val="both"/>
        <w:rPr>
          <w:rFonts w:cs="Arial"/>
        </w:rPr>
      </w:pPr>
      <w:r w:rsidRPr="000063FC">
        <w:rPr>
          <w:rFonts w:cs="Arial"/>
        </w:rPr>
        <w:t>Zgrade stambene i javne namjene te poduzeća u vlasništvu Grada Zagreba;</w:t>
      </w:r>
    </w:p>
    <w:p w:rsidR="00194434" w:rsidRPr="000063FC" w:rsidRDefault="00194434" w:rsidP="00772AF0">
      <w:pPr>
        <w:pStyle w:val="NoSpacing"/>
        <w:numPr>
          <w:ilvl w:val="0"/>
          <w:numId w:val="44"/>
        </w:numPr>
        <w:spacing w:line="276" w:lineRule="auto"/>
        <w:jc w:val="both"/>
        <w:rPr>
          <w:rFonts w:cs="Arial"/>
        </w:rPr>
      </w:pPr>
      <w:r w:rsidRPr="000063FC">
        <w:rPr>
          <w:rFonts w:cs="Arial"/>
        </w:rPr>
        <w:t xml:space="preserve">Zgrade komercijalnih i uslužnih djelatnosti koje nisu u vlasništvu Grada Zagreba; </w:t>
      </w:r>
    </w:p>
    <w:p w:rsidR="00194434" w:rsidRPr="000063FC" w:rsidRDefault="00194434" w:rsidP="00772AF0">
      <w:pPr>
        <w:pStyle w:val="NoSpacing"/>
        <w:numPr>
          <w:ilvl w:val="0"/>
          <w:numId w:val="44"/>
        </w:numPr>
        <w:spacing w:line="276" w:lineRule="auto"/>
        <w:jc w:val="both"/>
        <w:rPr>
          <w:rFonts w:cs="Arial"/>
        </w:rPr>
      </w:pPr>
      <w:r w:rsidRPr="000063FC">
        <w:rPr>
          <w:rFonts w:cs="Arial"/>
        </w:rPr>
        <w:t>Stambene zgrade (bez stambenih zgrada u vlasništvu Grada Zagreba).</w:t>
      </w:r>
    </w:p>
    <w:p w:rsidR="00194434" w:rsidRPr="000063FC" w:rsidRDefault="00194434" w:rsidP="00772AF0">
      <w:pPr>
        <w:pStyle w:val="NoSpacing"/>
        <w:spacing w:line="276" w:lineRule="auto"/>
        <w:jc w:val="both"/>
        <w:rPr>
          <w:rFonts w:cs="Arial"/>
        </w:rPr>
      </w:pPr>
    </w:p>
    <w:p w:rsidR="00194434" w:rsidRPr="000063FC" w:rsidRDefault="00194434" w:rsidP="00772AF0">
      <w:pPr>
        <w:pStyle w:val="NoSpacing"/>
        <w:spacing w:line="276" w:lineRule="auto"/>
        <w:jc w:val="both"/>
        <w:rPr>
          <w:rFonts w:cs="Arial"/>
        </w:rPr>
      </w:pPr>
      <w:r w:rsidRPr="000063FC">
        <w:rPr>
          <w:rFonts w:cs="Arial"/>
        </w:rPr>
        <w:t>Sektor prometa sadrži tri podsektora:</w:t>
      </w:r>
    </w:p>
    <w:p w:rsidR="00194434" w:rsidRPr="000063FC" w:rsidRDefault="00194434" w:rsidP="00772AF0">
      <w:pPr>
        <w:pStyle w:val="NoSpacing"/>
        <w:numPr>
          <w:ilvl w:val="0"/>
          <w:numId w:val="45"/>
        </w:numPr>
        <w:spacing w:line="276" w:lineRule="auto"/>
        <w:jc w:val="both"/>
        <w:rPr>
          <w:rFonts w:cs="Arial"/>
        </w:rPr>
      </w:pPr>
      <w:r w:rsidRPr="000063FC">
        <w:rPr>
          <w:rFonts w:cs="Arial"/>
        </w:rPr>
        <w:t>Vozni park u vlasništvu Grada Zagreba;</w:t>
      </w:r>
    </w:p>
    <w:p w:rsidR="00194434" w:rsidRPr="000063FC" w:rsidRDefault="00194434" w:rsidP="00772AF0">
      <w:pPr>
        <w:pStyle w:val="NoSpacing"/>
        <w:numPr>
          <w:ilvl w:val="0"/>
          <w:numId w:val="45"/>
        </w:numPr>
        <w:spacing w:line="276" w:lineRule="auto"/>
        <w:jc w:val="both"/>
        <w:rPr>
          <w:rFonts w:cs="Arial"/>
        </w:rPr>
      </w:pPr>
      <w:r w:rsidRPr="000063FC">
        <w:rPr>
          <w:rFonts w:cs="Arial"/>
        </w:rPr>
        <w:t>Javni prijevoz na području Grada Zagreba;</w:t>
      </w:r>
    </w:p>
    <w:p w:rsidR="00194434" w:rsidRPr="000063FC" w:rsidRDefault="00194434" w:rsidP="00772AF0">
      <w:pPr>
        <w:pStyle w:val="NoSpacing"/>
        <w:numPr>
          <w:ilvl w:val="0"/>
          <w:numId w:val="45"/>
        </w:numPr>
        <w:spacing w:line="276" w:lineRule="auto"/>
        <w:jc w:val="both"/>
        <w:rPr>
          <w:rFonts w:cs="Arial"/>
        </w:rPr>
      </w:pPr>
      <w:r w:rsidRPr="000063FC">
        <w:rPr>
          <w:rFonts w:cs="Arial"/>
        </w:rPr>
        <w:t>Osobna i komercijalna vozila.</w:t>
      </w:r>
    </w:p>
    <w:p w:rsidR="00155C9B" w:rsidRPr="000063FC" w:rsidRDefault="00155C9B" w:rsidP="00772AF0">
      <w:pPr>
        <w:spacing w:line="276" w:lineRule="auto"/>
      </w:pPr>
    </w:p>
    <w:p w:rsidR="00155C9B" w:rsidRPr="000063FC" w:rsidRDefault="00155C9B" w:rsidP="00772AF0">
      <w:pPr>
        <w:spacing w:line="276" w:lineRule="auto"/>
      </w:pPr>
      <w:r w:rsidRPr="000063FC">
        <w:t>Ukupna emisija CO</w:t>
      </w:r>
      <w:r w:rsidRPr="000063FC">
        <w:rPr>
          <w:vertAlign w:val="subscript"/>
        </w:rPr>
        <w:t xml:space="preserve">2 </w:t>
      </w:r>
      <w:r w:rsidRPr="000063FC">
        <w:t xml:space="preserve"> iz promatranih sektora u Gradu Zagrebu iznosila je u 2008. godini </w:t>
      </w:r>
      <w:r w:rsidRPr="000063FC">
        <w:rPr>
          <w:lang w:eastAsia="hr-HR"/>
        </w:rPr>
        <w:t>2796</w:t>
      </w:r>
      <w:r w:rsidRPr="000063FC">
        <w:t xml:space="preserve"> kt CO</w:t>
      </w:r>
      <w:r w:rsidRPr="000063FC">
        <w:rPr>
          <w:vertAlign w:val="subscript"/>
        </w:rPr>
        <w:t>2</w:t>
      </w:r>
      <w:r w:rsidR="006514BB">
        <w:rPr>
          <w:vertAlign w:val="subscript"/>
        </w:rPr>
        <w:t xml:space="preserve">, </w:t>
      </w:r>
      <w:r w:rsidR="006514BB">
        <w:t>pri čemu najveći udio ima zgradarstvo (6</w:t>
      </w:r>
      <w:r w:rsidR="008D282A">
        <w:t>3</w:t>
      </w:r>
      <w:r w:rsidR="006514BB">
        <w:t>%), zatim promet (3</w:t>
      </w:r>
      <w:r w:rsidR="008D282A">
        <w:t>6</w:t>
      </w:r>
      <w:r w:rsidR="006514BB">
        <w:t>%), dok je emisija iz javne rasvjete gotovo zanemariva (1%).</w:t>
      </w:r>
    </w:p>
    <w:p w:rsidR="00155C9B" w:rsidRPr="000063FC" w:rsidRDefault="00155C9B" w:rsidP="00772AF0">
      <w:pPr>
        <w:spacing w:line="276" w:lineRule="auto"/>
        <w:rPr>
          <w:lang w:eastAsia="hr-HR"/>
        </w:rPr>
      </w:pPr>
      <w:r w:rsidRPr="000063FC">
        <w:t xml:space="preserve"> </w:t>
      </w:r>
    </w:p>
    <w:p w:rsidR="00194434" w:rsidRPr="000063FC" w:rsidRDefault="003A7F32" w:rsidP="00772AF0">
      <w:pPr>
        <w:pStyle w:val="NoSpacing"/>
        <w:spacing w:line="276" w:lineRule="auto"/>
        <w:jc w:val="both"/>
        <w:rPr>
          <w:lang w:eastAsia="hr-HR"/>
        </w:rPr>
      </w:pPr>
      <w:r w:rsidRPr="000063FC">
        <w:rPr>
          <w:lang w:eastAsia="hr-HR"/>
        </w:rPr>
        <w:t xml:space="preserve">Za uspješno praćenje postignutih ušteda u </w:t>
      </w:r>
      <w:r w:rsidR="005D0635" w:rsidRPr="000063FC">
        <w:rPr>
          <w:lang w:eastAsia="hr-HR"/>
        </w:rPr>
        <w:t xml:space="preserve">promatranim </w:t>
      </w:r>
      <w:r w:rsidRPr="000063FC">
        <w:rPr>
          <w:lang w:eastAsia="hr-HR"/>
        </w:rPr>
        <w:t>sektorima i njihovim podsektorima kao i zadovoljenja postavljenih ciljeva smanjenja emisija CO</w:t>
      </w:r>
      <w:r w:rsidRPr="000063FC">
        <w:rPr>
          <w:vertAlign w:val="subscript"/>
          <w:lang w:eastAsia="hr-HR"/>
        </w:rPr>
        <w:t>2</w:t>
      </w:r>
      <w:r w:rsidRPr="000063FC">
        <w:rPr>
          <w:lang w:eastAsia="hr-HR"/>
        </w:rPr>
        <w:t xml:space="preserve"> kako za pojedinu mjeru tako i za provedbu Akcijskog plana u cjelini nužna je izrada novog Registra emisija CO</w:t>
      </w:r>
      <w:r w:rsidRPr="000063FC">
        <w:rPr>
          <w:vertAlign w:val="subscript"/>
          <w:lang w:eastAsia="hr-HR"/>
        </w:rPr>
        <w:t>2</w:t>
      </w:r>
      <w:r w:rsidRPr="000063FC">
        <w:rPr>
          <w:lang w:eastAsia="hr-HR"/>
        </w:rPr>
        <w:t xml:space="preserve"> za Grad Zagreb. Prema preporukama Europske komisije najbolji bi se rezultati cjelokupnog procesa izrade, provedbe i praćenja Akcijskog plana postigli izradom novog Registra emisija CO</w:t>
      </w:r>
      <w:r w:rsidRPr="000063FC">
        <w:rPr>
          <w:vertAlign w:val="subscript"/>
          <w:lang w:eastAsia="hr-HR"/>
        </w:rPr>
        <w:t>2</w:t>
      </w:r>
      <w:r w:rsidR="00194434" w:rsidRPr="000063FC">
        <w:rPr>
          <w:lang w:eastAsia="hr-HR"/>
        </w:rPr>
        <w:t xml:space="preserve"> svake dvije godine.</w:t>
      </w:r>
    </w:p>
    <w:p w:rsidR="003A7F32" w:rsidRPr="000063FC" w:rsidRDefault="003A7F32" w:rsidP="00772AF0">
      <w:pPr>
        <w:pStyle w:val="NoSpacing"/>
        <w:spacing w:line="276" w:lineRule="auto"/>
        <w:jc w:val="both"/>
        <w:rPr>
          <w:lang w:eastAsia="hr-HR"/>
        </w:rPr>
      </w:pPr>
      <w:r w:rsidRPr="000063FC">
        <w:rPr>
          <w:lang w:eastAsia="hr-HR"/>
        </w:rPr>
        <w:t xml:space="preserve"> </w:t>
      </w:r>
    </w:p>
    <w:p w:rsidR="005D0635" w:rsidRPr="000063FC" w:rsidRDefault="005D0635" w:rsidP="00772AF0">
      <w:pPr>
        <w:spacing w:line="276" w:lineRule="auto"/>
      </w:pPr>
      <w:r w:rsidRPr="000063FC">
        <w:t>Usporedba Referentnog inventara emisija CO</w:t>
      </w:r>
      <w:r w:rsidRPr="000063FC">
        <w:rPr>
          <w:vertAlign w:val="subscript"/>
        </w:rPr>
        <w:t>2</w:t>
      </w:r>
      <w:r w:rsidRPr="000063FC">
        <w:t xml:space="preserve"> Grada Zagreba za 2008. godinu s posljednjim Nacionalnim inventarom emisija pokazuje da promet Grada Zagreba doprinosi s 16,3%, a zgradarstvo s 21,6% ukupnim emisijama spomenutih sektora Republike Hrvatske. Promatrano u odnosu na broj stanovnika emisija t CO</w:t>
      </w:r>
      <w:r w:rsidRPr="000063FC">
        <w:rPr>
          <w:vertAlign w:val="subscript"/>
        </w:rPr>
        <w:t>2</w:t>
      </w:r>
      <w:r w:rsidRPr="000063FC">
        <w:t xml:space="preserve">/stanovniku u Gradu Zagrebu iznosi 3,48. U studiji </w:t>
      </w:r>
      <w:r w:rsidRPr="000063FC">
        <w:rPr>
          <w:i/>
        </w:rPr>
        <w:t>European Green City Index</w:t>
      </w:r>
      <w:r w:rsidRPr="000063FC">
        <w:t xml:space="preserve"> analizirane su emisije CO</w:t>
      </w:r>
      <w:r w:rsidRPr="000063FC">
        <w:rPr>
          <w:vertAlign w:val="subscript"/>
        </w:rPr>
        <w:t>2</w:t>
      </w:r>
      <w:r w:rsidRPr="000063FC">
        <w:t xml:space="preserve"> za 30 europskih gradova u 2007. godini. Grad s najmanjom emisijom od 2,19 tCO</w:t>
      </w:r>
      <w:r w:rsidRPr="000063FC">
        <w:rPr>
          <w:vertAlign w:val="subscript"/>
        </w:rPr>
        <w:t>2</w:t>
      </w:r>
      <w:r w:rsidRPr="000063FC">
        <w:t>/stanovniku je Oslo, dok je grad s najvećom emisijom od 9,72 t CO</w:t>
      </w:r>
      <w:r w:rsidRPr="000063FC">
        <w:rPr>
          <w:vertAlign w:val="subscript"/>
        </w:rPr>
        <w:t>2</w:t>
      </w:r>
      <w:r w:rsidRPr="000063FC">
        <w:t>/stanovniku Dublin, dok je prosjek emisija analiziranih gradova iznosio 5,09 tCO</w:t>
      </w:r>
      <w:r w:rsidRPr="000063FC">
        <w:rPr>
          <w:vertAlign w:val="subscript"/>
        </w:rPr>
        <w:t>2</w:t>
      </w:r>
      <w:r w:rsidRPr="000063FC">
        <w:t>/stanovniku. Iz navedenog se prikaza može zaključiti da je Grad Zagreb po emisiji t CO</w:t>
      </w:r>
      <w:r w:rsidRPr="000063FC">
        <w:rPr>
          <w:vertAlign w:val="subscript"/>
        </w:rPr>
        <w:t>2</w:t>
      </w:r>
      <w:r w:rsidRPr="000063FC">
        <w:t>/stanovniku ispod prosjeka 30 analiziranih europskih gradova ali, uzevši u obzir da ovim Referentnim inventarom emisija CO</w:t>
      </w:r>
      <w:r w:rsidRPr="000063FC">
        <w:rPr>
          <w:vertAlign w:val="subscript"/>
        </w:rPr>
        <w:t>2</w:t>
      </w:r>
      <w:r w:rsidRPr="000063FC">
        <w:t xml:space="preserve"> nije obuhvaćen sektor industrije, stvarni iznos t CO</w:t>
      </w:r>
      <w:r w:rsidRPr="000063FC">
        <w:rPr>
          <w:vertAlign w:val="subscript"/>
        </w:rPr>
        <w:t>2</w:t>
      </w:r>
      <w:r w:rsidRPr="000063FC">
        <w:t>/stanovniku u Gradu Zagrebu je znatno veći.</w:t>
      </w:r>
    </w:p>
    <w:p w:rsidR="005D0635" w:rsidRPr="000063FC" w:rsidRDefault="005D0635" w:rsidP="00772AF0">
      <w:pPr>
        <w:pStyle w:val="NoSpacing"/>
        <w:spacing w:line="276" w:lineRule="auto"/>
        <w:jc w:val="both"/>
        <w:rPr>
          <w:lang w:eastAsia="hr-HR"/>
        </w:rPr>
      </w:pPr>
    </w:p>
    <w:p w:rsidR="005D0635" w:rsidRPr="000063FC" w:rsidRDefault="005D0635" w:rsidP="00772AF0">
      <w:pPr>
        <w:pStyle w:val="NoSpacing"/>
        <w:spacing w:line="276" w:lineRule="auto"/>
        <w:jc w:val="both"/>
        <w:rPr>
          <w:lang w:eastAsia="hr-HR"/>
        </w:rPr>
      </w:pPr>
      <w:r w:rsidRPr="000063FC">
        <w:rPr>
          <w:lang w:eastAsia="hr-HR"/>
        </w:rPr>
        <w:t>Nadalje, za uspješnu provedbu Akcijskog plana vrlo je važna identifikacija sudionika i dionika čiji je detaljni popis kao i načini njihova sudjelovanja dan u poglavlju 7.</w:t>
      </w:r>
    </w:p>
    <w:p w:rsidR="005D0635" w:rsidRPr="000063FC" w:rsidRDefault="005D0635" w:rsidP="00772AF0">
      <w:pPr>
        <w:pStyle w:val="NoSpacing"/>
        <w:spacing w:line="276" w:lineRule="auto"/>
        <w:jc w:val="both"/>
        <w:rPr>
          <w:lang w:eastAsia="hr-HR"/>
        </w:rPr>
      </w:pPr>
    </w:p>
    <w:p w:rsidR="005D0635" w:rsidRPr="000063FC" w:rsidRDefault="005D0635" w:rsidP="00772AF0">
      <w:pPr>
        <w:pStyle w:val="NoSpacing"/>
        <w:spacing w:line="276" w:lineRule="auto"/>
        <w:jc w:val="both"/>
        <w:rPr>
          <w:lang w:eastAsia="hr-HR"/>
        </w:rPr>
      </w:pPr>
      <w:r w:rsidRPr="000063FC">
        <w:rPr>
          <w:lang w:eastAsia="hr-HR"/>
        </w:rPr>
        <w:t xml:space="preserve">Kao preduvjet za određivanje indikativnog cilja smanjenja </w:t>
      </w:r>
      <w:r w:rsidR="00155C9B" w:rsidRPr="000063FC">
        <w:rPr>
          <w:lang w:eastAsia="hr-HR"/>
        </w:rPr>
        <w:t xml:space="preserve">emisija </w:t>
      </w:r>
      <w:r w:rsidRPr="000063FC">
        <w:rPr>
          <w:lang w:eastAsia="hr-HR"/>
        </w:rPr>
        <w:t>CO</w:t>
      </w:r>
      <w:r w:rsidRPr="000063FC">
        <w:rPr>
          <w:vertAlign w:val="subscript"/>
          <w:lang w:eastAsia="hr-HR"/>
        </w:rPr>
        <w:t xml:space="preserve">2 </w:t>
      </w:r>
      <w:r w:rsidRPr="000063FC">
        <w:rPr>
          <w:lang w:eastAsia="hr-HR"/>
        </w:rPr>
        <w:t xml:space="preserve">do 2020. godine </w:t>
      </w:r>
      <w:r w:rsidR="00155C9B" w:rsidRPr="000063FC">
        <w:rPr>
          <w:lang w:eastAsia="hr-HR"/>
        </w:rPr>
        <w:t>dan je prijedlog mjera energetske učinkovitosti za sva tri sektora i njima pripadajuće podsektore kao i vremenski i financijski okvir njihove provedbe.</w:t>
      </w:r>
    </w:p>
    <w:p w:rsidR="005D0635" w:rsidRPr="000063FC" w:rsidRDefault="005D0635" w:rsidP="00772AF0">
      <w:pPr>
        <w:pStyle w:val="NoSpacing"/>
        <w:spacing w:line="276" w:lineRule="auto"/>
        <w:jc w:val="both"/>
        <w:rPr>
          <w:lang w:eastAsia="hr-HR"/>
        </w:rPr>
      </w:pPr>
    </w:p>
    <w:p w:rsidR="005D0635" w:rsidRPr="000063FC" w:rsidRDefault="005D0635" w:rsidP="00772AF0">
      <w:pPr>
        <w:pStyle w:val="NoSpacing"/>
        <w:spacing w:line="276" w:lineRule="auto"/>
        <w:jc w:val="both"/>
        <w:rPr>
          <w:lang w:eastAsia="hr-HR"/>
        </w:rPr>
      </w:pPr>
      <w:r w:rsidRPr="000063FC">
        <w:rPr>
          <w:lang w:eastAsia="hr-HR"/>
        </w:rPr>
        <w:t>Osnovne preporuke za uspješnu izradu i provedbu Akcijskog plana bazirane na ovim Podlogama su sljedeće:</w:t>
      </w:r>
    </w:p>
    <w:p w:rsidR="00155C9B" w:rsidRPr="000063FC" w:rsidRDefault="005D0635" w:rsidP="00772AF0">
      <w:pPr>
        <w:pStyle w:val="NoSpacing"/>
        <w:numPr>
          <w:ilvl w:val="0"/>
          <w:numId w:val="50"/>
        </w:numPr>
        <w:spacing w:line="276" w:lineRule="auto"/>
        <w:jc w:val="both"/>
        <w:rPr>
          <w:lang w:eastAsia="hr-HR"/>
        </w:rPr>
      </w:pPr>
      <w:r w:rsidRPr="000063FC">
        <w:rPr>
          <w:lang w:eastAsia="hr-HR"/>
        </w:rPr>
        <w:t xml:space="preserve">uvođenje </w:t>
      </w:r>
      <w:r w:rsidRPr="000063FC">
        <w:t>jedinstvene klasifikacije energetskih sektora i podsektora u skladu s predloženom k</w:t>
      </w:r>
      <w:r w:rsidR="00155C9B" w:rsidRPr="000063FC">
        <w:t>lasifikacijom Europske komisije;</w:t>
      </w:r>
    </w:p>
    <w:p w:rsidR="005D0635" w:rsidRPr="000063FC" w:rsidRDefault="00155C9B" w:rsidP="00772AF0">
      <w:pPr>
        <w:pStyle w:val="NoSpacing"/>
        <w:numPr>
          <w:ilvl w:val="0"/>
          <w:numId w:val="50"/>
        </w:numPr>
        <w:spacing w:line="276" w:lineRule="auto"/>
        <w:jc w:val="both"/>
        <w:rPr>
          <w:lang w:eastAsia="hr-HR"/>
        </w:rPr>
      </w:pPr>
      <w:r w:rsidRPr="000063FC">
        <w:t>prikupljanje energetskih parametara u skladu s uvedenom klasifikacijom;</w:t>
      </w:r>
    </w:p>
    <w:p w:rsidR="00155C9B" w:rsidRPr="000063FC" w:rsidRDefault="00155C9B" w:rsidP="00772AF0">
      <w:pPr>
        <w:pStyle w:val="NoSpacing"/>
        <w:numPr>
          <w:ilvl w:val="0"/>
          <w:numId w:val="50"/>
        </w:numPr>
        <w:spacing w:line="276" w:lineRule="auto"/>
        <w:jc w:val="both"/>
        <w:rPr>
          <w:lang w:eastAsia="hr-HR"/>
        </w:rPr>
      </w:pPr>
      <w:r w:rsidRPr="000063FC">
        <w:t>uspostava organizacijske strukture za provedbu Akcijskog plana;</w:t>
      </w:r>
    </w:p>
    <w:p w:rsidR="00155C9B" w:rsidRPr="000063FC" w:rsidRDefault="00155C9B" w:rsidP="00772AF0">
      <w:pPr>
        <w:pStyle w:val="NoSpacing"/>
        <w:numPr>
          <w:ilvl w:val="0"/>
          <w:numId w:val="50"/>
        </w:numPr>
        <w:spacing w:line="276" w:lineRule="auto"/>
        <w:jc w:val="both"/>
        <w:rPr>
          <w:lang w:eastAsia="hr-HR"/>
        </w:rPr>
      </w:pPr>
      <w:r w:rsidRPr="000063FC">
        <w:t>uključenje što većeg broja dionika u sve faze Procesa izrade, provedbe i praćenja Akcijskog plana;</w:t>
      </w:r>
    </w:p>
    <w:p w:rsidR="00155C9B" w:rsidRPr="000063FC" w:rsidRDefault="00155C9B" w:rsidP="00772AF0">
      <w:pPr>
        <w:pStyle w:val="NoSpacing"/>
        <w:numPr>
          <w:ilvl w:val="0"/>
          <w:numId w:val="50"/>
        </w:numPr>
        <w:spacing w:line="276" w:lineRule="auto"/>
        <w:jc w:val="both"/>
        <w:rPr>
          <w:lang w:eastAsia="hr-HR"/>
        </w:rPr>
      </w:pPr>
      <w:r w:rsidRPr="000063FC">
        <w:t>prihvaćanje predložene metodologije izrade Referentnog inventara emisija CO</w:t>
      </w:r>
      <w:r w:rsidRPr="000063FC">
        <w:rPr>
          <w:vertAlign w:val="subscript"/>
        </w:rPr>
        <w:t>2</w:t>
      </w:r>
      <w:r w:rsidRPr="000063FC">
        <w:t>;</w:t>
      </w:r>
    </w:p>
    <w:p w:rsidR="00155C9B" w:rsidRPr="000063FC" w:rsidRDefault="00155C9B" w:rsidP="00772AF0">
      <w:pPr>
        <w:pStyle w:val="NoSpacing"/>
        <w:numPr>
          <w:ilvl w:val="0"/>
          <w:numId w:val="50"/>
        </w:numPr>
        <w:spacing w:line="276" w:lineRule="auto"/>
        <w:jc w:val="both"/>
        <w:rPr>
          <w:lang w:eastAsia="hr-HR"/>
        </w:rPr>
      </w:pPr>
      <w:r w:rsidRPr="000063FC">
        <w:t xml:space="preserve">izrada </w:t>
      </w:r>
      <w:r w:rsidR="00AC1FEC" w:rsidRPr="000063FC">
        <w:t>novog Inventara emisija CO</w:t>
      </w:r>
      <w:r w:rsidR="00AC1FEC" w:rsidRPr="000063FC">
        <w:rPr>
          <w:vertAlign w:val="subscript"/>
        </w:rPr>
        <w:t>2</w:t>
      </w:r>
      <w:r w:rsidR="00AC1FEC" w:rsidRPr="000063FC">
        <w:t xml:space="preserve"> u prosjeku svake dvije godine;</w:t>
      </w:r>
    </w:p>
    <w:p w:rsidR="00AC1FEC" w:rsidRPr="000063FC" w:rsidRDefault="00AC1FEC" w:rsidP="00772AF0">
      <w:pPr>
        <w:pStyle w:val="NoSpacing"/>
        <w:numPr>
          <w:ilvl w:val="0"/>
          <w:numId w:val="50"/>
        </w:numPr>
        <w:spacing w:line="276" w:lineRule="auto"/>
        <w:jc w:val="both"/>
        <w:rPr>
          <w:lang w:eastAsia="hr-HR"/>
        </w:rPr>
      </w:pPr>
      <w:r w:rsidRPr="000063FC">
        <w:t>kontinuirano pratiti dinamiku i uspješnost provedbe predloženih mjera;</w:t>
      </w:r>
    </w:p>
    <w:p w:rsidR="00AC1FEC" w:rsidRPr="000063FC" w:rsidRDefault="00AC1FEC" w:rsidP="00772AF0">
      <w:pPr>
        <w:pStyle w:val="NoSpacing"/>
        <w:numPr>
          <w:ilvl w:val="0"/>
          <w:numId w:val="50"/>
        </w:numPr>
        <w:spacing w:line="276" w:lineRule="auto"/>
        <w:jc w:val="both"/>
        <w:rPr>
          <w:lang w:eastAsia="hr-HR"/>
        </w:rPr>
      </w:pPr>
      <w:r w:rsidRPr="000063FC">
        <w:t>o rezultatima provedbe Akcijskog plana</w:t>
      </w:r>
      <w:r w:rsidR="006514BB">
        <w:t xml:space="preserve"> obavještavanje Europske komisije na godišnjoj osnovi</w:t>
      </w:r>
      <w:r w:rsidRPr="000063FC">
        <w:t>.</w:t>
      </w:r>
    </w:p>
    <w:p w:rsidR="005D0635" w:rsidRPr="000063FC" w:rsidRDefault="005D0635" w:rsidP="003A7F32">
      <w:pPr>
        <w:pStyle w:val="NoSpacing"/>
        <w:jc w:val="both"/>
        <w:rPr>
          <w:lang w:eastAsia="hr-HR"/>
        </w:rPr>
      </w:pPr>
    </w:p>
    <w:p w:rsidR="00922B19" w:rsidRPr="000063FC" w:rsidRDefault="00922B19" w:rsidP="00922B19">
      <w:pPr>
        <w:pStyle w:val="NoSpacing"/>
        <w:rPr>
          <w:lang w:eastAsia="hr-HR"/>
        </w:rPr>
      </w:pPr>
    </w:p>
    <w:sectPr w:rsidR="00922B19" w:rsidRPr="000063FC" w:rsidSect="00B40362">
      <w:footerReference w:type="default" r:id="rId63"/>
      <w:pgSz w:w="11909" w:h="16834" w:code="9"/>
      <w:pgMar w:top="970" w:right="1418" w:bottom="1418" w:left="1418" w:header="1151"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443" w:rsidRDefault="00263443">
      <w:r>
        <w:separator/>
      </w:r>
    </w:p>
    <w:p w:rsidR="00263443" w:rsidRDefault="00263443"/>
  </w:endnote>
  <w:endnote w:type="continuationSeparator" w:id="0">
    <w:p w:rsidR="00263443" w:rsidRDefault="00263443">
      <w:r>
        <w:continuationSeparator/>
      </w:r>
    </w:p>
    <w:p w:rsidR="00263443" w:rsidRDefault="00263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RSwiss">
    <w:altName w:val="Arial"/>
    <w:panose1 w:val="00000000000000000000"/>
    <w:charset w:val="00"/>
    <w:family w:val="swiss"/>
    <w:notTrueType/>
    <w:pitch w:val="variable"/>
    <w:sig w:usb0="00000003" w:usb1="00000000" w:usb2="00000000" w:usb3="00000000" w:csb0="00000001" w:csb1="00000000"/>
  </w:font>
  <w:font w:name="CRO_Swiss-Normal">
    <w:altName w:val="Times New Roman"/>
    <w:charset w:val="00"/>
    <w:family w:val="auto"/>
    <w:pitch w:val="variable"/>
    <w:sig w:usb0="00000003" w:usb1="00000000" w:usb2="00000000" w:usb3="00000000" w:csb0="00000001" w:csb1="00000000"/>
  </w:font>
  <w:font w:name="Zurich BT">
    <w:panose1 w:val="00000000000000000000"/>
    <w:charset w:val="EE"/>
    <w:family w:val="swiss"/>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6F" w:rsidRDefault="00DC766F" w:rsidP="00DC6F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DC766F" w:rsidRDefault="00DC766F" w:rsidP="000B137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6F" w:rsidRDefault="00DC766F" w:rsidP="000B1372">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6F" w:rsidRDefault="00DC766F" w:rsidP="000B1372">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33335"/>
      <w:docPartObj>
        <w:docPartGallery w:val="Page Numbers (Bottom of Page)"/>
        <w:docPartUnique/>
      </w:docPartObj>
    </w:sdtPr>
    <w:sdtEndPr/>
    <w:sdtContent>
      <w:p w:rsidR="00DC766F" w:rsidRDefault="00F931D9">
        <w:pPr>
          <w:pStyle w:val="Footer"/>
          <w:jc w:val="right"/>
        </w:pPr>
        <w:r>
          <w:fldChar w:fldCharType="begin"/>
        </w:r>
        <w:r>
          <w:instrText xml:space="preserve"> PAGE   \* MERGEFORMAT </w:instrText>
        </w:r>
        <w:r>
          <w:fldChar w:fldCharType="separate"/>
        </w:r>
        <w:r w:rsidR="0078061E">
          <w:rPr>
            <w:noProof/>
          </w:rPr>
          <w:t>67</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443" w:rsidRDefault="00263443">
      <w:r>
        <w:separator/>
      </w:r>
    </w:p>
    <w:p w:rsidR="00263443" w:rsidRDefault="00263443"/>
  </w:footnote>
  <w:footnote w:type="continuationSeparator" w:id="0">
    <w:p w:rsidR="00263443" w:rsidRDefault="00263443">
      <w:r>
        <w:continuationSeparator/>
      </w:r>
    </w:p>
    <w:p w:rsidR="00263443" w:rsidRDefault="00263443"/>
  </w:footnote>
  <w:footnote w:id="1">
    <w:p w:rsidR="00DC766F" w:rsidRPr="00FC7ACE" w:rsidRDefault="00DC766F" w:rsidP="00C0691E">
      <w:pPr>
        <w:numPr>
          <w:ilvl w:val="12"/>
          <w:numId w:val="0"/>
        </w:numPr>
        <w:rPr>
          <w:sz w:val="16"/>
          <w:szCs w:val="16"/>
        </w:rPr>
      </w:pPr>
      <w:r w:rsidRPr="00FC7ACE">
        <w:rPr>
          <w:rStyle w:val="FootnoteReference"/>
          <w:sz w:val="16"/>
          <w:szCs w:val="16"/>
        </w:rPr>
        <w:footnoteRef/>
      </w:r>
      <w:r w:rsidRPr="00FC7ACE">
        <w:rPr>
          <w:sz w:val="16"/>
          <w:szCs w:val="16"/>
        </w:rPr>
        <w:t xml:space="preserve"> IPCC (2000) </w:t>
      </w:r>
      <w:r w:rsidRPr="00FC7ACE">
        <w:rPr>
          <w:i/>
          <w:sz w:val="16"/>
          <w:szCs w:val="16"/>
        </w:rPr>
        <w:t>Good Practice Guidance and Uncertainty Management in National</w:t>
      </w:r>
      <w:r w:rsidRPr="00FC7ACE">
        <w:rPr>
          <w:sz w:val="16"/>
          <w:szCs w:val="16"/>
        </w:rPr>
        <w:t xml:space="preserve"> </w:t>
      </w:r>
      <w:r w:rsidRPr="00FC7ACE">
        <w:rPr>
          <w:i/>
          <w:sz w:val="16"/>
          <w:szCs w:val="16"/>
        </w:rPr>
        <w:t>Greenhouse Gas Inventories</w:t>
      </w:r>
      <w:r w:rsidRPr="00FC7ACE">
        <w:rPr>
          <w:sz w:val="16"/>
          <w:szCs w:val="16"/>
        </w:rPr>
        <w:t>, Japan</w:t>
      </w:r>
    </w:p>
    <w:p w:rsidR="00DC766F" w:rsidRPr="00FC7ACE" w:rsidRDefault="00DC766F" w:rsidP="00C0691E">
      <w:pPr>
        <w:numPr>
          <w:ilvl w:val="12"/>
          <w:numId w:val="0"/>
        </w:numPr>
        <w:rPr>
          <w:sz w:val="16"/>
          <w:szCs w:val="16"/>
        </w:rPr>
      </w:pPr>
      <w:r w:rsidRPr="00FC7ACE">
        <w:rPr>
          <w:sz w:val="16"/>
          <w:szCs w:val="16"/>
        </w:rPr>
        <w:t xml:space="preserve">IPCC/UNEP/OECD/IEA (1997) </w:t>
      </w:r>
      <w:r w:rsidRPr="00FC7ACE">
        <w:rPr>
          <w:i/>
          <w:sz w:val="16"/>
          <w:szCs w:val="16"/>
        </w:rPr>
        <w:t>Greenhouse Gas Inventory – Reference Manual</w:t>
      </w:r>
      <w:r w:rsidRPr="00FC7ACE">
        <w:rPr>
          <w:sz w:val="16"/>
          <w:szCs w:val="16"/>
        </w:rPr>
        <w:t>, Revised 1996 IPCC Guidelines for National Greenhouse Inventories, Volume 3, United Kingdom</w:t>
      </w:r>
    </w:p>
    <w:p w:rsidR="00DC766F" w:rsidRPr="00C0691E" w:rsidRDefault="00DC766F" w:rsidP="00C0691E">
      <w:pPr>
        <w:numPr>
          <w:ilvl w:val="12"/>
          <w:numId w:val="0"/>
        </w:numPr>
        <w:rPr>
          <w:sz w:val="16"/>
          <w:szCs w:val="16"/>
        </w:rPr>
      </w:pPr>
    </w:p>
    <w:p w:rsidR="00DC766F" w:rsidRPr="00C0691E" w:rsidRDefault="00DC766F" w:rsidP="0036551B">
      <w:pPr>
        <w:numPr>
          <w:ilvl w:val="12"/>
          <w:numId w:val="0"/>
        </w:numPr>
        <w:rPr>
          <w:sz w:val="16"/>
          <w:szCs w:val="16"/>
        </w:rPr>
      </w:pPr>
    </w:p>
  </w:footnote>
  <w:footnote w:id="2">
    <w:p w:rsidR="00DC766F" w:rsidRDefault="00DC766F" w:rsidP="00CB5246">
      <w:pPr>
        <w:pStyle w:val="FootnoteText"/>
      </w:pPr>
      <w:r w:rsidRPr="00997810">
        <w:rPr>
          <w:rStyle w:val="FootnoteReference"/>
          <w:sz w:val="16"/>
          <w:szCs w:val="16"/>
        </w:rPr>
        <w:footnoteRef/>
      </w:r>
      <w:r w:rsidRPr="00997810">
        <w:rPr>
          <w:sz w:val="16"/>
          <w:szCs w:val="16"/>
        </w:rPr>
        <w:t xml:space="preserve"> EKONERG:</w:t>
      </w:r>
      <w:r>
        <w:rPr>
          <w:sz w:val="16"/>
          <w:szCs w:val="16"/>
        </w:rPr>
        <w:t xml:space="preserve"> Program</w:t>
      </w:r>
      <w:r w:rsidRPr="00E17A29">
        <w:rPr>
          <w:sz w:val="16"/>
          <w:szCs w:val="16"/>
          <w:lang w:val="hr-HR"/>
        </w:rPr>
        <w:t xml:space="preserve"> smanjivanja</w:t>
      </w:r>
      <w:r>
        <w:rPr>
          <w:sz w:val="16"/>
          <w:szCs w:val="16"/>
        </w:rPr>
        <w:t xml:space="preserve"> emisija SO</w:t>
      </w:r>
      <w:r w:rsidRPr="00992A98">
        <w:rPr>
          <w:sz w:val="16"/>
          <w:szCs w:val="16"/>
          <w:vertAlign w:val="subscript"/>
        </w:rPr>
        <w:t>2</w:t>
      </w:r>
      <w:r>
        <w:rPr>
          <w:sz w:val="16"/>
          <w:szCs w:val="16"/>
        </w:rPr>
        <w:t>, NO</w:t>
      </w:r>
      <w:r w:rsidRPr="00992A98">
        <w:rPr>
          <w:sz w:val="16"/>
          <w:szCs w:val="16"/>
          <w:vertAlign w:val="subscript"/>
        </w:rPr>
        <w:t>X</w:t>
      </w:r>
      <w:r>
        <w:rPr>
          <w:sz w:val="16"/>
          <w:szCs w:val="16"/>
        </w:rPr>
        <w:t xml:space="preserve"> i krutih čestica u zrak i usklađivanje postojećih velikih uređaja za loženje i plinskih turbina s graničnim vrijednostima emisija, prosinac 2007.</w:t>
      </w:r>
    </w:p>
  </w:footnote>
  <w:footnote w:id="3">
    <w:p w:rsidR="00DC766F" w:rsidRDefault="00DC766F" w:rsidP="00CB5246">
      <w:pPr>
        <w:pStyle w:val="FootnoteText"/>
      </w:pPr>
      <w:r w:rsidRPr="00992A98">
        <w:rPr>
          <w:rStyle w:val="FootnoteReference"/>
          <w:sz w:val="16"/>
          <w:szCs w:val="16"/>
        </w:rPr>
        <w:footnoteRef/>
      </w:r>
      <w:r w:rsidRPr="00992A98">
        <w:rPr>
          <w:sz w:val="16"/>
          <w:szCs w:val="16"/>
        </w:rPr>
        <w:t xml:space="preserve"> EKONERG:</w:t>
      </w:r>
      <w:r>
        <w:rPr>
          <w:sz w:val="16"/>
          <w:szCs w:val="16"/>
        </w:rPr>
        <w:t xml:space="preserve"> National Inventory Report 2009, Submission to the United Nations Framework Convention on Climate Change, srpanj 2009</w:t>
      </w:r>
    </w:p>
  </w:footnote>
  <w:footnote w:id="4">
    <w:p w:rsidR="00DC766F" w:rsidRDefault="00DC766F" w:rsidP="00CB5246">
      <w:pPr>
        <w:pStyle w:val="FootnoteText"/>
      </w:pPr>
      <w:r w:rsidRPr="00564F7C">
        <w:rPr>
          <w:rStyle w:val="FootnoteReference"/>
          <w:sz w:val="16"/>
          <w:szCs w:val="16"/>
        </w:rPr>
        <w:footnoteRef/>
      </w:r>
      <w:r w:rsidRPr="00564F7C">
        <w:rPr>
          <w:sz w:val="16"/>
          <w:szCs w:val="16"/>
        </w:rPr>
        <w:t xml:space="preserve"> EKONERG: National Inventory Report 2009, Submission to the United Nations Framework Convention on Climate Change, srpanj 2009</w:t>
      </w:r>
    </w:p>
  </w:footnote>
  <w:footnote w:id="5">
    <w:p w:rsidR="00DC766F" w:rsidRDefault="00DC766F" w:rsidP="00CB5246">
      <w:pPr>
        <w:pStyle w:val="FootnoteText"/>
      </w:pPr>
      <w:r w:rsidRPr="00564F7C">
        <w:rPr>
          <w:rStyle w:val="FootnoteReference"/>
          <w:sz w:val="16"/>
          <w:szCs w:val="16"/>
        </w:rPr>
        <w:footnoteRef/>
      </w:r>
      <w:r w:rsidRPr="00564F7C">
        <w:rPr>
          <w:sz w:val="16"/>
          <w:szCs w:val="16"/>
        </w:rPr>
        <w:t xml:space="preserve"> Energetski institut Hrvoje Požar: Energija u Hrvatskoj 2004, 2005 i 2006</w:t>
      </w:r>
    </w:p>
  </w:footnote>
  <w:footnote w:id="6">
    <w:p w:rsidR="00DC766F" w:rsidRDefault="00DC766F" w:rsidP="00CB5246">
      <w:pPr>
        <w:pStyle w:val="FootnoteText"/>
      </w:pPr>
      <w:r w:rsidRPr="007D38D8">
        <w:rPr>
          <w:rStyle w:val="FootnoteReference"/>
          <w:sz w:val="16"/>
          <w:szCs w:val="16"/>
        </w:rPr>
        <w:footnoteRef/>
      </w:r>
      <w:r w:rsidRPr="007D38D8">
        <w:rPr>
          <w:sz w:val="16"/>
          <w:szCs w:val="16"/>
        </w:rPr>
        <w:t xml:space="preserve"> Autor: dr.sc. Branko Vuk, Energetski institut Hrvoje Požar.</w:t>
      </w:r>
    </w:p>
  </w:footnote>
  <w:footnote w:id="7">
    <w:p w:rsidR="00DC766F" w:rsidRPr="007D38D8" w:rsidRDefault="00DC766F" w:rsidP="00CB5246">
      <w:pPr>
        <w:pStyle w:val="FootnoteText"/>
        <w:rPr>
          <w:sz w:val="16"/>
          <w:szCs w:val="16"/>
        </w:rPr>
      </w:pPr>
      <w:r w:rsidRPr="007D38D8">
        <w:rPr>
          <w:rStyle w:val="FootnoteReference"/>
          <w:sz w:val="16"/>
          <w:szCs w:val="16"/>
        </w:rPr>
        <w:footnoteRef/>
      </w:r>
      <w:r w:rsidRPr="007D38D8">
        <w:rPr>
          <w:sz w:val="16"/>
          <w:szCs w:val="16"/>
        </w:rPr>
        <w:t xml:space="preserve"> Gustoć</w:t>
      </w:r>
      <w:r>
        <w:rPr>
          <w:sz w:val="16"/>
          <w:szCs w:val="16"/>
        </w:rPr>
        <w:t xml:space="preserve">a loživog ulja </w:t>
      </w:r>
      <w:r w:rsidRPr="007D38D8">
        <w:rPr>
          <w:sz w:val="16"/>
          <w:szCs w:val="16"/>
        </w:rPr>
        <w:t>preuzet</w:t>
      </w:r>
      <w:r>
        <w:rPr>
          <w:sz w:val="16"/>
          <w:szCs w:val="16"/>
        </w:rPr>
        <w:t>a</w:t>
      </w:r>
      <w:r w:rsidRPr="007D38D8">
        <w:rPr>
          <w:sz w:val="16"/>
          <w:szCs w:val="16"/>
        </w:rPr>
        <w:t xml:space="preserve"> </w:t>
      </w:r>
      <w:r>
        <w:rPr>
          <w:sz w:val="16"/>
          <w:szCs w:val="16"/>
        </w:rPr>
        <w:t>je</w:t>
      </w:r>
      <w:r w:rsidRPr="007D38D8">
        <w:rPr>
          <w:sz w:val="16"/>
          <w:szCs w:val="16"/>
        </w:rPr>
        <w:t xml:space="preserve"> iz publikacije 'Kataloga goriva', INA Industrija nafte d.d., izdanje 03, svibanj 2008.  </w:t>
      </w:r>
    </w:p>
    <w:p w:rsidR="00DC766F" w:rsidRDefault="00DC766F" w:rsidP="00CB5246">
      <w:pPr>
        <w:pStyle w:val="FootnoteText"/>
      </w:pPr>
      <w:r>
        <w:rPr>
          <w:sz w:val="16"/>
          <w:szCs w:val="16"/>
        </w:rPr>
        <w:t xml:space="preserve">    </w:t>
      </w:r>
      <w:r w:rsidRPr="007D38D8">
        <w:rPr>
          <w:sz w:val="16"/>
          <w:szCs w:val="16"/>
        </w:rPr>
        <w:t xml:space="preserve">Gustoća prirodnog plina preuzeta je iz sigurno-tehničkog lista </w:t>
      </w:r>
      <w:r>
        <w:rPr>
          <w:sz w:val="16"/>
          <w:szCs w:val="16"/>
        </w:rPr>
        <w:t xml:space="preserve">za </w:t>
      </w:r>
      <w:r w:rsidRPr="007D38D8">
        <w:rPr>
          <w:sz w:val="16"/>
          <w:szCs w:val="16"/>
        </w:rPr>
        <w:t>prirodni plin (</w:t>
      </w:r>
      <w:hyperlink r:id="rId1" w:history="1">
        <w:r w:rsidRPr="007D38D8">
          <w:rPr>
            <w:rStyle w:val="Hyperlink"/>
            <w:sz w:val="16"/>
            <w:szCs w:val="16"/>
          </w:rPr>
          <w:t>http://www.ina.hr/default.aspx?id=1057</w:t>
        </w:r>
      </w:hyperlink>
      <w:r w:rsidRPr="007D38D8">
        <w:rPr>
          <w:sz w:val="16"/>
          <w:szCs w:val="16"/>
        </w:rPr>
        <w:t>)</w:t>
      </w:r>
    </w:p>
  </w:footnote>
  <w:footnote w:id="8">
    <w:p w:rsidR="00DC766F" w:rsidRPr="00FC7ACE" w:rsidRDefault="00DC766F" w:rsidP="00CB5246">
      <w:pPr>
        <w:numPr>
          <w:ilvl w:val="12"/>
          <w:numId w:val="0"/>
        </w:numPr>
        <w:rPr>
          <w:sz w:val="16"/>
          <w:szCs w:val="16"/>
        </w:rPr>
      </w:pPr>
      <w:r w:rsidRPr="00FC7ACE">
        <w:rPr>
          <w:rStyle w:val="FootnoteReference"/>
          <w:sz w:val="16"/>
          <w:szCs w:val="16"/>
        </w:rPr>
        <w:footnoteRef/>
      </w:r>
      <w:r w:rsidRPr="00FC7ACE">
        <w:rPr>
          <w:sz w:val="16"/>
          <w:szCs w:val="16"/>
        </w:rPr>
        <w:t xml:space="preserve"> IPCC (2000) </w:t>
      </w:r>
      <w:r w:rsidRPr="00FC7ACE">
        <w:rPr>
          <w:i/>
          <w:sz w:val="16"/>
          <w:szCs w:val="16"/>
        </w:rPr>
        <w:t>Good Practice Guidance and Uncertainty Management in National</w:t>
      </w:r>
      <w:r w:rsidRPr="00FC7ACE">
        <w:rPr>
          <w:sz w:val="16"/>
          <w:szCs w:val="16"/>
        </w:rPr>
        <w:t xml:space="preserve"> </w:t>
      </w:r>
      <w:r w:rsidRPr="00FC7ACE">
        <w:rPr>
          <w:i/>
          <w:sz w:val="16"/>
          <w:szCs w:val="16"/>
        </w:rPr>
        <w:t>Greenhouse Gas Inventories</w:t>
      </w:r>
      <w:r w:rsidRPr="00FC7ACE">
        <w:rPr>
          <w:sz w:val="16"/>
          <w:szCs w:val="16"/>
        </w:rPr>
        <w:t>, Japan</w:t>
      </w:r>
    </w:p>
    <w:p w:rsidR="00DC766F" w:rsidRPr="00FC7ACE" w:rsidRDefault="00DC766F" w:rsidP="00CB5246">
      <w:pPr>
        <w:numPr>
          <w:ilvl w:val="12"/>
          <w:numId w:val="0"/>
        </w:numPr>
        <w:rPr>
          <w:sz w:val="16"/>
          <w:szCs w:val="16"/>
        </w:rPr>
      </w:pPr>
      <w:r w:rsidRPr="00FC7ACE">
        <w:rPr>
          <w:sz w:val="16"/>
          <w:szCs w:val="16"/>
        </w:rPr>
        <w:t xml:space="preserve">IPCC/UNEP/OECD/IEA (1997) </w:t>
      </w:r>
      <w:r w:rsidRPr="00FC7ACE">
        <w:rPr>
          <w:i/>
          <w:sz w:val="16"/>
          <w:szCs w:val="16"/>
        </w:rPr>
        <w:t>Greenhouse Gas Inventory – Reference Manual</w:t>
      </w:r>
      <w:r w:rsidRPr="00FC7ACE">
        <w:rPr>
          <w:sz w:val="16"/>
          <w:szCs w:val="16"/>
        </w:rPr>
        <w:t>, Revised 1996 IPCC Guidelines for National Greenhouse Inventories, Volume 3, United Kingdom</w:t>
      </w:r>
    </w:p>
    <w:p w:rsidR="00DC766F" w:rsidRDefault="00DC766F" w:rsidP="00CB5246">
      <w:pPr>
        <w:numPr>
          <w:ilvl w:val="12"/>
          <w:numId w:val="0"/>
        </w:numPr>
      </w:pPr>
    </w:p>
  </w:footnote>
  <w:footnote w:id="9">
    <w:p w:rsidR="00DC766F" w:rsidRPr="00032C5D" w:rsidRDefault="00DC766F" w:rsidP="00B1382D">
      <w:pPr>
        <w:pStyle w:val="FootnoteText"/>
        <w:rPr>
          <w:lang w:val="hr-HR"/>
        </w:rPr>
      </w:pPr>
      <w:r w:rsidRPr="00032C5D">
        <w:rPr>
          <w:rStyle w:val="FootnoteReference"/>
          <w:sz w:val="16"/>
          <w:szCs w:val="16"/>
          <w:lang w:val="hr-HR"/>
        </w:rPr>
        <w:footnoteRef/>
      </w:r>
      <w:r w:rsidRPr="00032C5D">
        <w:rPr>
          <w:sz w:val="16"/>
          <w:szCs w:val="16"/>
          <w:lang w:val="hr-HR"/>
        </w:rPr>
        <w:t xml:space="preserve"> Dr.sc. Branko Vuk: Nacionalna energetska bilanca za 2008. godinu, Energetski Institut Hrvoje Požar</w:t>
      </w:r>
    </w:p>
  </w:footnote>
  <w:footnote w:id="10">
    <w:p w:rsidR="00DC766F" w:rsidRPr="00032C5D" w:rsidRDefault="00DC766F" w:rsidP="00B1382D">
      <w:pPr>
        <w:numPr>
          <w:ilvl w:val="12"/>
          <w:numId w:val="0"/>
        </w:numPr>
        <w:rPr>
          <w:sz w:val="16"/>
          <w:szCs w:val="16"/>
        </w:rPr>
      </w:pPr>
      <w:r w:rsidRPr="00032C5D">
        <w:rPr>
          <w:rStyle w:val="FootnoteReference"/>
          <w:sz w:val="16"/>
          <w:szCs w:val="16"/>
        </w:rPr>
        <w:footnoteRef/>
      </w:r>
      <w:r w:rsidRPr="00032C5D">
        <w:rPr>
          <w:sz w:val="16"/>
          <w:szCs w:val="16"/>
        </w:rPr>
        <w:t xml:space="preserve"> IPCC (2000) </w:t>
      </w:r>
      <w:r w:rsidRPr="00032C5D">
        <w:rPr>
          <w:i/>
          <w:sz w:val="16"/>
          <w:szCs w:val="16"/>
        </w:rPr>
        <w:t>Good Practice Guidance and Uncertainty Management in National</w:t>
      </w:r>
      <w:r w:rsidRPr="00032C5D">
        <w:rPr>
          <w:sz w:val="16"/>
          <w:szCs w:val="16"/>
        </w:rPr>
        <w:t xml:space="preserve"> </w:t>
      </w:r>
      <w:r w:rsidRPr="00032C5D">
        <w:rPr>
          <w:i/>
          <w:sz w:val="16"/>
          <w:szCs w:val="16"/>
        </w:rPr>
        <w:t>Greenhouse Gas Inventories</w:t>
      </w:r>
      <w:r w:rsidRPr="00032C5D">
        <w:rPr>
          <w:sz w:val="16"/>
          <w:szCs w:val="16"/>
        </w:rPr>
        <w:t>, Japan</w:t>
      </w:r>
    </w:p>
    <w:p w:rsidR="00DC766F" w:rsidRPr="00032C5D" w:rsidRDefault="00DC766F" w:rsidP="00B1382D">
      <w:pPr>
        <w:pStyle w:val="FootnoteText"/>
        <w:rPr>
          <w:lang w:val="hr-HR"/>
        </w:rPr>
      </w:pPr>
      <w:r w:rsidRPr="00032C5D">
        <w:rPr>
          <w:sz w:val="16"/>
          <w:szCs w:val="16"/>
          <w:lang w:val="hr-HR"/>
        </w:rPr>
        <w:t xml:space="preserve">IPCC/UNEP/OECD/IEA (1997) </w:t>
      </w:r>
      <w:r w:rsidRPr="00032C5D">
        <w:rPr>
          <w:i/>
          <w:sz w:val="16"/>
          <w:szCs w:val="16"/>
          <w:lang w:val="hr-HR"/>
        </w:rPr>
        <w:t>Greenhouse Gas Inventory – Reference Manual</w:t>
      </w:r>
      <w:r w:rsidRPr="00032C5D">
        <w:rPr>
          <w:sz w:val="16"/>
          <w:szCs w:val="16"/>
          <w:lang w:val="hr-HR"/>
        </w:rPr>
        <w:t>, Revised 1996 IPCC Guidelines for National Greenhouse Inventories, Volume 3, United Kingdom</w:t>
      </w:r>
    </w:p>
  </w:footnote>
  <w:footnote w:id="11">
    <w:p w:rsidR="00DC766F" w:rsidRPr="00032C5D" w:rsidRDefault="00DC766F" w:rsidP="00067A83">
      <w:pPr>
        <w:numPr>
          <w:ilvl w:val="12"/>
          <w:numId w:val="0"/>
        </w:numPr>
        <w:rPr>
          <w:sz w:val="16"/>
          <w:szCs w:val="16"/>
        </w:rPr>
      </w:pPr>
      <w:r w:rsidRPr="00032C5D">
        <w:rPr>
          <w:rStyle w:val="FootnoteReference"/>
          <w:sz w:val="16"/>
          <w:szCs w:val="16"/>
        </w:rPr>
        <w:footnoteRef/>
      </w:r>
      <w:r w:rsidRPr="00032C5D">
        <w:rPr>
          <w:sz w:val="16"/>
          <w:szCs w:val="16"/>
        </w:rPr>
        <w:t xml:space="preserve"> IPCC (2000) </w:t>
      </w:r>
      <w:r w:rsidRPr="00032C5D">
        <w:rPr>
          <w:i/>
          <w:sz w:val="16"/>
          <w:szCs w:val="16"/>
        </w:rPr>
        <w:t>Good Practice Guidance and Uncertainty Management in National</w:t>
      </w:r>
      <w:r w:rsidRPr="00032C5D">
        <w:rPr>
          <w:sz w:val="16"/>
          <w:szCs w:val="16"/>
        </w:rPr>
        <w:t xml:space="preserve"> </w:t>
      </w:r>
      <w:r w:rsidRPr="00032C5D">
        <w:rPr>
          <w:i/>
          <w:sz w:val="16"/>
          <w:szCs w:val="16"/>
        </w:rPr>
        <w:t>Greenhouse Gas Inventories</w:t>
      </w:r>
      <w:r w:rsidRPr="00032C5D">
        <w:rPr>
          <w:sz w:val="16"/>
          <w:szCs w:val="16"/>
        </w:rPr>
        <w:t>, Japan</w:t>
      </w:r>
    </w:p>
    <w:p w:rsidR="00DC766F" w:rsidRPr="00032C5D" w:rsidRDefault="00DC766F" w:rsidP="00067A83">
      <w:pPr>
        <w:numPr>
          <w:ilvl w:val="12"/>
          <w:numId w:val="0"/>
        </w:numPr>
      </w:pPr>
      <w:r w:rsidRPr="00032C5D">
        <w:rPr>
          <w:sz w:val="16"/>
          <w:szCs w:val="16"/>
        </w:rPr>
        <w:t xml:space="preserve">IPCC/UNEP/OECD/IEA (1997) </w:t>
      </w:r>
      <w:r w:rsidRPr="00032C5D">
        <w:rPr>
          <w:i/>
          <w:sz w:val="16"/>
          <w:szCs w:val="16"/>
        </w:rPr>
        <w:t>Greenhouse Gas Inventory – Reference Manual</w:t>
      </w:r>
      <w:r w:rsidRPr="00032C5D">
        <w:rPr>
          <w:sz w:val="16"/>
          <w:szCs w:val="16"/>
        </w:rPr>
        <w:t>, Revised 1996 IPCC Guidelines for National Greenhouse Inventories, Volume 3, United Kingdom</w:t>
      </w:r>
    </w:p>
  </w:footnote>
  <w:footnote w:id="12">
    <w:p w:rsidR="00DC766F" w:rsidRPr="00032C5D" w:rsidRDefault="00DC766F" w:rsidP="004034ED">
      <w:pPr>
        <w:pStyle w:val="FootnoteText"/>
        <w:rPr>
          <w:sz w:val="16"/>
          <w:szCs w:val="16"/>
          <w:lang w:val="hr-HR"/>
        </w:rPr>
      </w:pPr>
      <w:r w:rsidRPr="00032C5D">
        <w:rPr>
          <w:rStyle w:val="FootnoteReference"/>
          <w:sz w:val="16"/>
          <w:szCs w:val="16"/>
          <w:lang w:val="hr-HR"/>
        </w:rPr>
        <w:footnoteRef/>
      </w:r>
      <w:r w:rsidRPr="00032C5D">
        <w:rPr>
          <w:sz w:val="16"/>
          <w:szCs w:val="16"/>
          <w:lang w:val="hr-HR"/>
        </w:rPr>
        <w:t xml:space="preserve"> Gustoća loživog ulja preuzeta je iz publikacije 'Kataloga goriva', INA Industrija nafte d.d., izdanje 03, svibanj 2008.  </w:t>
      </w:r>
    </w:p>
    <w:p w:rsidR="00DC766F" w:rsidRPr="00032C5D" w:rsidRDefault="00DC766F" w:rsidP="004034ED">
      <w:pPr>
        <w:pStyle w:val="FootnoteText"/>
        <w:rPr>
          <w:lang w:val="hr-HR"/>
        </w:rPr>
      </w:pPr>
      <w:r w:rsidRPr="00032C5D">
        <w:rPr>
          <w:sz w:val="16"/>
          <w:szCs w:val="16"/>
          <w:lang w:val="hr-HR"/>
        </w:rPr>
        <w:t xml:space="preserve">    Gustoća prirodnog plina preuzeta je iz sigurno-tehničkog lista za prirodni plin (</w:t>
      </w:r>
      <w:hyperlink r:id="rId2" w:history="1">
        <w:r w:rsidRPr="00032C5D">
          <w:rPr>
            <w:rStyle w:val="Hyperlink"/>
            <w:sz w:val="16"/>
            <w:szCs w:val="16"/>
            <w:lang w:val="hr-HR"/>
          </w:rPr>
          <w:t>http://www.ina.hr/default.aspx?id=1057</w:t>
        </w:r>
      </w:hyperlink>
      <w:r w:rsidRPr="00032C5D">
        <w:rPr>
          <w:sz w:val="16"/>
          <w:szCs w:val="16"/>
          <w:lang w:val="hr-HR"/>
        </w:rPr>
        <w:t>)</w:t>
      </w:r>
    </w:p>
  </w:footnote>
  <w:footnote w:id="13">
    <w:p w:rsidR="00DC766F" w:rsidRPr="00032C5D" w:rsidRDefault="00DC766F" w:rsidP="008B2E49">
      <w:pPr>
        <w:pStyle w:val="FootnoteText"/>
        <w:rPr>
          <w:lang w:val="hr-HR"/>
        </w:rPr>
      </w:pPr>
      <w:r w:rsidRPr="00032C5D">
        <w:rPr>
          <w:rStyle w:val="FootnoteReference"/>
          <w:sz w:val="16"/>
          <w:szCs w:val="16"/>
          <w:lang w:val="hr-HR"/>
        </w:rPr>
        <w:footnoteRef/>
      </w:r>
      <w:r w:rsidRPr="00032C5D">
        <w:rPr>
          <w:sz w:val="16"/>
          <w:szCs w:val="16"/>
          <w:lang w:val="hr-HR"/>
        </w:rPr>
        <w:t xml:space="preserve"> EKONERG: National inventory report, 2009</w:t>
      </w:r>
    </w:p>
  </w:footnote>
  <w:footnote w:id="14">
    <w:p w:rsidR="00DC766F" w:rsidRPr="00032C5D" w:rsidRDefault="00DC766F" w:rsidP="008B2E49">
      <w:pPr>
        <w:pStyle w:val="FootnoteText"/>
        <w:rPr>
          <w:lang w:val="hr-HR"/>
        </w:rPr>
      </w:pPr>
      <w:r w:rsidRPr="00032C5D">
        <w:rPr>
          <w:rStyle w:val="FootnoteReference"/>
          <w:sz w:val="16"/>
          <w:szCs w:val="16"/>
          <w:lang w:val="hr-HR"/>
        </w:rPr>
        <w:footnoteRef/>
      </w:r>
      <w:r w:rsidRPr="00032C5D">
        <w:rPr>
          <w:sz w:val="16"/>
          <w:szCs w:val="16"/>
          <w:lang w:val="hr-HR"/>
        </w:rPr>
        <w:t xml:space="preserve"> EKONERG: Uvođenje biodizela u javni gradski prijevoz Grada Zagreba, 2006</w:t>
      </w:r>
    </w:p>
  </w:footnote>
  <w:footnote w:id="15">
    <w:p w:rsidR="00DC766F" w:rsidRPr="00032C5D" w:rsidRDefault="00DC766F" w:rsidP="008B2E49">
      <w:pPr>
        <w:pStyle w:val="FootnoteText"/>
        <w:rPr>
          <w:lang w:val="hr-HR"/>
        </w:rPr>
      </w:pPr>
      <w:r w:rsidRPr="00032C5D">
        <w:rPr>
          <w:rStyle w:val="FootnoteReference"/>
          <w:sz w:val="16"/>
          <w:szCs w:val="16"/>
          <w:lang w:val="hr-HR"/>
        </w:rPr>
        <w:footnoteRef/>
      </w:r>
      <w:r w:rsidRPr="00032C5D">
        <w:rPr>
          <w:sz w:val="16"/>
          <w:szCs w:val="16"/>
          <w:lang w:val="hr-HR"/>
        </w:rPr>
        <w:t xml:space="preserve"> EKONERG: Katastar emisija u okoliš (KEO) Grada Zagreba za stacionarene izvore onečišćenja zraka i cestovni promet, 1999. </w:t>
      </w:r>
    </w:p>
  </w:footnote>
  <w:footnote w:id="16">
    <w:p w:rsidR="00DC766F" w:rsidRPr="00032C5D" w:rsidRDefault="00DC766F" w:rsidP="008B2E49">
      <w:pPr>
        <w:pStyle w:val="FootnoteText"/>
        <w:rPr>
          <w:lang w:val="hr-HR"/>
        </w:rPr>
      </w:pPr>
      <w:r w:rsidRPr="00032C5D">
        <w:rPr>
          <w:rStyle w:val="FootnoteReference"/>
          <w:sz w:val="16"/>
          <w:szCs w:val="16"/>
          <w:lang w:val="hr-HR"/>
        </w:rPr>
        <w:footnoteRef/>
      </w:r>
      <w:r w:rsidRPr="00032C5D">
        <w:rPr>
          <w:sz w:val="16"/>
          <w:szCs w:val="16"/>
          <w:lang w:val="hr-HR"/>
        </w:rPr>
        <w:t xml:space="preserve"> EKONERG: Katastar emisija u okoliš (KEO) Grada Zagreba za stacionarene izvore onečišćenja zraka i cestovni promet, 1999</w:t>
      </w:r>
    </w:p>
  </w:footnote>
  <w:footnote w:id="17">
    <w:p w:rsidR="00DC766F" w:rsidRPr="00032C5D" w:rsidRDefault="00DC766F" w:rsidP="008B2E49">
      <w:pPr>
        <w:pStyle w:val="FootnoteText"/>
        <w:rPr>
          <w:lang w:val="hr-HR"/>
        </w:rPr>
      </w:pPr>
      <w:r w:rsidRPr="00032C5D">
        <w:rPr>
          <w:rStyle w:val="FootnoteReference"/>
          <w:sz w:val="16"/>
          <w:szCs w:val="16"/>
          <w:lang w:val="hr-HR"/>
        </w:rPr>
        <w:footnoteRef/>
      </w:r>
      <w:r w:rsidRPr="00032C5D">
        <w:rPr>
          <w:sz w:val="16"/>
          <w:szCs w:val="16"/>
          <w:lang w:val="hr-HR"/>
        </w:rPr>
        <w:t xml:space="preserve"> Ukupan broj teretnih vozila je zbroj grupe teretna i radna vozila te grupe ostala vozila </w:t>
      </w:r>
    </w:p>
  </w:footnote>
  <w:footnote w:id="18">
    <w:p w:rsidR="00DC766F" w:rsidRPr="00032C5D" w:rsidRDefault="00DC766F" w:rsidP="00753E04">
      <w:pPr>
        <w:numPr>
          <w:ilvl w:val="12"/>
          <w:numId w:val="0"/>
        </w:numPr>
        <w:rPr>
          <w:sz w:val="16"/>
          <w:szCs w:val="16"/>
        </w:rPr>
      </w:pPr>
      <w:r w:rsidRPr="00032C5D">
        <w:rPr>
          <w:rStyle w:val="FootnoteReference"/>
          <w:sz w:val="16"/>
          <w:szCs w:val="16"/>
        </w:rPr>
        <w:footnoteRef/>
      </w:r>
      <w:r w:rsidRPr="00032C5D">
        <w:rPr>
          <w:sz w:val="16"/>
          <w:szCs w:val="16"/>
        </w:rPr>
        <w:t xml:space="preserve"> IPCC (2000) </w:t>
      </w:r>
      <w:r w:rsidRPr="00032C5D">
        <w:rPr>
          <w:i/>
          <w:sz w:val="16"/>
          <w:szCs w:val="16"/>
        </w:rPr>
        <w:t>Good Practice Guidance and Uncertainty Management in National</w:t>
      </w:r>
      <w:r w:rsidRPr="00032C5D">
        <w:rPr>
          <w:sz w:val="16"/>
          <w:szCs w:val="16"/>
        </w:rPr>
        <w:t xml:space="preserve"> </w:t>
      </w:r>
      <w:r w:rsidRPr="00032C5D">
        <w:rPr>
          <w:i/>
          <w:sz w:val="16"/>
          <w:szCs w:val="16"/>
        </w:rPr>
        <w:t>Greenhouse Gas Inventories</w:t>
      </w:r>
      <w:r w:rsidRPr="00032C5D">
        <w:rPr>
          <w:sz w:val="16"/>
          <w:szCs w:val="16"/>
        </w:rPr>
        <w:t>, Japan</w:t>
      </w:r>
    </w:p>
    <w:p w:rsidR="00DC766F" w:rsidRPr="00032C5D" w:rsidRDefault="00DC766F" w:rsidP="00753E04">
      <w:pPr>
        <w:numPr>
          <w:ilvl w:val="12"/>
          <w:numId w:val="0"/>
        </w:numPr>
      </w:pPr>
      <w:r w:rsidRPr="00032C5D">
        <w:rPr>
          <w:sz w:val="16"/>
          <w:szCs w:val="16"/>
        </w:rPr>
        <w:t xml:space="preserve">IPCC/UNEP/OECD/IEA (1997) </w:t>
      </w:r>
      <w:r w:rsidRPr="00032C5D">
        <w:rPr>
          <w:i/>
          <w:sz w:val="16"/>
          <w:szCs w:val="16"/>
        </w:rPr>
        <w:t>Greenhouse Gas Inventory – Reference Manual</w:t>
      </w:r>
      <w:r w:rsidRPr="00032C5D">
        <w:rPr>
          <w:sz w:val="16"/>
          <w:szCs w:val="16"/>
        </w:rPr>
        <w:t>, Revised 1996 IPCC Guidelines for National Greenhouse Inventories, Volume 3, United Kingdom</w:t>
      </w:r>
    </w:p>
  </w:footnote>
  <w:footnote w:id="19">
    <w:p w:rsidR="00DC766F" w:rsidRPr="00032C5D" w:rsidRDefault="00DC766F" w:rsidP="008B2E49">
      <w:pPr>
        <w:pStyle w:val="FootnoteText"/>
        <w:rPr>
          <w:lang w:val="hr-HR"/>
        </w:rPr>
      </w:pPr>
      <w:r w:rsidRPr="00032C5D">
        <w:rPr>
          <w:rStyle w:val="FootnoteReference"/>
          <w:sz w:val="16"/>
          <w:szCs w:val="16"/>
          <w:lang w:val="hr-HR"/>
        </w:rPr>
        <w:footnoteRef/>
      </w:r>
      <w:r w:rsidRPr="00032C5D">
        <w:rPr>
          <w:sz w:val="16"/>
          <w:szCs w:val="16"/>
          <w:lang w:val="hr-HR"/>
        </w:rPr>
        <w:t xml:space="preserve"> Proračunato bez emisija vozila na prirodni plin</w:t>
      </w:r>
    </w:p>
  </w:footnote>
  <w:footnote w:id="20">
    <w:p w:rsidR="00DC766F" w:rsidRPr="00032C5D" w:rsidRDefault="00DC766F" w:rsidP="008B2E49">
      <w:pPr>
        <w:pStyle w:val="FootnoteText"/>
        <w:rPr>
          <w:lang w:val="hr-HR"/>
        </w:rPr>
      </w:pPr>
      <w:r w:rsidRPr="00032C5D">
        <w:rPr>
          <w:rStyle w:val="FootnoteReference"/>
          <w:sz w:val="16"/>
          <w:szCs w:val="16"/>
          <w:lang w:val="hr-HR"/>
        </w:rPr>
        <w:footnoteRef/>
      </w:r>
      <w:r w:rsidRPr="00032C5D">
        <w:rPr>
          <w:sz w:val="16"/>
          <w:szCs w:val="16"/>
          <w:lang w:val="hr-HR"/>
        </w:rPr>
        <w:t xml:space="preserve"> Autor: dr.sc. Branko Vuk, Energetski institut Hrvoje Požar.</w:t>
      </w:r>
    </w:p>
  </w:footnote>
  <w:footnote w:id="21">
    <w:p w:rsidR="00DC766F" w:rsidRPr="00032C5D" w:rsidRDefault="00DC766F" w:rsidP="008B2E49">
      <w:pPr>
        <w:pStyle w:val="FootnoteText"/>
        <w:rPr>
          <w:sz w:val="16"/>
          <w:szCs w:val="16"/>
          <w:lang w:val="hr-HR"/>
        </w:rPr>
      </w:pPr>
      <w:r w:rsidRPr="00032C5D">
        <w:rPr>
          <w:rStyle w:val="FootnoteReference"/>
          <w:sz w:val="16"/>
          <w:szCs w:val="16"/>
          <w:lang w:val="hr-HR"/>
        </w:rPr>
        <w:footnoteRef/>
      </w:r>
      <w:r w:rsidRPr="00032C5D">
        <w:rPr>
          <w:sz w:val="16"/>
          <w:szCs w:val="16"/>
          <w:lang w:val="hr-HR"/>
        </w:rPr>
        <w:t xml:space="preserve"> Gustoće  svih navedenih goriva osim prirodnog plina  preuzete su iz publikacije 'Kataloga goriva', INA Industrija nafte d.d., izdanje 03, svibanj 2008.  </w:t>
      </w:r>
    </w:p>
    <w:p w:rsidR="00DC766F" w:rsidRPr="00032C5D" w:rsidRDefault="00DC766F" w:rsidP="008B2E49">
      <w:pPr>
        <w:pStyle w:val="FootnoteText"/>
        <w:rPr>
          <w:lang w:val="hr-HR"/>
        </w:rPr>
      </w:pPr>
      <w:r w:rsidRPr="00032C5D">
        <w:rPr>
          <w:sz w:val="16"/>
          <w:szCs w:val="16"/>
          <w:lang w:val="hr-HR"/>
        </w:rPr>
        <w:t>Gustoća prirodnog plina preuzeta je iz si</w:t>
      </w:r>
      <w:r>
        <w:rPr>
          <w:sz w:val="16"/>
          <w:szCs w:val="16"/>
          <w:lang w:val="hr-HR"/>
        </w:rPr>
        <w:t>gurno-tehničkog lista z</w:t>
      </w:r>
      <w:r w:rsidRPr="00032C5D">
        <w:rPr>
          <w:sz w:val="16"/>
          <w:szCs w:val="16"/>
          <w:lang w:val="hr-HR"/>
        </w:rPr>
        <w:t>a prirodni plin (</w:t>
      </w:r>
      <w:hyperlink r:id="rId3" w:history="1">
        <w:r w:rsidRPr="00032C5D">
          <w:rPr>
            <w:rStyle w:val="Hyperlink"/>
            <w:sz w:val="16"/>
            <w:szCs w:val="16"/>
            <w:lang w:val="hr-HR"/>
          </w:rPr>
          <w:t>http://www.ina.hr/default.aspx?id=1057</w:t>
        </w:r>
      </w:hyperlink>
      <w:r w:rsidRPr="00032C5D">
        <w:rPr>
          <w:sz w:val="16"/>
          <w:szCs w:val="16"/>
          <w:lang w:val="hr-HR"/>
        </w:rPr>
        <w:t>)</w:t>
      </w:r>
    </w:p>
  </w:footnote>
  <w:footnote w:id="22">
    <w:p w:rsidR="00DC766F" w:rsidRPr="00032C5D" w:rsidRDefault="00DC766F" w:rsidP="008B2E49">
      <w:pPr>
        <w:pStyle w:val="FootnoteText"/>
        <w:rPr>
          <w:lang w:val="hr-HR"/>
        </w:rPr>
      </w:pPr>
      <w:r w:rsidRPr="00032C5D">
        <w:rPr>
          <w:rStyle w:val="FootnoteReference"/>
          <w:sz w:val="16"/>
          <w:szCs w:val="16"/>
          <w:lang w:val="hr-HR"/>
        </w:rPr>
        <w:footnoteRef/>
      </w:r>
      <w:r w:rsidRPr="00032C5D">
        <w:rPr>
          <w:sz w:val="16"/>
          <w:szCs w:val="16"/>
          <w:lang w:val="hr-HR"/>
        </w:rPr>
        <w:t xml:space="preserve"> Potrošnja goriva proračunata je za gustoću od 820 kg/m</w:t>
      </w:r>
      <w:r w:rsidRPr="00032C5D">
        <w:rPr>
          <w:sz w:val="16"/>
          <w:szCs w:val="16"/>
          <w:vertAlign w:val="superscript"/>
          <w:lang w:val="hr-HR"/>
        </w:rPr>
        <w:t>3</w:t>
      </w:r>
      <w:r w:rsidRPr="00032C5D">
        <w:rPr>
          <w:sz w:val="16"/>
          <w:szCs w:val="16"/>
          <w:lang w:val="hr-HR"/>
        </w:rPr>
        <w:t xml:space="preserve"> pri 15° preuzetu iz INA-inog kataloga goriva (</w:t>
      </w:r>
      <w:hyperlink r:id="rId4" w:history="1">
        <w:r w:rsidRPr="00032C5D">
          <w:rPr>
            <w:rStyle w:val="Hyperlink"/>
            <w:sz w:val="16"/>
            <w:szCs w:val="16"/>
            <w:lang w:val="hr-HR"/>
          </w:rPr>
          <w:t>http://www.ina.hr/default.aspx?id=637</w:t>
        </w:r>
      </w:hyperlink>
      <w:r w:rsidRPr="00032C5D">
        <w:rPr>
          <w:sz w:val="16"/>
          <w:szCs w:val="16"/>
          <w:lang w:val="hr-HR"/>
        </w:rPr>
        <w:t>).</w:t>
      </w:r>
    </w:p>
  </w:footnote>
  <w:footnote w:id="23">
    <w:p w:rsidR="00DC766F" w:rsidRPr="00032C5D" w:rsidRDefault="00DC766F" w:rsidP="008B2E49">
      <w:pPr>
        <w:numPr>
          <w:ilvl w:val="12"/>
          <w:numId w:val="0"/>
        </w:numPr>
        <w:rPr>
          <w:sz w:val="16"/>
          <w:szCs w:val="16"/>
        </w:rPr>
      </w:pPr>
      <w:r w:rsidRPr="00032C5D">
        <w:rPr>
          <w:rStyle w:val="FootnoteReference"/>
          <w:sz w:val="16"/>
          <w:szCs w:val="16"/>
        </w:rPr>
        <w:footnoteRef/>
      </w:r>
      <w:r w:rsidRPr="00032C5D">
        <w:rPr>
          <w:sz w:val="16"/>
          <w:szCs w:val="16"/>
        </w:rPr>
        <w:t xml:space="preserve"> IPCC (2000) </w:t>
      </w:r>
      <w:r w:rsidRPr="00032C5D">
        <w:rPr>
          <w:i/>
          <w:sz w:val="16"/>
          <w:szCs w:val="16"/>
        </w:rPr>
        <w:t>Good Practice Guidance and Uncertainty Management in National</w:t>
      </w:r>
      <w:r w:rsidRPr="00032C5D">
        <w:rPr>
          <w:sz w:val="16"/>
          <w:szCs w:val="16"/>
        </w:rPr>
        <w:t xml:space="preserve"> </w:t>
      </w:r>
      <w:r w:rsidRPr="00032C5D">
        <w:rPr>
          <w:i/>
          <w:sz w:val="16"/>
          <w:szCs w:val="16"/>
        </w:rPr>
        <w:t>Greenhouse Gas Inventories</w:t>
      </w:r>
      <w:r w:rsidRPr="00032C5D">
        <w:rPr>
          <w:sz w:val="16"/>
          <w:szCs w:val="16"/>
        </w:rPr>
        <w:t>, Japan</w:t>
      </w:r>
    </w:p>
    <w:p w:rsidR="00DC766F" w:rsidRPr="00032C5D" w:rsidRDefault="00DC766F" w:rsidP="008B2E49">
      <w:pPr>
        <w:numPr>
          <w:ilvl w:val="12"/>
          <w:numId w:val="0"/>
        </w:numPr>
        <w:rPr>
          <w:sz w:val="16"/>
          <w:szCs w:val="16"/>
        </w:rPr>
      </w:pPr>
      <w:r w:rsidRPr="00032C5D">
        <w:rPr>
          <w:sz w:val="16"/>
          <w:szCs w:val="16"/>
        </w:rPr>
        <w:t xml:space="preserve">IPCC/UNEP/OECD/IEA (1997) </w:t>
      </w:r>
      <w:r w:rsidRPr="00032C5D">
        <w:rPr>
          <w:i/>
          <w:sz w:val="16"/>
          <w:szCs w:val="16"/>
        </w:rPr>
        <w:t>Greenhouse Gas Inventory – Reference Manual</w:t>
      </w:r>
      <w:r w:rsidRPr="00032C5D">
        <w:rPr>
          <w:sz w:val="16"/>
          <w:szCs w:val="16"/>
        </w:rPr>
        <w:t>, Revised 1996 IPCC Guidelines for National Greenhouse Inventories, Volume 3, United Kingdom</w:t>
      </w:r>
    </w:p>
    <w:p w:rsidR="00DC766F" w:rsidRPr="00032C5D" w:rsidRDefault="00DC766F" w:rsidP="008B2E49">
      <w:pPr>
        <w:numPr>
          <w:ilvl w:val="12"/>
          <w:numId w:val="0"/>
        </w:numPr>
      </w:pPr>
    </w:p>
  </w:footnote>
  <w:footnote w:id="24">
    <w:p w:rsidR="00DC766F" w:rsidRPr="00032C5D" w:rsidRDefault="00DC766F" w:rsidP="008B2E49">
      <w:pPr>
        <w:numPr>
          <w:ilvl w:val="12"/>
          <w:numId w:val="0"/>
        </w:numPr>
        <w:rPr>
          <w:sz w:val="16"/>
          <w:szCs w:val="16"/>
        </w:rPr>
      </w:pPr>
      <w:r w:rsidRPr="00032C5D">
        <w:rPr>
          <w:rStyle w:val="FootnoteReference"/>
          <w:sz w:val="16"/>
          <w:szCs w:val="16"/>
        </w:rPr>
        <w:footnoteRef/>
      </w:r>
      <w:r w:rsidRPr="00032C5D">
        <w:rPr>
          <w:sz w:val="16"/>
          <w:szCs w:val="16"/>
        </w:rPr>
        <w:t xml:space="preserve"> IPCC (2000) </w:t>
      </w:r>
      <w:r w:rsidRPr="00032C5D">
        <w:rPr>
          <w:i/>
          <w:sz w:val="16"/>
          <w:szCs w:val="16"/>
        </w:rPr>
        <w:t>Good Practice Guidance and Uncertainty Management in National</w:t>
      </w:r>
      <w:r w:rsidRPr="00032C5D">
        <w:rPr>
          <w:sz w:val="16"/>
          <w:szCs w:val="16"/>
        </w:rPr>
        <w:t xml:space="preserve"> </w:t>
      </w:r>
      <w:r w:rsidRPr="00032C5D">
        <w:rPr>
          <w:i/>
          <w:sz w:val="16"/>
          <w:szCs w:val="16"/>
        </w:rPr>
        <w:t>Greenhouse Gas Inventories</w:t>
      </w:r>
      <w:r w:rsidRPr="00032C5D">
        <w:rPr>
          <w:sz w:val="16"/>
          <w:szCs w:val="16"/>
        </w:rPr>
        <w:t>, Japan</w:t>
      </w:r>
    </w:p>
    <w:p w:rsidR="00DC766F" w:rsidRPr="00032C5D" w:rsidRDefault="00DC766F" w:rsidP="008B2E49">
      <w:pPr>
        <w:numPr>
          <w:ilvl w:val="12"/>
          <w:numId w:val="0"/>
        </w:numPr>
      </w:pPr>
      <w:r w:rsidRPr="00032C5D">
        <w:rPr>
          <w:sz w:val="16"/>
          <w:szCs w:val="16"/>
        </w:rPr>
        <w:t xml:space="preserve">IPCC/UNEP/OECD/IEA (1997) </w:t>
      </w:r>
      <w:r w:rsidRPr="00032C5D">
        <w:rPr>
          <w:i/>
          <w:sz w:val="16"/>
          <w:szCs w:val="16"/>
        </w:rPr>
        <w:t>Greenhouse Gas Inventory – Reference Manual</w:t>
      </w:r>
      <w:r w:rsidRPr="00032C5D">
        <w:rPr>
          <w:sz w:val="16"/>
          <w:szCs w:val="16"/>
        </w:rPr>
        <w:t>, Revised 1996 IPCC Guidelines for National Greenhouse Inventories, Volume 3, United Kingdom</w:t>
      </w:r>
    </w:p>
  </w:footnote>
  <w:footnote w:id="25">
    <w:p w:rsidR="00DC766F" w:rsidRPr="00032C5D" w:rsidRDefault="00DC766F" w:rsidP="008B2E49">
      <w:pPr>
        <w:pStyle w:val="FootnoteText"/>
        <w:rPr>
          <w:lang w:val="hr-HR"/>
        </w:rPr>
      </w:pPr>
      <w:r w:rsidRPr="00032C5D">
        <w:rPr>
          <w:rStyle w:val="FootnoteReference"/>
          <w:sz w:val="16"/>
          <w:szCs w:val="16"/>
          <w:lang w:val="hr-HR"/>
        </w:rPr>
        <w:footnoteRef/>
      </w:r>
      <w:r w:rsidRPr="00032C5D">
        <w:rPr>
          <w:sz w:val="16"/>
          <w:szCs w:val="16"/>
          <w:lang w:val="hr-HR"/>
        </w:rPr>
        <w:t xml:space="preserve"> Proračunato bez emisija vozila na prirodni plin</w:t>
      </w:r>
    </w:p>
  </w:footnote>
  <w:footnote w:id="26">
    <w:p w:rsidR="00DC766F" w:rsidRDefault="00DC766F" w:rsidP="00BD7626">
      <w:pPr>
        <w:pStyle w:val="FootnoteText"/>
      </w:pPr>
      <w:r w:rsidRPr="009454B5">
        <w:rPr>
          <w:rStyle w:val="FootnoteReference"/>
          <w:sz w:val="18"/>
          <w:szCs w:val="18"/>
        </w:rPr>
        <w:footnoteRef/>
      </w:r>
      <w:r w:rsidRPr="001B36DB">
        <w:rPr>
          <w:sz w:val="16"/>
          <w:szCs w:val="16"/>
        </w:rPr>
        <w:t>Program postupnog smanjivanja emisija za određene onečišćene tvari u Republici Hrvatskoj za razdoblje do kraja 2010. godine, s projekcijama emisija za razdoblje od 2010. do 2020. godine</w:t>
      </w:r>
      <w:r w:rsidRPr="009454B5">
        <w:rPr>
          <w:sz w:val="18"/>
          <w:szCs w:val="18"/>
        </w:rPr>
        <w:t>, (N</w:t>
      </w:r>
      <w:r w:rsidRPr="009454B5">
        <w:rPr>
          <w:sz w:val="18"/>
          <w:szCs w:val="18"/>
          <w:bdr w:val="none" w:sz="0" w:space="0" w:color="auto" w:frame="1"/>
        </w:rPr>
        <w:t>N 152/09)</w:t>
      </w:r>
    </w:p>
  </w:footnote>
  <w:footnote w:id="27">
    <w:p w:rsidR="00DC766F" w:rsidRPr="001B36DB" w:rsidRDefault="00DC766F" w:rsidP="00BD7626">
      <w:pPr>
        <w:pStyle w:val="FootnoteText"/>
        <w:rPr>
          <w:sz w:val="16"/>
          <w:szCs w:val="16"/>
        </w:rPr>
      </w:pPr>
      <w:r w:rsidRPr="001B36DB">
        <w:rPr>
          <w:rStyle w:val="FootnoteReference"/>
          <w:sz w:val="16"/>
          <w:szCs w:val="16"/>
        </w:rPr>
        <w:footnoteRef/>
      </w:r>
      <w:r w:rsidRPr="001B36DB">
        <w:rPr>
          <w:sz w:val="16"/>
          <w:szCs w:val="16"/>
        </w:rPr>
        <w:t xml:space="preserve"> Program postupnog smanjivanja emisija za određene onečišćene tvari u Republici Hrvatskoj za razdoblje do kraja 2010. godine, s projekcijama emisija za razdoblje od 2010. do 2020. godine, (N</w:t>
      </w:r>
      <w:r w:rsidRPr="001B36DB">
        <w:rPr>
          <w:sz w:val="16"/>
          <w:szCs w:val="16"/>
          <w:bdr w:val="none" w:sz="0" w:space="0" w:color="auto" w:frame="1"/>
        </w:rPr>
        <w:t>N 152/09)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6F" w:rsidRDefault="00DC766F">
    <w:pPr>
      <w:pStyle w:val="Header"/>
    </w:pPr>
    <w:r>
      <w:t>[Type text]</w:t>
    </w:r>
  </w:p>
  <w:p w:rsidR="00DC766F" w:rsidRDefault="00DC76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6F" w:rsidRPr="000B5A4D" w:rsidRDefault="00F931D9" w:rsidP="000B5A4D">
    <w:pPr>
      <w:pStyle w:val="Header"/>
      <w:spacing w:after="360"/>
      <w:jc w:val="left"/>
      <w:rPr>
        <w:sz w:val="28"/>
        <w:szCs w:val="28"/>
      </w:rPr>
    </w:pPr>
    <w:r>
      <w:rPr>
        <w:noProof/>
        <w:lang w:eastAsia="hr-HR"/>
      </w:rPr>
      <mc:AlternateContent>
        <mc:Choice Requires="wps">
          <w:drawing>
            <wp:anchor distT="0" distB="0" distL="114300" distR="114300" simplePos="0" relativeHeight="251657216" behindDoc="0" locked="0" layoutInCell="1" allowOverlap="1">
              <wp:simplePos x="0" y="0"/>
              <wp:positionH relativeFrom="column">
                <wp:posOffset>14605</wp:posOffset>
              </wp:positionH>
              <wp:positionV relativeFrom="paragraph">
                <wp:posOffset>259080</wp:posOffset>
              </wp:positionV>
              <wp:extent cx="5814060" cy="0"/>
              <wp:effectExtent l="5080" t="11430" r="10160"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48070B" id="_x0000_t32" coordsize="21600,21600" o:spt="32" o:oned="t" path="m,l21600,21600e" filled="f">
              <v:path arrowok="t" fillok="f" o:connecttype="none"/>
              <o:lock v:ext="edit" shapetype="t"/>
            </v:shapetype>
            <v:shape id="AutoShape 2" o:spid="_x0000_s1026" type="#_x0000_t32" style="position:absolute;margin-left:1.15pt;margin-top:20.4pt;width:457.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cq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N5lqcz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lM2mOdwAAAAHAQAADwAAAGRycy9kb3ducmV2LnhtbEyPzU7DMBCE&#10;70i8g7VIXFBrJ/yUhDhVhcSBI20lrm68JIF4HcVOE/r0LOJQjrMzmvm2WM+uE0ccQutJQ7JUIJAq&#10;b1uqNex3L4tHECEasqbzhBq+McC6vLwoTG79RG943MZacAmF3GhoYuxzKUPVoDNh6Xsk9j784Exk&#10;OdTSDmbictfJVKkH6UxLvNCYHp8brL62o9OAYbxP1CZz9f71NN28p6fPqd9pfX01b55ARJzjOQy/&#10;+IwOJTMd/Eg2iE5DestBDXeKH2A7S1YZiMPfQZaF/M9f/gAAAP//AwBQSwECLQAUAAYACAAAACEA&#10;toM4kv4AAADhAQAAEwAAAAAAAAAAAAAAAAAAAAAAW0NvbnRlbnRfVHlwZXNdLnhtbFBLAQItABQA&#10;BgAIAAAAIQA4/SH/1gAAAJQBAAALAAAAAAAAAAAAAAAAAC8BAABfcmVscy8ucmVsc1BLAQItABQA&#10;BgAIAAAAIQDdzRcqHgIAADsEAAAOAAAAAAAAAAAAAAAAAC4CAABkcnMvZTJvRG9jLnhtbFBLAQIt&#10;ABQABgAIAAAAIQCUzaY53AAAAAcBAAAPAAAAAAAAAAAAAAAAAHgEAABkcnMvZG93bnJldi54bWxQ&#10;SwUGAAAAAAQABADzAAAAgQUAAAAA&#10;"/>
          </w:pict>
        </mc:Fallback>
      </mc:AlternateContent>
    </w:r>
    <w:r w:rsidR="00DC766F">
      <w:rPr>
        <w:lang w:eastAsia="hr-HR"/>
      </w:rPr>
      <w:t>Osnovne odrednice i podloge za praćenje emisija CO</w:t>
    </w:r>
    <w:r w:rsidR="00DC766F" w:rsidRPr="008B2E49">
      <w:rPr>
        <w:vertAlign w:val="subscript"/>
        <w:lang w:eastAsia="hr-HR"/>
      </w:rPr>
      <w:t>2</w:t>
    </w:r>
    <w:r w:rsidR="00DC766F">
      <w:rPr>
        <w:lang w:eastAsia="hr-HR"/>
      </w:rPr>
      <w:t xml:space="preserve"> za izradu Akcijskog plana</w:t>
    </w:r>
    <w:r w:rsidR="00DC766F" w:rsidRPr="00A35992">
      <w:t xml:space="preserve"> </w:t>
    </w:r>
    <w:r w:rsidR="00DC766F">
      <w:t xml:space="preserve">                            </w:t>
    </w:r>
    <w:r w:rsidR="00DC766F">
      <w:rPr>
        <w:noProof/>
        <w:lang w:eastAsia="hr-HR"/>
      </w:rPr>
      <w:drawing>
        <wp:anchor distT="0" distB="0" distL="114300" distR="114300" simplePos="0" relativeHeight="251658240" behindDoc="0" locked="0" layoutInCell="1" allowOverlap="1">
          <wp:simplePos x="0" y="0"/>
          <wp:positionH relativeFrom="margin">
            <wp:posOffset>5295265</wp:posOffset>
          </wp:positionH>
          <wp:positionV relativeFrom="margin">
            <wp:posOffset>-562610</wp:posOffset>
          </wp:positionV>
          <wp:extent cx="368935" cy="370840"/>
          <wp:effectExtent l="19050" t="0" r="0" b="0"/>
          <wp:wrapSquare wrapText="bothSides"/>
          <wp:docPr id="4" name="Picture 41" descr="C:\Users\Velimir.Velimir-PC\AppData\Local\Microsoft\Windows\Temporary Internet Files\Content.Outlook\5B8FNKE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Velimir.Velimir-PC\AppData\Local\Microsoft\Windows\Temporary Internet Files\Content.Outlook\5B8FNKEN\logo.gif"/>
                  <pic:cNvPicPr>
                    <a:picLocks noChangeAspect="1" noChangeArrowheads="1"/>
                  </pic:cNvPicPr>
                </pic:nvPicPr>
                <pic:blipFill>
                  <a:blip r:embed="rId1" r:link="rId2"/>
                  <a:srcRect/>
                  <a:stretch>
                    <a:fillRect/>
                  </a:stretch>
                </pic:blipFill>
                <pic:spPr bwMode="auto">
                  <a:xfrm>
                    <a:off x="0" y="0"/>
                    <a:ext cx="368935" cy="3708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6E6"/>
    <w:multiLevelType w:val="hybridMultilevel"/>
    <w:tmpl w:val="6C5C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F2480"/>
    <w:multiLevelType w:val="hybridMultilevel"/>
    <w:tmpl w:val="1B1EBC2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3D82189"/>
    <w:multiLevelType w:val="hybridMultilevel"/>
    <w:tmpl w:val="8714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A569C"/>
    <w:multiLevelType w:val="hybridMultilevel"/>
    <w:tmpl w:val="3C18E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E4A94"/>
    <w:multiLevelType w:val="hybridMultilevel"/>
    <w:tmpl w:val="90E2D5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530832"/>
    <w:multiLevelType w:val="hybridMultilevel"/>
    <w:tmpl w:val="A2AAD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13119"/>
    <w:multiLevelType w:val="hybridMultilevel"/>
    <w:tmpl w:val="7F26616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33701D"/>
    <w:multiLevelType w:val="hybridMultilevel"/>
    <w:tmpl w:val="A406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C57B7"/>
    <w:multiLevelType w:val="hybridMultilevel"/>
    <w:tmpl w:val="AD8C4B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B62681"/>
    <w:multiLevelType w:val="hybridMultilevel"/>
    <w:tmpl w:val="B6FC7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E2DA1"/>
    <w:multiLevelType w:val="hybridMultilevel"/>
    <w:tmpl w:val="4B36DD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8C73B2C"/>
    <w:multiLevelType w:val="hybridMultilevel"/>
    <w:tmpl w:val="6D90A2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D02826"/>
    <w:multiLevelType w:val="hybridMultilevel"/>
    <w:tmpl w:val="D0BEBB16"/>
    <w:lvl w:ilvl="0" w:tplc="0B10BF98">
      <w:start w:val="1"/>
      <w:numFmt w:val="bullet"/>
      <w:lvlText w:val=""/>
      <w:lvlJc w:val="left"/>
      <w:pPr>
        <w:tabs>
          <w:tab w:val="num" w:pos="644"/>
        </w:tabs>
        <w:ind w:left="644" w:hanging="284"/>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051F19"/>
    <w:multiLevelType w:val="singleLevel"/>
    <w:tmpl w:val="E11697F0"/>
    <w:lvl w:ilvl="0">
      <w:start w:val="1"/>
      <w:numFmt w:val="upperLetter"/>
      <w:pStyle w:val="HEADINGAPPENDIX"/>
      <w:lvlText w:val="%1."/>
      <w:lvlJc w:val="left"/>
      <w:pPr>
        <w:tabs>
          <w:tab w:val="num" w:pos="360"/>
        </w:tabs>
        <w:ind w:left="360" w:hanging="360"/>
      </w:pPr>
    </w:lvl>
  </w:abstractNum>
  <w:abstractNum w:abstractNumId="14" w15:restartNumberingAfterBreak="0">
    <w:nsid w:val="2B0C1CDC"/>
    <w:multiLevelType w:val="hybridMultilevel"/>
    <w:tmpl w:val="24540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83D87"/>
    <w:multiLevelType w:val="hybridMultilevel"/>
    <w:tmpl w:val="6E42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F0C48"/>
    <w:multiLevelType w:val="hybridMultilevel"/>
    <w:tmpl w:val="0756B5EA"/>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34A0135B"/>
    <w:multiLevelType w:val="hybridMultilevel"/>
    <w:tmpl w:val="9ADC58E4"/>
    <w:lvl w:ilvl="0" w:tplc="B8DAF770">
      <w:start w:val="13"/>
      <w:numFmt w:val="bullet"/>
      <w:lvlText w:val="-"/>
      <w:lvlJc w:val="left"/>
      <w:pPr>
        <w:tabs>
          <w:tab w:val="num" w:pos="720"/>
        </w:tabs>
        <w:ind w:left="720" w:hanging="360"/>
      </w:pPr>
      <w:rPr>
        <w:rFonts w:ascii="Tahoma" w:eastAsia="Times New Roman" w:hAnsi="Tahoma" w:hint="default"/>
      </w:rPr>
    </w:lvl>
    <w:lvl w:ilvl="1" w:tplc="0B10BF98">
      <w:start w:val="1"/>
      <w:numFmt w:val="bullet"/>
      <w:lvlText w:val=""/>
      <w:lvlJc w:val="left"/>
      <w:pPr>
        <w:tabs>
          <w:tab w:val="num" w:pos="1364"/>
        </w:tabs>
        <w:ind w:left="1364" w:hanging="284"/>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FD50D3"/>
    <w:multiLevelType w:val="hybridMultilevel"/>
    <w:tmpl w:val="BB6CC4D2"/>
    <w:lvl w:ilvl="0" w:tplc="B8DAF770">
      <w:start w:val="13"/>
      <w:numFmt w:val="bullet"/>
      <w:lvlText w:val="-"/>
      <w:lvlJc w:val="left"/>
      <w:pPr>
        <w:tabs>
          <w:tab w:val="num" w:pos="720"/>
        </w:tabs>
        <w:ind w:left="720" w:hanging="360"/>
      </w:pPr>
      <w:rPr>
        <w:rFonts w:ascii="Tahoma" w:eastAsia="Times New Roman" w:hAnsi="Tahoma"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866788"/>
    <w:multiLevelType w:val="hybridMultilevel"/>
    <w:tmpl w:val="DB74B126"/>
    <w:lvl w:ilvl="0" w:tplc="B8DAF770">
      <w:start w:val="13"/>
      <w:numFmt w:val="bullet"/>
      <w:lvlText w:val="-"/>
      <w:lvlJc w:val="left"/>
      <w:pPr>
        <w:tabs>
          <w:tab w:val="num" w:pos="720"/>
        </w:tabs>
        <w:ind w:left="720" w:hanging="360"/>
      </w:pPr>
      <w:rPr>
        <w:rFonts w:ascii="Tahoma" w:eastAsia="Times New Roman" w:hAnsi="Tahoma"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DB202B"/>
    <w:multiLevelType w:val="hybridMultilevel"/>
    <w:tmpl w:val="A37406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12B5769"/>
    <w:multiLevelType w:val="hybridMultilevel"/>
    <w:tmpl w:val="631CC5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E63350"/>
    <w:multiLevelType w:val="multilevel"/>
    <w:tmpl w:val="822409FE"/>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860"/>
        </w:tabs>
        <w:ind w:left="860" w:hanging="576"/>
      </w:pPr>
      <w:rPr>
        <w:b/>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648"/>
        </w:tabs>
        <w:ind w:left="1288" w:hanging="720"/>
      </w:pPr>
      <w:rPr>
        <w:b/>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6A620CF"/>
    <w:multiLevelType w:val="hybridMultilevel"/>
    <w:tmpl w:val="D4B0DC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DF77B9"/>
    <w:multiLevelType w:val="hybridMultilevel"/>
    <w:tmpl w:val="875C5D46"/>
    <w:lvl w:ilvl="0" w:tplc="0B10BF98">
      <w:start w:val="1"/>
      <w:numFmt w:val="bullet"/>
      <w:lvlText w:val=""/>
      <w:lvlJc w:val="left"/>
      <w:pPr>
        <w:tabs>
          <w:tab w:val="num" w:pos="644"/>
        </w:tabs>
        <w:ind w:left="644" w:hanging="284"/>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22737E"/>
    <w:multiLevelType w:val="hybridMultilevel"/>
    <w:tmpl w:val="DB04E6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89C3F35"/>
    <w:multiLevelType w:val="hybridMultilevel"/>
    <w:tmpl w:val="1A96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0D3D8C"/>
    <w:multiLevelType w:val="hybridMultilevel"/>
    <w:tmpl w:val="C06A3F7C"/>
    <w:lvl w:ilvl="0" w:tplc="041A0001">
      <w:start w:val="1"/>
      <w:numFmt w:val="bullet"/>
      <w:lvlText w:val=""/>
      <w:lvlJc w:val="left"/>
      <w:pPr>
        <w:ind w:left="929" w:hanging="360"/>
      </w:pPr>
      <w:rPr>
        <w:rFonts w:ascii="Symbol" w:hAnsi="Symbol" w:hint="default"/>
      </w:rPr>
    </w:lvl>
    <w:lvl w:ilvl="1" w:tplc="041A0003" w:tentative="1">
      <w:start w:val="1"/>
      <w:numFmt w:val="bullet"/>
      <w:lvlText w:val="o"/>
      <w:lvlJc w:val="left"/>
      <w:pPr>
        <w:ind w:left="1649" w:hanging="360"/>
      </w:pPr>
      <w:rPr>
        <w:rFonts w:ascii="Courier New" w:hAnsi="Courier New" w:cs="Courier New" w:hint="default"/>
      </w:rPr>
    </w:lvl>
    <w:lvl w:ilvl="2" w:tplc="041A0005" w:tentative="1">
      <w:start w:val="1"/>
      <w:numFmt w:val="bullet"/>
      <w:lvlText w:val=""/>
      <w:lvlJc w:val="left"/>
      <w:pPr>
        <w:ind w:left="2369" w:hanging="360"/>
      </w:pPr>
      <w:rPr>
        <w:rFonts w:ascii="Wingdings" w:hAnsi="Wingdings" w:hint="default"/>
      </w:rPr>
    </w:lvl>
    <w:lvl w:ilvl="3" w:tplc="041A0001" w:tentative="1">
      <w:start w:val="1"/>
      <w:numFmt w:val="bullet"/>
      <w:lvlText w:val=""/>
      <w:lvlJc w:val="left"/>
      <w:pPr>
        <w:ind w:left="3089" w:hanging="360"/>
      </w:pPr>
      <w:rPr>
        <w:rFonts w:ascii="Symbol" w:hAnsi="Symbol" w:hint="default"/>
      </w:rPr>
    </w:lvl>
    <w:lvl w:ilvl="4" w:tplc="041A0003" w:tentative="1">
      <w:start w:val="1"/>
      <w:numFmt w:val="bullet"/>
      <w:lvlText w:val="o"/>
      <w:lvlJc w:val="left"/>
      <w:pPr>
        <w:ind w:left="3809" w:hanging="360"/>
      </w:pPr>
      <w:rPr>
        <w:rFonts w:ascii="Courier New" w:hAnsi="Courier New" w:cs="Courier New" w:hint="default"/>
      </w:rPr>
    </w:lvl>
    <w:lvl w:ilvl="5" w:tplc="041A0005" w:tentative="1">
      <w:start w:val="1"/>
      <w:numFmt w:val="bullet"/>
      <w:lvlText w:val=""/>
      <w:lvlJc w:val="left"/>
      <w:pPr>
        <w:ind w:left="4529" w:hanging="360"/>
      </w:pPr>
      <w:rPr>
        <w:rFonts w:ascii="Wingdings" w:hAnsi="Wingdings" w:hint="default"/>
      </w:rPr>
    </w:lvl>
    <w:lvl w:ilvl="6" w:tplc="041A0001" w:tentative="1">
      <w:start w:val="1"/>
      <w:numFmt w:val="bullet"/>
      <w:lvlText w:val=""/>
      <w:lvlJc w:val="left"/>
      <w:pPr>
        <w:ind w:left="5249" w:hanging="360"/>
      </w:pPr>
      <w:rPr>
        <w:rFonts w:ascii="Symbol" w:hAnsi="Symbol" w:hint="default"/>
      </w:rPr>
    </w:lvl>
    <w:lvl w:ilvl="7" w:tplc="041A0003" w:tentative="1">
      <w:start w:val="1"/>
      <w:numFmt w:val="bullet"/>
      <w:lvlText w:val="o"/>
      <w:lvlJc w:val="left"/>
      <w:pPr>
        <w:ind w:left="5969" w:hanging="360"/>
      </w:pPr>
      <w:rPr>
        <w:rFonts w:ascii="Courier New" w:hAnsi="Courier New" w:cs="Courier New" w:hint="default"/>
      </w:rPr>
    </w:lvl>
    <w:lvl w:ilvl="8" w:tplc="041A0005" w:tentative="1">
      <w:start w:val="1"/>
      <w:numFmt w:val="bullet"/>
      <w:lvlText w:val=""/>
      <w:lvlJc w:val="left"/>
      <w:pPr>
        <w:ind w:left="6689" w:hanging="360"/>
      </w:pPr>
      <w:rPr>
        <w:rFonts w:ascii="Wingdings" w:hAnsi="Wingdings" w:hint="default"/>
      </w:rPr>
    </w:lvl>
  </w:abstractNum>
  <w:abstractNum w:abstractNumId="28" w15:restartNumberingAfterBreak="0">
    <w:nsid w:val="4BAE0B43"/>
    <w:multiLevelType w:val="hybridMultilevel"/>
    <w:tmpl w:val="9C10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465C3"/>
    <w:multiLevelType w:val="hybridMultilevel"/>
    <w:tmpl w:val="72C681D2"/>
    <w:lvl w:ilvl="0" w:tplc="041A0001">
      <w:start w:val="1"/>
      <w:numFmt w:val="bullet"/>
      <w:lvlText w:val=""/>
      <w:lvlJc w:val="left"/>
      <w:pPr>
        <w:ind w:left="1150" w:hanging="360"/>
      </w:pPr>
      <w:rPr>
        <w:rFonts w:ascii="Symbol" w:hAnsi="Symbol" w:hint="default"/>
      </w:rPr>
    </w:lvl>
    <w:lvl w:ilvl="1" w:tplc="041A0003" w:tentative="1">
      <w:start w:val="1"/>
      <w:numFmt w:val="bullet"/>
      <w:lvlText w:val="o"/>
      <w:lvlJc w:val="left"/>
      <w:pPr>
        <w:ind w:left="1870" w:hanging="360"/>
      </w:pPr>
      <w:rPr>
        <w:rFonts w:ascii="Courier New" w:hAnsi="Courier New" w:cs="Courier New" w:hint="default"/>
      </w:rPr>
    </w:lvl>
    <w:lvl w:ilvl="2" w:tplc="041A0005" w:tentative="1">
      <w:start w:val="1"/>
      <w:numFmt w:val="bullet"/>
      <w:lvlText w:val=""/>
      <w:lvlJc w:val="left"/>
      <w:pPr>
        <w:ind w:left="2590" w:hanging="360"/>
      </w:pPr>
      <w:rPr>
        <w:rFonts w:ascii="Wingdings" w:hAnsi="Wingdings" w:hint="default"/>
      </w:rPr>
    </w:lvl>
    <w:lvl w:ilvl="3" w:tplc="041A0001" w:tentative="1">
      <w:start w:val="1"/>
      <w:numFmt w:val="bullet"/>
      <w:lvlText w:val=""/>
      <w:lvlJc w:val="left"/>
      <w:pPr>
        <w:ind w:left="3310" w:hanging="360"/>
      </w:pPr>
      <w:rPr>
        <w:rFonts w:ascii="Symbol" w:hAnsi="Symbol" w:hint="default"/>
      </w:rPr>
    </w:lvl>
    <w:lvl w:ilvl="4" w:tplc="041A0003" w:tentative="1">
      <w:start w:val="1"/>
      <w:numFmt w:val="bullet"/>
      <w:lvlText w:val="o"/>
      <w:lvlJc w:val="left"/>
      <w:pPr>
        <w:ind w:left="4030" w:hanging="360"/>
      </w:pPr>
      <w:rPr>
        <w:rFonts w:ascii="Courier New" w:hAnsi="Courier New" w:cs="Courier New" w:hint="default"/>
      </w:rPr>
    </w:lvl>
    <w:lvl w:ilvl="5" w:tplc="041A0005" w:tentative="1">
      <w:start w:val="1"/>
      <w:numFmt w:val="bullet"/>
      <w:lvlText w:val=""/>
      <w:lvlJc w:val="left"/>
      <w:pPr>
        <w:ind w:left="4750" w:hanging="360"/>
      </w:pPr>
      <w:rPr>
        <w:rFonts w:ascii="Wingdings" w:hAnsi="Wingdings" w:hint="default"/>
      </w:rPr>
    </w:lvl>
    <w:lvl w:ilvl="6" w:tplc="041A0001" w:tentative="1">
      <w:start w:val="1"/>
      <w:numFmt w:val="bullet"/>
      <w:lvlText w:val=""/>
      <w:lvlJc w:val="left"/>
      <w:pPr>
        <w:ind w:left="5470" w:hanging="360"/>
      </w:pPr>
      <w:rPr>
        <w:rFonts w:ascii="Symbol" w:hAnsi="Symbol" w:hint="default"/>
      </w:rPr>
    </w:lvl>
    <w:lvl w:ilvl="7" w:tplc="041A0003" w:tentative="1">
      <w:start w:val="1"/>
      <w:numFmt w:val="bullet"/>
      <w:lvlText w:val="o"/>
      <w:lvlJc w:val="left"/>
      <w:pPr>
        <w:ind w:left="6190" w:hanging="360"/>
      </w:pPr>
      <w:rPr>
        <w:rFonts w:ascii="Courier New" w:hAnsi="Courier New" w:cs="Courier New" w:hint="default"/>
      </w:rPr>
    </w:lvl>
    <w:lvl w:ilvl="8" w:tplc="041A0005" w:tentative="1">
      <w:start w:val="1"/>
      <w:numFmt w:val="bullet"/>
      <w:lvlText w:val=""/>
      <w:lvlJc w:val="left"/>
      <w:pPr>
        <w:ind w:left="6910" w:hanging="360"/>
      </w:pPr>
      <w:rPr>
        <w:rFonts w:ascii="Wingdings" w:hAnsi="Wingdings" w:hint="default"/>
      </w:rPr>
    </w:lvl>
  </w:abstractNum>
  <w:abstractNum w:abstractNumId="30" w15:restartNumberingAfterBreak="0">
    <w:nsid w:val="5100290A"/>
    <w:multiLevelType w:val="hybridMultilevel"/>
    <w:tmpl w:val="24460AD2"/>
    <w:lvl w:ilvl="0" w:tplc="D7E06B72">
      <w:start w:val="1"/>
      <w:numFmt w:val="bullet"/>
      <w:lvlText w:val=""/>
      <w:lvlJc w:val="left"/>
      <w:pPr>
        <w:ind w:left="784" w:hanging="360"/>
      </w:pPr>
      <w:rPr>
        <w:rFonts w:ascii="Symbol" w:hAnsi="Symbol" w:hint="default"/>
      </w:rPr>
    </w:lvl>
    <w:lvl w:ilvl="1" w:tplc="5EC65BF2" w:tentative="1">
      <w:start w:val="1"/>
      <w:numFmt w:val="bullet"/>
      <w:lvlText w:val="o"/>
      <w:lvlJc w:val="left"/>
      <w:pPr>
        <w:ind w:left="1504" w:hanging="360"/>
      </w:pPr>
      <w:rPr>
        <w:rFonts w:ascii="Courier New" w:hAnsi="Courier New" w:cs="Courier New" w:hint="default"/>
      </w:rPr>
    </w:lvl>
    <w:lvl w:ilvl="2" w:tplc="C5CE025A" w:tentative="1">
      <w:start w:val="1"/>
      <w:numFmt w:val="bullet"/>
      <w:lvlText w:val=""/>
      <w:lvlJc w:val="left"/>
      <w:pPr>
        <w:ind w:left="2224" w:hanging="360"/>
      </w:pPr>
      <w:rPr>
        <w:rFonts w:ascii="Wingdings" w:hAnsi="Wingdings" w:hint="default"/>
      </w:rPr>
    </w:lvl>
    <w:lvl w:ilvl="3" w:tplc="98162A82" w:tentative="1">
      <w:start w:val="1"/>
      <w:numFmt w:val="bullet"/>
      <w:lvlText w:val=""/>
      <w:lvlJc w:val="left"/>
      <w:pPr>
        <w:ind w:left="2944" w:hanging="360"/>
      </w:pPr>
      <w:rPr>
        <w:rFonts w:ascii="Symbol" w:hAnsi="Symbol" w:hint="default"/>
      </w:rPr>
    </w:lvl>
    <w:lvl w:ilvl="4" w:tplc="4740D594" w:tentative="1">
      <w:start w:val="1"/>
      <w:numFmt w:val="bullet"/>
      <w:lvlText w:val="o"/>
      <w:lvlJc w:val="left"/>
      <w:pPr>
        <w:ind w:left="3664" w:hanging="360"/>
      </w:pPr>
      <w:rPr>
        <w:rFonts w:ascii="Courier New" w:hAnsi="Courier New" w:cs="Courier New" w:hint="default"/>
      </w:rPr>
    </w:lvl>
    <w:lvl w:ilvl="5" w:tplc="0F30191C" w:tentative="1">
      <w:start w:val="1"/>
      <w:numFmt w:val="bullet"/>
      <w:lvlText w:val=""/>
      <w:lvlJc w:val="left"/>
      <w:pPr>
        <w:ind w:left="4384" w:hanging="360"/>
      </w:pPr>
      <w:rPr>
        <w:rFonts w:ascii="Wingdings" w:hAnsi="Wingdings" w:hint="default"/>
      </w:rPr>
    </w:lvl>
    <w:lvl w:ilvl="6" w:tplc="C52E1ECA" w:tentative="1">
      <w:start w:val="1"/>
      <w:numFmt w:val="bullet"/>
      <w:lvlText w:val=""/>
      <w:lvlJc w:val="left"/>
      <w:pPr>
        <w:ind w:left="5104" w:hanging="360"/>
      </w:pPr>
      <w:rPr>
        <w:rFonts w:ascii="Symbol" w:hAnsi="Symbol" w:hint="default"/>
      </w:rPr>
    </w:lvl>
    <w:lvl w:ilvl="7" w:tplc="8EC80790" w:tentative="1">
      <w:start w:val="1"/>
      <w:numFmt w:val="bullet"/>
      <w:lvlText w:val="o"/>
      <w:lvlJc w:val="left"/>
      <w:pPr>
        <w:ind w:left="5824" w:hanging="360"/>
      </w:pPr>
      <w:rPr>
        <w:rFonts w:ascii="Courier New" w:hAnsi="Courier New" w:cs="Courier New" w:hint="default"/>
      </w:rPr>
    </w:lvl>
    <w:lvl w:ilvl="8" w:tplc="62025D8A" w:tentative="1">
      <w:start w:val="1"/>
      <w:numFmt w:val="bullet"/>
      <w:lvlText w:val=""/>
      <w:lvlJc w:val="left"/>
      <w:pPr>
        <w:ind w:left="6544" w:hanging="360"/>
      </w:pPr>
      <w:rPr>
        <w:rFonts w:ascii="Wingdings" w:hAnsi="Wingdings" w:hint="default"/>
      </w:rPr>
    </w:lvl>
  </w:abstractNum>
  <w:abstractNum w:abstractNumId="31" w15:restartNumberingAfterBreak="0">
    <w:nsid w:val="529D15DE"/>
    <w:multiLevelType w:val="hybridMultilevel"/>
    <w:tmpl w:val="360A91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57535D2"/>
    <w:multiLevelType w:val="hybridMultilevel"/>
    <w:tmpl w:val="E296420E"/>
    <w:lvl w:ilvl="0" w:tplc="E624B0A2">
      <w:start w:val="1"/>
      <w:numFmt w:val="bullet"/>
      <w:lvlText w:val=""/>
      <w:lvlJc w:val="left"/>
      <w:pPr>
        <w:ind w:left="720" w:hanging="360"/>
      </w:pPr>
      <w:rPr>
        <w:rFonts w:ascii="Symbol" w:hAnsi="Symbol" w:hint="default"/>
      </w:rPr>
    </w:lvl>
    <w:lvl w:ilvl="1" w:tplc="D0DACC26">
      <w:start w:val="1"/>
      <w:numFmt w:val="bullet"/>
      <w:lvlText w:val="o"/>
      <w:lvlJc w:val="left"/>
      <w:pPr>
        <w:ind w:left="1440" w:hanging="360"/>
      </w:pPr>
      <w:rPr>
        <w:rFonts w:ascii="Courier New" w:hAnsi="Courier New" w:cs="Courier New" w:hint="default"/>
      </w:rPr>
    </w:lvl>
    <w:lvl w:ilvl="2" w:tplc="651AEF34" w:tentative="1">
      <w:start w:val="1"/>
      <w:numFmt w:val="bullet"/>
      <w:lvlText w:val=""/>
      <w:lvlJc w:val="left"/>
      <w:pPr>
        <w:ind w:left="2160" w:hanging="360"/>
      </w:pPr>
      <w:rPr>
        <w:rFonts w:ascii="Wingdings" w:hAnsi="Wingdings" w:hint="default"/>
      </w:rPr>
    </w:lvl>
    <w:lvl w:ilvl="3" w:tplc="452E72E0" w:tentative="1">
      <w:start w:val="1"/>
      <w:numFmt w:val="bullet"/>
      <w:lvlText w:val=""/>
      <w:lvlJc w:val="left"/>
      <w:pPr>
        <w:ind w:left="2880" w:hanging="360"/>
      </w:pPr>
      <w:rPr>
        <w:rFonts w:ascii="Symbol" w:hAnsi="Symbol" w:hint="default"/>
      </w:rPr>
    </w:lvl>
    <w:lvl w:ilvl="4" w:tplc="94C6DDB2" w:tentative="1">
      <w:start w:val="1"/>
      <w:numFmt w:val="bullet"/>
      <w:lvlText w:val="o"/>
      <w:lvlJc w:val="left"/>
      <w:pPr>
        <w:ind w:left="3600" w:hanging="360"/>
      </w:pPr>
      <w:rPr>
        <w:rFonts w:ascii="Courier New" w:hAnsi="Courier New" w:cs="Courier New" w:hint="default"/>
      </w:rPr>
    </w:lvl>
    <w:lvl w:ilvl="5" w:tplc="A55E831C" w:tentative="1">
      <w:start w:val="1"/>
      <w:numFmt w:val="bullet"/>
      <w:lvlText w:val=""/>
      <w:lvlJc w:val="left"/>
      <w:pPr>
        <w:ind w:left="4320" w:hanging="360"/>
      </w:pPr>
      <w:rPr>
        <w:rFonts w:ascii="Wingdings" w:hAnsi="Wingdings" w:hint="default"/>
      </w:rPr>
    </w:lvl>
    <w:lvl w:ilvl="6" w:tplc="62F01598" w:tentative="1">
      <w:start w:val="1"/>
      <w:numFmt w:val="bullet"/>
      <w:lvlText w:val=""/>
      <w:lvlJc w:val="left"/>
      <w:pPr>
        <w:ind w:left="5040" w:hanging="360"/>
      </w:pPr>
      <w:rPr>
        <w:rFonts w:ascii="Symbol" w:hAnsi="Symbol" w:hint="default"/>
      </w:rPr>
    </w:lvl>
    <w:lvl w:ilvl="7" w:tplc="C126727A" w:tentative="1">
      <w:start w:val="1"/>
      <w:numFmt w:val="bullet"/>
      <w:lvlText w:val="o"/>
      <w:lvlJc w:val="left"/>
      <w:pPr>
        <w:ind w:left="5760" w:hanging="360"/>
      </w:pPr>
      <w:rPr>
        <w:rFonts w:ascii="Courier New" w:hAnsi="Courier New" w:cs="Courier New" w:hint="default"/>
      </w:rPr>
    </w:lvl>
    <w:lvl w:ilvl="8" w:tplc="1188F2D2" w:tentative="1">
      <w:start w:val="1"/>
      <w:numFmt w:val="bullet"/>
      <w:lvlText w:val=""/>
      <w:lvlJc w:val="left"/>
      <w:pPr>
        <w:ind w:left="6480" w:hanging="360"/>
      </w:pPr>
      <w:rPr>
        <w:rFonts w:ascii="Wingdings" w:hAnsi="Wingdings" w:hint="default"/>
      </w:rPr>
    </w:lvl>
  </w:abstractNum>
  <w:abstractNum w:abstractNumId="33" w15:restartNumberingAfterBreak="0">
    <w:nsid w:val="577C6EEF"/>
    <w:multiLevelType w:val="hybridMultilevel"/>
    <w:tmpl w:val="4D0661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B8718DA"/>
    <w:multiLevelType w:val="hybridMultilevel"/>
    <w:tmpl w:val="4A3090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CA91865"/>
    <w:multiLevelType w:val="hybridMultilevel"/>
    <w:tmpl w:val="46C8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10389E"/>
    <w:multiLevelType w:val="hybridMultilevel"/>
    <w:tmpl w:val="94E0DD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4427E75"/>
    <w:multiLevelType w:val="hybridMultilevel"/>
    <w:tmpl w:val="281AED2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99A102A"/>
    <w:multiLevelType w:val="hybridMultilevel"/>
    <w:tmpl w:val="8FE028DA"/>
    <w:lvl w:ilvl="0" w:tplc="041A0001">
      <w:start w:val="1"/>
      <w:numFmt w:val="bullet"/>
      <w:lvlText w:val=""/>
      <w:lvlJc w:val="left"/>
      <w:pPr>
        <w:ind w:left="977" w:hanging="360"/>
      </w:pPr>
      <w:rPr>
        <w:rFonts w:ascii="Symbol" w:hAnsi="Symbol" w:hint="default"/>
      </w:rPr>
    </w:lvl>
    <w:lvl w:ilvl="1" w:tplc="041A0003" w:tentative="1">
      <w:start w:val="1"/>
      <w:numFmt w:val="bullet"/>
      <w:lvlText w:val="o"/>
      <w:lvlJc w:val="left"/>
      <w:pPr>
        <w:ind w:left="1697" w:hanging="360"/>
      </w:pPr>
      <w:rPr>
        <w:rFonts w:ascii="Courier New" w:hAnsi="Courier New" w:cs="Courier New" w:hint="default"/>
      </w:rPr>
    </w:lvl>
    <w:lvl w:ilvl="2" w:tplc="041A0005" w:tentative="1">
      <w:start w:val="1"/>
      <w:numFmt w:val="bullet"/>
      <w:lvlText w:val=""/>
      <w:lvlJc w:val="left"/>
      <w:pPr>
        <w:ind w:left="2417" w:hanging="360"/>
      </w:pPr>
      <w:rPr>
        <w:rFonts w:ascii="Wingdings" w:hAnsi="Wingdings" w:hint="default"/>
      </w:rPr>
    </w:lvl>
    <w:lvl w:ilvl="3" w:tplc="041A0001" w:tentative="1">
      <w:start w:val="1"/>
      <w:numFmt w:val="bullet"/>
      <w:lvlText w:val=""/>
      <w:lvlJc w:val="left"/>
      <w:pPr>
        <w:ind w:left="3137" w:hanging="360"/>
      </w:pPr>
      <w:rPr>
        <w:rFonts w:ascii="Symbol" w:hAnsi="Symbol" w:hint="default"/>
      </w:rPr>
    </w:lvl>
    <w:lvl w:ilvl="4" w:tplc="041A0003" w:tentative="1">
      <w:start w:val="1"/>
      <w:numFmt w:val="bullet"/>
      <w:lvlText w:val="o"/>
      <w:lvlJc w:val="left"/>
      <w:pPr>
        <w:ind w:left="3857" w:hanging="360"/>
      </w:pPr>
      <w:rPr>
        <w:rFonts w:ascii="Courier New" w:hAnsi="Courier New" w:cs="Courier New" w:hint="default"/>
      </w:rPr>
    </w:lvl>
    <w:lvl w:ilvl="5" w:tplc="041A0005" w:tentative="1">
      <w:start w:val="1"/>
      <w:numFmt w:val="bullet"/>
      <w:lvlText w:val=""/>
      <w:lvlJc w:val="left"/>
      <w:pPr>
        <w:ind w:left="4577" w:hanging="360"/>
      </w:pPr>
      <w:rPr>
        <w:rFonts w:ascii="Wingdings" w:hAnsi="Wingdings" w:hint="default"/>
      </w:rPr>
    </w:lvl>
    <w:lvl w:ilvl="6" w:tplc="041A0001" w:tentative="1">
      <w:start w:val="1"/>
      <w:numFmt w:val="bullet"/>
      <w:lvlText w:val=""/>
      <w:lvlJc w:val="left"/>
      <w:pPr>
        <w:ind w:left="5297" w:hanging="360"/>
      </w:pPr>
      <w:rPr>
        <w:rFonts w:ascii="Symbol" w:hAnsi="Symbol" w:hint="default"/>
      </w:rPr>
    </w:lvl>
    <w:lvl w:ilvl="7" w:tplc="041A0003" w:tentative="1">
      <w:start w:val="1"/>
      <w:numFmt w:val="bullet"/>
      <w:lvlText w:val="o"/>
      <w:lvlJc w:val="left"/>
      <w:pPr>
        <w:ind w:left="6017" w:hanging="360"/>
      </w:pPr>
      <w:rPr>
        <w:rFonts w:ascii="Courier New" w:hAnsi="Courier New" w:cs="Courier New" w:hint="default"/>
      </w:rPr>
    </w:lvl>
    <w:lvl w:ilvl="8" w:tplc="041A0005" w:tentative="1">
      <w:start w:val="1"/>
      <w:numFmt w:val="bullet"/>
      <w:lvlText w:val=""/>
      <w:lvlJc w:val="left"/>
      <w:pPr>
        <w:ind w:left="6737" w:hanging="360"/>
      </w:pPr>
      <w:rPr>
        <w:rFonts w:ascii="Wingdings" w:hAnsi="Wingdings" w:hint="default"/>
      </w:rPr>
    </w:lvl>
  </w:abstractNum>
  <w:abstractNum w:abstractNumId="39" w15:restartNumberingAfterBreak="0">
    <w:nsid w:val="6B1B32DB"/>
    <w:multiLevelType w:val="hybridMultilevel"/>
    <w:tmpl w:val="5822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2502F9"/>
    <w:multiLevelType w:val="hybridMultilevel"/>
    <w:tmpl w:val="55F0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5357B7"/>
    <w:multiLevelType w:val="hybridMultilevel"/>
    <w:tmpl w:val="7FFA3688"/>
    <w:lvl w:ilvl="0" w:tplc="0B10BF98">
      <w:start w:val="1"/>
      <w:numFmt w:val="bullet"/>
      <w:lvlText w:val=""/>
      <w:lvlJc w:val="left"/>
      <w:pPr>
        <w:tabs>
          <w:tab w:val="num" w:pos="644"/>
        </w:tabs>
        <w:ind w:left="644" w:hanging="284"/>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A43B80"/>
    <w:multiLevelType w:val="hybridMultilevel"/>
    <w:tmpl w:val="5496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467BB"/>
    <w:multiLevelType w:val="hybridMultilevel"/>
    <w:tmpl w:val="99F02DCA"/>
    <w:lvl w:ilvl="0" w:tplc="0B10BF98">
      <w:start w:val="1"/>
      <w:numFmt w:val="bullet"/>
      <w:lvlText w:val=""/>
      <w:lvlJc w:val="left"/>
      <w:pPr>
        <w:tabs>
          <w:tab w:val="num" w:pos="644"/>
        </w:tabs>
        <w:ind w:left="644" w:hanging="284"/>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423328"/>
    <w:multiLevelType w:val="hybridMultilevel"/>
    <w:tmpl w:val="7B40DD1C"/>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5" w15:restartNumberingAfterBreak="0">
    <w:nsid w:val="726D0D49"/>
    <w:multiLevelType w:val="multilevel"/>
    <w:tmpl w:val="C62647B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524325B"/>
    <w:multiLevelType w:val="hybridMultilevel"/>
    <w:tmpl w:val="29A4D3C0"/>
    <w:lvl w:ilvl="0" w:tplc="0B10BF98">
      <w:start w:val="1"/>
      <w:numFmt w:val="bullet"/>
      <w:lvlText w:val=""/>
      <w:lvlJc w:val="left"/>
      <w:pPr>
        <w:tabs>
          <w:tab w:val="num" w:pos="644"/>
        </w:tabs>
        <w:ind w:left="644" w:hanging="284"/>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77518"/>
    <w:multiLevelType w:val="hybridMultilevel"/>
    <w:tmpl w:val="DFC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347407"/>
    <w:multiLevelType w:val="hybridMultilevel"/>
    <w:tmpl w:val="C908B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DF159A"/>
    <w:multiLevelType w:val="hybridMultilevel"/>
    <w:tmpl w:val="CE82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41"/>
  </w:num>
  <w:num w:numId="4">
    <w:abstractNumId w:val="19"/>
  </w:num>
  <w:num w:numId="5">
    <w:abstractNumId w:val="24"/>
  </w:num>
  <w:num w:numId="6">
    <w:abstractNumId w:val="17"/>
  </w:num>
  <w:num w:numId="7">
    <w:abstractNumId w:val="46"/>
  </w:num>
  <w:num w:numId="8">
    <w:abstractNumId w:val="18"/>
  </w:num>
  <w:num w:numId="9">
    <w:abstractNumId w:val="12"/>
  </w:num>
  <w:num w:numId="10">
    <w:abstractNumId w:val="43"/>
  </w:num>
  <w:num w:numId="11">
    <w:abstractNumId w:val="25"/>
  </w:num>
  <w:num w:numId="12">
    <w:abstractNumId w:val="16"/>
  </w:num>
  <w:num w:numId="13">
    <w:abstractNumId w:val="31"/>
  </w:num>
  <w:num w:numId="14">
    <w:abstractNumId w:val="34"/>
  </w:num>
  <w:num w:numId="15">
    <w:abstractNumId w:val="47"/>
  </w:num>
  <w:num w:numId="1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8"/>
  </w:num>
  <w:num w:numId="19">
    <w:abstractNumId w:val="30"/>
  </w:num>
  <w:num w:numId="20">
    <w:abstractNumId w:val="11"/>
  </w:num>
  <w:num w:numId="21">
    <w:abstractNumId w:val="23"/>
  </w:num>
  <w:num w:numId="22">
    <w:abstractNumId w:val="1"/>
  </w:num>
  <w:num w:numId="23">
    <w:abstractNumId w:val="29"/>
  </w:num>
  <w:num w:numId="24">
    <w:abstractNumId w:val="27"/>
  </w:num>
  <w:num w:numId="25">
    <w:abstractNumId w:val="21"/>
  </w:num>
  <w:num w:numId="26">
    <w:abstractNumId w:val="36"/>
  </w:num>
  <w:num w:numId="27">
    <w:abstractNumId w:val="5"/>
  </w:num>
  <w:num w:numId="28">
    <w:abstractNumId w:val="42"/>
  </w:num>
  <w:num w:numId="29">
    <w:abstractNumId w:val="48"/>
  </w:num>
  <w:num w:numId="30">
    <w:abstractNumId w:val="45"/>
  </w:num>
  <w:num w:numId="31">
    <w:abstractNumId w:val="2"/>
  </w:num>
  <w:num w:numId="32">
    <w:abstractNumId w:val="9"/>
  </w:num>
  <w:num w:numId="33">
    <w:abstractNumId w:val="7"/>
  </w:num>
  <w:num w:numId="34">
    <w:abstractNumId w:val="0"/>
  </w:num>
  <w:num w:numId="35">
    <w:abstractNumId w:val="14"/>
  </w:num>
  <w:num w:numId="36">
    <w:abstractNumId w:val="40"/>
  </w:num>
  <w:num w:numId="37">
    <w:abstractNumId w:val="35"/>
  </w:num>
  <w:num w:numId="38">
    <w:abstractNumId w:val="28"/>
  </w:num>
  <w:num w:numId="39">
    <w:abstractNumId w:val="15"/>
  </w:num>
  <w:num w:numId="40">
    <w:abstractNumId w:val="49"/>
  </w:num>
  <w:num w:numId="41">
    <w:abstractNumId w:val="39"/>
  </w:num>
  <w:num w:numId="42">
    <w:abstractNumId w:val="26"/>
  </w:num>
  <w:num w:numId="43">
    <w:abstractNumId w:val="3"/>
  </w:num>
  <w:num w:numId="44">
    <w:abstractNumId w:val="8"/>
  </w:num>
  <w:num w:numId="45">
    <w:abstractNumId w:val="4"/>
  </w:num>
  <w:num w:numId="46">
    <w:abstractNumId w:val="10"/>
  </w:num>
  <w:num w:numId="47">
    <w:abstractNumId w:val="37"/>
  </w:num>
  <w:num w:numId="48">
    <w:abstractNumId w:val="6"/>
  </w:num>
  <w:num w:numId="49">
    <w:abstractNumId w:val="33"/>
  </w:num>
  <w:num w:numId="50">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71"/>
    <w:rsid w:val="000011B9"/>
    <w:rsid w:val="00001407"/>
    <w:rsid w:val="000056E4"/>
    <w:rsid w:val="000063FC"/>
    <w:rsid w:val="00011777"/>
    <w:rsid w:val="00014011"/>
    <w:rsid w:val="00014853"/>
    <w:rsid w:val="00025603"/>
    <w:rsid w:val="00027CA9"/>
    <w:rsid w:val="00027D9F"/>
    <w:rsid w:val="00032C5D"/>
    <w:rsid w:val="00032E38"/>
    <w:rsid w:val="0003555A"/>
    <w:rsid w:val="000355C4"/>
    <w:rsid w:val="00035D46"/>
    <w:rsid w:val="00036623"/>
    <w:rsid w:val="000367AF"/>
    <w:rsid w:val="00036C9E"/>
    <w:rsid w:val="0004037B"/>
    <w:rsid w:val="00040E15"/>
    <w:rsid w:val="00041B6E"/>
    <w:rsid w:val="000425B8"/>
    <w:rsid w:val="000467C2"/>
    <w:rsid w:val="00050449"/>
    <w:rsid w:val="000545DD"/>
    <w:rsid w:val="0005546A"/>
    <w:rsid w:val="000577DC"/>
    <w:rsid w:val="0006252C"/>
    <w:rsid w:val="000625DA"/>
    <w:rsid w:val="00064063"/>
    <w:rsid w:val="00064E44"/>
    <w:rsid w:val="00067A83"/>
    <w:rsid w:val="00067C2B"/>
    <w:rsid w:val="0007106F"/>
    <w:rsid w:val="00071781"/>
    <w:rsid w:val="00072512"/>
    <w:rsid w:val="0007777C"/>
    <w:rsid w:val="000806D2"/>
    <w:rsid w:val="00084345"/>
    <w:rsid w:val="00085522"/>
    <w:rsid w:val="00085D3F"/>
    <w:rsid w:val="00086486"/>
    <w:rsid w:val="00086FCA"/>
    <w:rsid w:val="00090FB6"/>
    <w:rsid w:val="00091508"/>
    <w:rsid w:val="00092A14"/>
    <w:rsid w:val="00092CE3"/>
    <w:rsid w:val="00092FD3"/>
    <w:rsid w:val="000936CB"/>
    <w:rsid w:val="00095AE7"/>
    <w:rsid w:val="000A0F43"/>
    <w:rsid w:val="000A3BB9"/>
    <w:rsid w:val="000A4A42"/>
    <w:rsid w:val="000B0C2A"/>
    <w:rsid w:val="000B1372"/>
    <w:rsid w:val="000B2891"/>
    <w:rsid w:val="000B5972"/>
    <w:rsid w:val="000B5A4D"/>
    <w:rsid w:val="000B5B64"/>
    <w:rsid w:val="000B731F"/>
    <w:rsid w:val="000C2358"/>
    <w:rsid w:val="000C248B"/>
    <w:rsid w:val="000C2A64"/>
    <w:rsid w:val="000C65B0"/>
    <w:rsid w:val="000D25B6"/>
    <w:rsid w:val="000D6AE1"/>
    <w:rsid w:val="000D719F"/>
    <w:rsid w:val="000E16E7"/>
    <w:rsid w:val="000E2B0D"/>
    <w:rsid w:val="000E46EB"/>
    <w:rsid w:val="000E4D1C"/>
    <w:rsid w:val="000E5AC4"/>
    <w:rsid w:val="000E5CD1"/>
    <w:rsid w:val="000E7749"/>
    <w:rsid w:val="000F463B"/>
    <w:rsid w:val="000F56EF"/>
    <w:rsid w:val="000F5E28"/>
    <w:rsid w:val="000F7DA5"/>
    <w:rsid w:val="00101576"/>
    <w:rsid w:val="00102021"/>
    <w:rsid w:val="00103A1D"/>
    <w:rsid w:val="00107234"/>
    <w:rsid w:val="00111E85"/>
    <w:rsid w:val="00112850"/>
    <w:rsid w:val="00114962"/>
    <w:rsid w:val="00121C54"/>
    <w:rsid w:val="00123380"/>
    <w:rsid w:val="00123D3C"/>
    <w:rsid w:val="00125CFA"/>
    <w:rsid w:val="00126BB7"/>
    <w:rsid w:val="001335A2"/>
    <w:rsid w:val="00136C84"/>
    <w:rsid w:val="00137CB2"/>
    <w:rsid w:val="0014045D"/>
    <w:rsid w:val="0014671D"/>
    <w:rsid w:val="00146FE1"/>
    <w:rsid w:val="00147C4F"/>
    <w:rsid w:val="00150136"/>
    <w:rsid w:val="0015255B"/>
    <w:rsid w:val="00153BB9"/>
    <w:rsid w:val="00154179"/>
    <w:rsid w:val="001553E4"/>
    <w:rsid w:val="00155C9B"/>
    <w:rsid w:val="00156E8C"/>
    <w:rsid w:val="00157A7C"/>
    <w:rsid w:val="00160CDE"/>
    <w:rsid w:val="001679CF"/>
    <w:rsid w:val="00170625"/>
    <w:rsid w:val="00171153"/>
    <w:rsid w:val="00171E14"/>
    <w:rsid w:val="0017452A"/>
    <w:rsid w:val="00174C45"/>
    <w:rsid w:val="00182A53"/>
    <w:rsid w:val="00183EA8"/>
    <w:rsid w:val="001846AC"/>
    <w:rsid w:val="00184D72"/>
    <w:rsid w:val="001871C4"/>
    <w:rsid w:val="00187FF9"/>
    <w:rsid w:val="00191CBB"/>
    <w:rsid w:val="00194434"/>
    <w:rsid w:val="00197E0A"/>
    <w:rsid w:val="001A1EA7"/>
    <w:rsid w:val="001A2506"/>
    <w:rsid w:val="001A643F"/>
    <w:rsid w:val="001A7052"/>
    <w:rsid w:val="001A72BA"/>
    <w:rsid w:val="001B23B8"/>
    <w:rsid w:val="001B28C0"/>
    <w:rsid w:val="001B3449"/>
    <w:rsid w:val="001B4DE6"/>
    <w:rsid w:val="001B7524"/>
    <w:rsid w:val="001B7BA4"/>
    <w:rsid w:val="001C2E05"/>
    <w:rsid w:val="001D576A"/>
    <w:rsid w:val="001E1587"/>
    <w:rsid w:val="001E1F52"/>
    <w:rsid w:val="001E1F7B"/>
    <w:rsid w:val="001E22A8"/>
    <w:rsid w:val="001E3159"/>
    <w:rsid w:val="001E39BE"/>
    <w:rsid w:val="001E4BE1"/>
    <w:rsid w:val="001E7F80"/>
    <w:rsid w:val="001F353C"/>
    <w:rsid w:val="001F62B2"/>
    <w:rsid w:val="001F729E"/>
    <w:rsid w:val="002004CB"/>
    <w:rsid w:val="00200697"/>
    <w:rsid w:val="00201E5F"/>
    <w:rsid w:val="00203996"/>
    <w:rsid w:val="00204082"/>
    <w:rsid w:val="002044D6"/>
    <w:rsid w:val="00205DB6"/>
    <w:rsid w:val="00215EA1"/>
    <w:rsid w:val="00216602"/>
    <w:rsid w:val="002201D4"/>
    <w:rsid w:val="002212D8"/>
    <w:rsid w:val="00223BF3"/>
    <w:rsid w:val="00226081"/>
    <w:rsid w:val="002316F9"/>
    <w:rsid w:val="00233D97"/>
    <w:rsid w:val="00234829"/>
    <w:rsid w:val="0023532A"/>
    <w:rsid w:val="00235F85"/>
    <w:rsid w:val="002360FE"/>
    <w:rsid w:val="00240B0D"/>
    <w:rsid w:val="00240BE4"/>
    <w:rsid w:val="00241476"/>
    <w:rsid w:val="00242E8B"/>
    <w:rsid w:val="00242F65"/>
    <w:rsid w:val="00243323"/>
    <w:rsid w:val="002443DB"/>
    <w:rsid w:val="00244717"/>
    <w:rsid w:val="002478E5"/>
    <w:rsid w:val="00250188"/>
    <w:rsid w:val="0025025C"/>
    <w:rsid w:val="002510DC"/>
    <w:rsid w:val="00253250"/>
    <w:rsid w:val="0025372E"/>
    <w:rsid w:val="002551FB"/>
    <w:rsid w:val="00260119"/>
    <w:rsid w:val="002609F0"/>
    <w:rsid w:val="00263443"/>
    <w:rsid w:val="00266441"/>
    <w:rsid w:val="0027237D"/>
    <w:rsid w:val="00272749"/>
    <w:rsid w:val="00273539"/>
    <w:rsid w:val="00273838"/>
    <w:rsid w:val="00274D69"/>
    <w:rsid w:val="00275304"/>
    <w:rsid w:val="00275B72"/>
    <w:rsid w:val="002762AC"/>
    <w:rsid w:val="00276C96"/>
    <w:rsid w:val="00277601"/>
    <w:rsid w:val="00282F4E"/>
    <w:rsid w:val="00283408"/>
    <w:rsid w:val="0028480F"/>
    <w:rsid w:val="00285784"/>
    <w:rsid w:val="00293882"/>
    <w:rsid w:val="00293E3A"/>
    <w:rsid w:val="00294F59"/>
    <w:rsid w:val="00295943"/>
    <w:rsid w:val="00297A62"/>
    <w:rsid w:val="002A4A1D"/>
    <w:rsid w:val="002A6B48"/>
    <w:rsid w:val="002B1476"/>
    <w:rsid w:val="002B2874"/>
    <w:rsid w:val="002B29D9"/>
    <w:rsid w:val="002B7158"/>
    <w:rsid w:val="002B7D0A"/>
    <w:rsid w:val="002B7E78"/>
    <w:rsid w:val="002C1DF2"/>
    <w:rsid w:val="002C3371"/>
    <w:rsid w:val="002C5061"/>
    <w:rsid w:val="002C68DB"/>
    <w:rsid w:val="002C7CAD"/>
    <w:rsid w:val="002D17BC"/>
    <w:rsid w:val="002D212F"/>
    <w:rsid w:val="002D36F3"/>
    <w:rsid w:val="002D3949"/>
    <w:rsid w:val="002D68F1"/>
    <w:rsid w:val="002E17BD"/>
    <w:rsid w:val="002E1B5F"/>
    <w:rsid w:val="002F2109"/>
    <w:rsid w:val="002F4C3F"/>
    <w:rsid w:val="002F6CB3"/>
    <w:rsid w:val="002F7287"/>
    <w:rsid w:val="002F7331"/>
    <w:rsid w:val="00302789"/>
    <w:rsid w:val="00303C22"/>
    <w:rsid w:val="00303EAB"/>
    <w:rsid w:val="00304107"/>
    <w:rsid w:val="0030553A"/>
    <w:rsid w:val="00306F86"/>
    <w:rsid w:val="00310468"/>
    <w:rsid w:val="00311E64"/>
    <w:rsid w:val="00313BA4"/>
    <w:rsid w:val="00313D8F"/>
    <w:rsid w:val="00314A4C"/>
    <w:rsid w:val="00315403"/>
    <w:rsid w:val="00315435"/>
    <w:rsid w:val="003155C0"/>
    <w:rsid w:val="00316615"/>
    <w:rsid w:val="00316824"/>
    <w:rsid w:val="00317BF1"/>
    <w:rsid w:val="0032638D"/>
    <w:rsid w:val="00326BB9"/>
    <w:rsid w:val="003314CD"/>
    <w:rsid w:val="003348C2"/>
    <w:rsid w:val="00334EBB"/>
    <w:rsid w:val="00340A38"/>
    <w:rsid w:val="003431A7"/>
    <w:rsid w:val="003442AB"/>
    <w:rsid w:val="00347448"/>
    <w:rsid w:val="003577A0"/>
    <w:rsid w:val="00357A9D"/>
    <w:rsid w:val="0036224B"/>
    <w:rsid w:val="003622FC"/>
    <w:rsid w:val="00363C36"/>
    <w:rsid w:val="0036551B"/>
    <w:rsid w:val="00365F0D"/>
    <w:rsid w:val="00367349"/>
    <w:rsid w:val="003707BE"/>
    <w:rsid w:val="003719D4"/>
    <w:rsid w:val="003749DD"/>
    <w:rsid w:val="00376613"/>
    <w:rsid w:val="00377F5B"/>
    <w:rsid w:val="00381EB8"/>
    <w:rsid w:val="00383344"/>
    <w:rsid w:val="00383769"/>
    <w:rsid w:val="00383CEC"/>
    <w:rsid w:val="003849A6"/>
    <w:rsid w:val="003849DE"/>
    <w:rsid w:val="00385919"/>
    <w:rsid w:val="003869B6"/>
    <w:rsid w:val="00390679"/>
    <w:rsid w:val="00391C08"/>
    <w:rsid w:val="00391F96"/>
    <w:rsid w:val="003937A0"/>
    <w:rsid w:val="003945C2"/>
    <w:rsid w:val="00394A22"/>
    <w:rsid w:val="00397F0E"/>
    <w:rsid w:val="003A0CA0"/>
    <w:rsid w:val="003A1DDC"/>
    <w:rsid w:val="003A3CF9"/>
    <w:rsid w:val="003A3E2D"/>
    <w:rsid w:val="003A593C"/>
    <w:rsid w:val="003A7642"/>
    <w:rsid w:val="003A7F32"/>
    <w:rsid w:val="003B140B"/>
    <w:rsid w:val="003B1D11"/>
    <w:rsid w:val="003B2176"/>
    <w:rsid w:val="003B5199"/>
    <w:rsid w:val="003B632B"/>
    <w:rsid w:val="003C0EA7"/>
    <w:rsid w:val="003C127C"/>
    <w:rsid w:val="003C1C7D"/>
    <w:rsid w:val="003C6429"/>
    <w:rsid w:val="003D035B"/>
    <w:rsid w:val="003D2B14"/>
    <w:rsid w:val="003D364F"/>
    <w:rsid w:val="003D4B76"/>
    <w:rsid w:val="003D4BE7"/>
    <w:rsid w:val="003D7781"/>
    <w:rsid w:val="003E12A6"/>
    <w:rsid w:val="003F298B"/>
    <w:rsid w:val="00402B17"/>
    <w:rsid w:val="004034ED"/>
    <w:rsid w:val="00403F3C"/>
    <w:rsid w:val="004058A1"/>
    <w:rsid w:val="004071E5"/>
    <w:rsid w:val="0041052D"/>
    <w:rsid w:val="004116FB"/>
    <w:rsid w:val="00412A24"/>
    <w:rsid w:val="004137E9"/>
    <w:rsid w:val="00417064"/>
    <w:rsid w:val="004213F6"/>
    <w:rsid w:val="00421FD1"/>
    <w:rsid w:val="00422AC8"/>
    <w:rsid w:val="00425D80"/>
    <w:rsid w:val="00426890"/>
    <w:rsid w:val="00426D93"/>
    <w:rsid w:val="0043401A"/>
    <w:rsid w:val="004366FD"/>
    <w:rsid w:val="00436F9C"/>
    <w:rsid w:val="0043704E"/>
    <w:rsid w:val="00442066"/>
    <w:rsid w:val="00444B74"/>
    <w:rsid w:val="004450CA"/>
    <w:rsid w:val="0044574F"/>
    <w:rsid w:val="00450CB3"/>
    <w:rsid w:val="00450FF3"/>
    <w:rsid w:val="00452CB5"/>
    <w:rsid w:val="00454D31"/>
    <w:rsid w:val="00454E31"/>
    <w:rsid w:val="0045641B"/>
    <w:rsid w:val="00460A38"/>
    <w:rsid w:val="004616E0"/>
    <w:rsid w:val="00462371"/>
    <w:rsid w:val="0046251E"/>
    <w:rsid w:val="0046465F"/>
    <w:rsid w:val="00466249"/>
    <w:rsid w:val="004673BE"/>
    <w:rsid w:val="00467803"/>
    <w:rsid w:val="00467A86"/>
    <w:rsid w:val="0047150A"/>
    <w:rsid w:val="00471810"/>
    <w:rsid w:val="00472CF9"/>
    <w:rsid w:val="0047434A"/>
    <w:rsid w:val="0047546D"/>
    <w:rsid w:val="00476B90"/>
    <w:rsid w:val="00481178"/>
    <w:rsid w:val="0048187D"/>
    <w:rsid w:val="00481BDA"/>
    <w:rsid w:val="00482AD1"/>
    <w:rsid w:val="00483B42"/>
    <w:rsid w:val="00484447"/>
    <w:rsid w:val="0048549A"/>
    <w:rsid w:val="00485A2B"/>
    <w:rsid w:val="00486583"/>
    <w:rsid w:val="0049151D"/>
    <w:rsid w:val="00493A77"/>
    <w:rsid w:val="00493E5F"/>
    <w:rsid w:val="00495F4F"/>
    <w:rsid w:val="00495FA9"/>
    <w:rsid w:val="004A07D5"/>
    <w:rsid w:val="004A0DBF"/>
    <w:rsid w:val="004A3F31"/>
    <w:rsid w:val="004B0836"/>
    <w:rsid w:val="004B67D8"/>
    <w:rsid w:val="004B7D57"/>
    <w:rsid w:val="004B7D95"/>
    <w:rsid w:val="004C23E4"/>
    <w:rsid w:val="004C37BC"/>
    <w:rsid w:val="004C5A8F"/>
    <w:rsid w:val="004C6EB2"/>
    <w:rsid w:val="004D101A"/>
    <w:rsid w:val="004D5530"/>
    <w:rsid w:val="004D587A"/>
    <w:rsid w:val="004D6ADD"/>
    <w:rsid w:val="004D7DBA"/>
    <w:rsid w:val="004D7F7E"/>
    <w:rsid w:val="004D7FCB"/>
    <w:rsid w:val="004E2E87"/>
    <w:rsid w:val="004F0A60"/>
    <w:rsid w:val="004F281D"/>
    <w:rsid w:val="004F439D"/>
    <w:rsid w:val="004F7941"/>
    <w:rsid w:val="00503A9C"/>
    <w:rsid w:val="0050526C"/>
    <w:rsid w:val="00505687"/>
    <w:rsid w:val="00506197"/>
    <w:rsid w:val="00506A15"/>
    <w:rsid w:val="00512A93"/>
    <w:rsid w:val="00516B1D"/>
    <w:rsid w:val="00516D89"/>
    <w:rsid w:val="005171B2"/>
    <w:rsid w:val="005209DA"/>
    <w:rsid w:val="005211A1"/>
    <w:rsid w:val="00521A79"/>
    <w:rsid w:val="005229AD"/>
    <w:rsid w:val="00524DEF"/>
    <w:rsid w:val="005274B1"/>
    <w:rsid w:val="005316BF"/>
    <w:rsid w:val="00531AAE"/>
    <w:rsid w:val="00532972"/>
    <w:rsid w:val="005329DB"/>
    <w:rsid w:val="00532E05"/>
    <w:rsid w:val="00535B10"/>
    <w:rsid w:val="005365D0"/>
    <w:rsid w:val="00540208"/>
    <w:rsid w:val="005407D8"/>
    <w:rsid w:val="00542C89"/>
    <w:rsid w:val="005433E5"/>
    <w:rsid w:val="00543456"/>
    <w:rsid w:val="00543B7F"/>
    <w:rsid w:val="005448CC"/>
    <w:rsid w:val="0054535F"/>
    <w:rsid w:val="005455C2"/>
    <w:rsid w:val="00547EF0"/>
    <w:rsid w:val="0055394C"/>
    <w:rsid w:val="005540FB"/>
    <w:rsid w:val="0055750C"/>
    <w:rsid w:val="00560898"/>
    <w:rsid w:val="00562472"/>
    <w:rsid w:val="005627B0"/>
    <w:rsid w:val="005653E8"/>
    <w:rsid w:val="00565E74"/>
    <w:rsid w:val="005661F0"/>
    <w:rsid w:val="00571EE4"/>
    <w:rsid w:val="005802FF"/>
    <w:rsid w:val="005806A8"/>
    <w:rsid w:val="00581366"/>
    <w:rsid w:val="0058261E"/>
    <w:rsid w:val="005834A3"/>
    <w:rsid w:val="00583CF7"/>
    <w:rsid w:val="00585565"/>
    <w:rsid w:val="00587DEC"/>
    <w:rsid w:val="0059088E"/>
    <w:rsid w:val="00591F12"/>
    <w:rsid w:val="00593605"/>
    <w:rsid w:val="00593E53"/>
    <w:rsid w:val="005953B1"/>
    <w:rsid w:val="00596F4E"/>
    <w:rsid w:val="00596F90"/>
    <w:rsid w:val="005A4699"/>
    <w:rsid w:val="005A4B66"/>
    <w:rsid w:val="005A7707"/>
    <w:rsid w:val="005B019D"/>
    <w:rsid w:val="005B0A0D"/>
    <w:rsid w:val="005B1C85"/>
    <w:rsid w:val="005B2121"/>
    <w:rsid w:val="005B2138"/>
    <w:rsid w:val="005B589E"/>
    <w:rsid w:val="005B59FA"/>
    <w:rsid w:val="005C405D"/>
    <w:rsid w:val="005C5F6A"/>
    <w:rsid w:val="005C6F8F"/>
    <w:rsid w:val="005C7CD6"/>
    <w:rsid w:val="005D0635"/>
    <w:rsid w:val="005D144B"/>
    <w:rsid w:val="005D1F40"/>
    <w:rsid w:val="005D4B87"/>
    <w:rsid w:val="005D4DCA"/>
    <w:rsid w:val="005D5A6F"/>
    <w:rsid w:val="005E04CD"/>
    <w:rsid w:val="005E149F"/>
    <w:rsid w:val="005E3644"/>
    <w:rsid w:val="005E3C96"/>
    <w:rsid w:val="005E4B35"/>
    <w:rsid w:val="005E7271"/>
    <w:rsid w:val="005F5D44"/>
    <w:rsid w:val="005F7B77"/>
    <w:rsid w:val="00600E1F"/>
    <w:rsid w:val="00603921"/>
    <w:rsid w:val="00604C33"/>
    <w:rsid w:val="00604DCE"/>
    <w:rsid w:val="00605160"/>
    <w:rsid w:val="006060F2"/>
    <w:rsid w:val="006103A2"/>
    <w:rsid w:val="00610423"/>
    <w:rsid w:val="006129DB"/>
    <w:rsid w:val="006134FA"/>
    <w:rsid w:val="006136C6"/>
    <w:rsid w:val="006206C4"/>
    <w:rsid w:val="0062223B"/>
    <w:rsid w:val="00624D9E"/>
    <w:rsid w:val="00625715"/>
    <w:rsid w:val="00625A22"/>
    <w:rsid w:val="00627BA7"/>
    <w:rsid w:val="0063285D"/>
    <w:rsid w:val="006349E8"/>
    <w:rsid w:val="00634D61"/>
    <w:rsid w:val="00637693"/>
    <w:rsid w:val="006404C5"/>
    <w:rsid w:val="006410C6"/>
    <w:rsid w:val="00641AE0"/>
    <w:rsid w:val="00647D80"/>
    <w:rsid w:val="00651012"/>
    <w:rsid w:val="006511AA"/>
    <w:rsid w:val="006514BB"/>
    <w:rsid w:val="00654610"/>
    <w:rsid w:val="00656101"/>
    <w:rsid w:val="00657BA0"/>
    <w:rsid w:val="00662623"/>
    <w:rsid w:val="00662794"/>
    <w:rsid w:val="00662F1B"/>
    <w:rsid w:val="006666D4"/>
    <w:rsid w:val="00666B00"/>
    <w:rsid w:val="0067043B"/>
    <w:rsid w:val="00672061"/>
    <w:rsid w:val="00672CC4"/>
    <w:rsid w:val="00682A03"/>
    <w:rsid w:val="0068681F"/>
    <w:rsid w:val="00687587"/>
    <w:rsid w:val="00687598"/>
    <w:rsid w:val="00687C93"/>
    <w:rsid w:val="00687D3F"/>
    <w:rsid w:val="0069098A"/>
    <w:rsid w:val="00691844"/>
    <w:rsid w:val="006923FD"/>
    <w:rsid w:val="0069265F"/>
    <w:rsid w:val="006970AF"/>
    <w:rsid w:val="006A0835"/>
    <w:rsid w:val="006A1A11"/>
    <w:rsid w:val="006A3F3E"/>
    <w:rsid w:val="006A4CBD"/>
    <w:rsid w:val="006A57A4"/>
    <w:rsid w:val="006B21EB"/>
    <w:rsid w:val="006B2F56"/>
    <w:rsid w:val="006B3223"/>
    <w:rsid w:val="006B6AA3"/>
    <w:rsid w:val="006C0D54"/>
    <w:rsid w:val="006C1C6F"/>
    <w:rsid w:val="006C210E"/>
    <w:rsid w:val="006C3924"/>
    <w:rsid w:val="006C5A66"/>
    <w:rsid w:val="006C79B0"/>
    <w:rsid w:val="006D03EF"/>
    <w:rsid w:val="006D0BE4"/>
    <w:rsid w:val="006D1647"/>
    <w:rsid w:val="006E035F"/>
    <w:rsid w:val="006E1FEA"/>
    <w:rsid w:val="006E5D60"/>
    <w:rsid w:val="006E776D"/>
    <w:rsid w:val="006E7D95"/>
    <w:rsid w:val="006F15F5"/>
    <w:rsid w:val="006F4255"/>
    <w:rsid w:val="007002E1"/>
    <w:rsid w:val="00700CB1"/>
    <w:rsid w:val="00703498"/>
    <w:rsid w:val="00704ED5"/>
    <w:rsid w:val="00706600"/>
    <w:rsid w:val="0070747A"/>
    <w:rsid w:val="00707514"/>
    <w:rsid w:val="00707614"/>
    <w:rsid w:val="00711050"/>
    <w:rsid w:val="00712520"/>
    <w:rsid w:val="0071383F"/>
    <w:rsid w:val="00714B9E"/>
    <w:rsid w:val="0071550E"/>
    <w:rsid w:val="007158ED"/>
    <w:rsid w:val="007168B8"/>
    <w:rsid w:val="007200C3"/>
    <w:rsid w:val="00720CB1"/>
    <w:rsid w:val="0072244E"/>
    <w:rsid w:val="0072509D"/>
    <w:rsid w:val="00726513"/>
    <w:rsid w:val="00727240"/>
    <w:rsid w:val="007337B5"/>
    <w:rsid w:val="00734D9A"/>
    <w:rsid w:val="00735111"/>
    <w:rsid w:val="00740785"/>
    <w:rsid w:val="00750A11"/>
    <w:rsid w:val="00751817"/>
    <w:rsid w:val="00752804"/>
    <w:rsid w:val="00753E04"/>
    <w:rsid w:val="00754AD0"/>
    <w:rsid w:val="00755C25"/>
    <w:rsid w:val="0076018E"/>
    <w:rsid w:val="00760C24"/>
    <w:rsid w:val="007644E3"/>
    <w:rsid w:val="00766113"/>
    <w:rsid w:val="0077177D"/>
    <w:rsid w:val="00772AF0"/>
    <w:rsid w:val="007732DE"/>
    <w:rsid w:val="0078061E"/>
    <w:rsid w:val="0078191B"/>
    <w:rsid w:val="007839BA"/>
    <w:rsid w:val="007855E1"/>
    <w:rsid w:val="00786014"/>
    <w:rsid w:val="00787CCA"/>
    <w:rsid w:val="00787E3B"/>
    <w:rsid w:val="0079058A"/>
    <w:rsid w:val="0079143D"/>
    <w:rsid w:val="00796354"/>
    <w:rsid w:val="007A13B2"/>
    <w:rsid w:val="007A1991"/>
    <w:rsid w:val="007A21A9"/>
    <w:rsid w:val="007A407F"/>
    <w:rsid w:val="007A43B2"/>
    <w:rsid w:val="007B0169"/>
    <w:rsid w:val="007B5F08"/>
    <w:rsid w:val="007B600A"/>
    <w:rsid w:val="007B67C1"/>
    <w:rsid w:val="007C041F"/>
    <w:rsid w:val="007C2B04"/>
    <w:rsid w:val="007C3F13"/>
    <w:rsid w:val="007C4C52"/>
    <w:rsid w:val="007D0E17"/>
    <w:rsid w:val="007D3D62"/>
    <w:rsid w:val="007D4ACE"/>
    <w:rsid w:val="007D4BA3"/>
    <w:rsid w:val="007D6EC6"/>
    <w:rsid w:val="007E1291"/>
    <w:rsid w:val="007E1CDA"/>
    <w:rsid w:val="007E6261"/>
    <w:rsid w:val="007F47D6"/>
    <w:rsid w:val="007F4E9F"/>
    <w:rsid w:val="007F592D"/>
    <w:rsid w:val="007F5E08"/>
    <w:rsid w:val="007F6F90"/>
    <w:rsid w:val="007F70F0"/>
    <w:rsid w:val="00805980"/>
    <w:rsid w:val="0080708F"/>
    <w:rsid w:val="008076E9"/>
    <w:rsid w:val="0081015F"/>
    <w:rsid w:val="008124CB"/>
    <w:rsid w:val="008245A2"/>
    <w:rsid w:val="0082748D"/>
    <w:rsid w:val="0083211E"/>
    <w:rsid w:val="00832449"/>
    <w:rsid w:val="0083279E"/>
    <w:rsid w:val="00834192"/>
    <w:rsid w:val="008354F5"/>
    <w:rsid w:val="008403F5"/>
    <w:rsid w:val="00842199"/>
    <w:rsid w:val="00843351"/>
    <w:rsid w:val="00851C11"/>
    <w:rsid w:val="00851F7B"/>
    <w:rsid w:val="008545D1"/>
    <w:rsid w:val="00857AA6"/>
    <w:rsid w:val="00861CFB"/>
    <w:rsid w:val="00864BF0"/>
    <w:rsid w:val="008674EE"/>
    <w:rsid w:val="008674FA"/>
    <w:rsid w:val="00872050"/>
    <w:rsid w:val="00872107"/>
    <w:rsid w:val="0087228D"/>
    <w:rsid w:val="00873CCE"/>
    <w:rsid w:val="0087505E"/>
    <w:rsid w:val="008804DB"/>
    <w:rsid w:val="00880715"/>
    <w:rsid w:val="00882BDB"/>
    <w:rsid w:val="008858F3"/>
    <w:rsid w:val="00890A4C"/>
    <w:rsid w:val="008932EF"/>
    <w:rsid w:val="00893CD0"/>
    <w:rsid w:val="008946C0"/>
    <w:rsid w:val="00895E8B"/>
    <w:rsid w:val="00895E9A"/>
    <w:rsid w:val="00896AA2"/>
    <w:rsid w:val="008A0D37"/>
    <w:rsid w:val="008A3FF7"/>
    <w:rsid w:val="008A41EB"/>
    <w:rsid w:val="008A4DA1"/>
    <w:rsid w:val="008A5F5A"/>
    <w:rsid w:val="008B0D27"/>
    <w:rsid w:val="008B177B"/>
    <w:rsid w:val="008B1AA8"/>
    <w:rsid w:val="008B2607"/>
    <w:rsid w:val="008B2E49"/>
    <w:rsid w:val="008B4105"/>
    <w:rsid w:val="008B4F94"/>
    <w:rsid w:val="008B545C"/>
    <w:rsid w:val="008B7CDB"/>
    <w:rsid w:val="008C244B"/>
    <w:rsid w:val="008C3343"/>
    <w:rsid w:val="008C42BF"/>
    <w:rsid w:val="008C5857"/>
    <w:rsid w:val="008C6BFA"/>
    <w:rsid w:val="008D282A"/>
    <w:rsid w:val="008E1FA8"/>
    <w:rsid w:val="008E4E86"/>
    <w:rsid w:val="008E6DE8"/>
    <w:rsid w:val="008F05AF"/>
    <w:rsid w:val="008F0D21"/>
    <w:rsid w:val="008F16E9"/>
    <w:rsid w:val="008F3757"/>
    <w:rsid w:val="008F56A1"/>
    <w:rsid w:val="008F6E82"/>
    <w:rsid w:val="008F7DB9"/>
    <w:rsid w:val="00902233"/>
    <w:rsid w:val="00904C9A"/>
    <w:rsid w:val="009065F0"/>
    <w:rsid w:val="00907E02"/>
    <w:rsid w:val="00910543"/>
    <w:rsid w:val="00912258"/>
    <w:rsid w:val="00913413"/>
    <w:rsid w:val="00914FCD"/>
    <w:rsid w:val="0091544C"/>
    <w:rsid w:val="009170CF"/>
    <w:rsid w:val="00920661"/>
    <w:rsid w:val="009211DB"/>
    <w:rsid w:val="00922843"/>
    <w:rsid w:val="00922B19"/>
    <w:rsid w:val="00923AE2"/>
    <w:rsid w:val="00926738"/>
    <w:rsid w:val="00930F37"/>
    <w:rsid w:val="009320DE"/>
    <w:rsid w:val="0094101D"/>
    <w:rsid w:val="00943AF7"/>
    <w:rsid w:val="00945730"/>
    <w:rsid w:val="00946BA6"/>
    <w:rsid w:val="00946FAD"/>
    <w:rsid w:val="0094763A"/>
    <w:rsid w:val="00950961"/>
    <w:rsid w:val="009521DF"/>
    <w:rsid w:val="0095340E"/>
    <w:rsid w:val="0095745B"/>
    <w:rsid w:val="00960BB5"/>
    <w:rsid w:val="00964EBB"/>
    <w:rsid w:val="00965AD6"/>
    <w:rsid w:val="00967916"/>
    <w:rsid w:val="009758DE"/>
    <w:rsid w:val="00976368"/>
    <w:rsid w:val="00976397"/>
    <w:rsid w:val="00980B0F"/>
    <w:rsid w:val="00984398"/>
    <w:rsid w:val="0098558F"/>
    <w:rsid w:val="00986212"/>
    <w:rsid w:val="009868E1"/>
    <w:rsid w:val="00995422"/>
    <w:rsid w:val="009A175E"/>
    <w:rsid w:val="009A325E"/>
    <w:rsid w:val="009A3DB8"/>
    <w:rsid w:val="009A7F86"/>
    <w:rsid w:val="009B3A0B"/>
    <w:rsid w:val="009B5A02"/>
    <w:rsid w:val="009B7749"/>
    <w:rsid w:val="009C02B8"/>
    <w:rsid w:val="009C1B80"/>
    <w:rsid w:val="009D3298"/>
    <w:rsid w:val="009D3478"/>
    <w:rsid w:val="009D352E"/>
    <w:rsid w:val="009D4C4F"/>
    <w:rsid w:val="009D50E9"/>
    <w:rsid w:val="009D693A"/>
    <w:rsid w:val="009E046A"/>
    <w:rsid w:val="009E294B"/>
    <w:rsid w:val="009E37E3"/>
    <w:rsid w:val="009E44B9"/>
    <w:rsid w:val="009E44D2"/>
    <w:rsid w:val="009E591A"/>
    <w:rsid w:val="009E7886"/>
    <w:rsid w:val="009F0413"/>
    <w:rsid w:val="009F3A3F"/>
    <w:rsid w:val="009F3C17"/>
    <w:rsid w:val="00A0049F"/>
    <w:rsid w:val="00A01177"/>
    <w:rsid w:val="00A01D0A"/>
    <w:rsid w:val="00A01EA9"/>
    <w:rsid w:val="00A04A04"/>
    <w:rsid w:val="00A1099D"/>
    <w:rsid w:val="00A12A3E"/>
    <w:rsid w:val="00A13003"/>
    <w:rsid w:val="00A13B58"/>
    <w:rsid w:val="00A13D51"/>
    <w:rsid w:val="00A14108"/>
    <w:rsid w:val="00A156CF"/>
    <w:rsid w:val="00A15976"/>
    <w:rsid w:val="00A216B1"/>
    <w:rsid w:val="00A21EE9"/>
    <w:rsid w:val="00A223A7"/>
    <w:rsid w:val="00A22827"/>
    <w:rsid w:val="00A2288D"/>
    <w:rsid w:val="00A23812"/>
    <w:rsid w:val="00A252C7"/>
    <w:rsid w:val="00A264CF"/>
    <w:rsid w:val="00A26608"/>
    <w:rsid w:val="00A26CC8"/>
    <w:rsid w:val="00A26D28"/>
    <w:rsid w:val="00A276D5"/>
    <w:rsid w:val="00A305B5"/>
    <w:rsid w:val="00A3150F"/>
    <w:rsid w:val="00A32BFC"/>
    <w:rsid w:val="00A342FF"/>
    <w:rsid w:val="00A35992"/>
    <w:rsid w:val="00A35D22"/>
    <w:rsid w:val="00A379A3"/>
    <w:rsid w:val="00A41774"/>
    <w:rsid w:val="00A42735"/>
    <w:rsid w:val="00A43A48"/>
    <w:rsid w:val="00A44CF7"/>
    <w:rsid w:val="00A45012"/>
    <w:rsid w:val="00A451A0"/>
    <w:rsid w:val="00A46A65"/>
    <w:rsid w:val="00A46B68"/>
    <w:rsid w:val="00A57079"/>
    <w:rsid w:val="00A579A1"/>
    <w:rsid w:val="00A6383A"/>
    <w:rsid w:val="00A64848"/>
    <w:rsid w:val="00A65462"/>
    <w:rsid w:val="00A66714"/>
    <w:rsid w:val="00A77CD7"/>
    <w:rsid w:val="00A80588"/>
    <w:rsid w:val="00A83838"/>
    <w:rsid w:val="00A8441C"/>
    <w:rsid w:val="00A8680D"/>
    <w:rsid w:val="00A90C55"/>
    <w:rsid w:val="00A91692"/>
    <w:rsid w:val="00A93F54"/>
    <w:rsid w:val="00A9419D"/>
    <w:rsid w:val="00A948FC"/>
    <w:rsid w:val="00A96C19"/>
    <w:rsid w:val="00A97777"/>
    <w:rsid w:val="00A97B24"/>
    <w:rsid w:val="00A97D83"/>
    <w:rsid w:val="00AA0025"/>
    <w:rsid w:val="00AA3A06"/>
    <w:rsid w:val="00AA3C0E"/>
    <w:rsid w:val="00AA4B2D"/>
    <w:rsid w:val="00AA6333"/>
    <w:rsid w:val="00AA643B"/>
    <w:rsid w:val="00AA7C1D"/>
    <w:rsid w:val="00AB0389"/>
    <w:rsid w:val="00AB0B26"/>
    <w:rsid w:val="00AB1DCD"/>
    <w:rsid w:val="00AB2F79"/>
    <w:rsid w:val="00AB397A"/>
    <w:rsid w:val="00AB4318"/>
    <w:rsid w:val="00AB479D"/>
    <w:rsid w:val="00AB58AB"/>
    <w:rsid w:val="00AB5ABD"/>
    <w:rsid w:val="00AB6587"/>
    <w:rsid w:val="00AB69E0"/>
    <w:rsid w:val="00AC1FEC"/>
    <w:rsid w:val="00AC24A1"/>
    <w:rsid w:val="00AC3195"/>
    <w:rsid w:val="00AC64A5"/>
    <w:rsid w:val="00AC7AFC"/>
    <w:rsid w:val="00AD02D5"/>
    <w:rsid w:val="00AD2402"/>
    <w:rsid w:val="00AD2FE6"/>
    <w:rsid w:val="00AD4B5F"/>
    <w:rsid w:val="00AD4DAC"/>
    <w:rsid w:val="00AD7909"/>
    <w:rsid w:val="00AE0BEA"/>
    <w:rsid w:val="00AE1D69"/>
    <w:rsid w:val="00AE1ECA"/>
    <w:rsid w:val="00AE37A9"/>
    <w:rsid w:val="00AE738F"/>
    <w:rsid w:val="00AF31A8"/>
    <w:rsid w:val="00AF4399"/>
    <w:rsid w:val="00AF4548"/>
    <w:rsid w:val="00AF49B1"/>
    <w:rsid w:val="00AF6511"/>
    <w:rsid w:val="00B00B6C"/>
    <w:rsid w:val="00B00CD0"/>
    <w:rsid w:val="00B01BDE"/>
    <w:rsid w:val="00B031FF"/>
    <w:rsid w:val="00B03A3C"/>
    <w:rsid w:val="00B03BE3"/>
    <w:rsid w:val="00B04DBF"/>
    <w:rsid w:val="00B11E11"/>
    <w:rsid w:val="00B1382D"/>
    <w:rsid w:val="00B139A6"/>
    <w:rsid w:val="00B1710B"/>
    <w:rsid w:val="00B174C8"/>
    <w:rsid w:val="00B2039B"/>
    <w:rsid w:val="00B20D6C"/>
    <w:rsid w:val="00B222A3"/>
    <w:rsid w:val="00B23695"/>
    <w:rsid w:val="00B31F07"/>
    <w:rsid w:val="00B324F5"/>
    <w:rsid w:val="00B32561"/>
    <w:rsid w:val="00B33E2F"/>
    <w:rsid w:val="00B40032"/>
    <w:rsid w:val="00B40362"/>
    <w:rsid w:val="00B41AAC"/>
    <w:rsid w:val="00B42D20"/>
    <w:rsid w:val="00B436A5"/>
    <w:rsid w:val="00B43C19"/>
    <w:rsid w:val="00B45EC4"/>
    <w:rsid w:val="00B478F7"/>
    <w:rsid w:val="00B50C00"/>
    <w:rsid w:val="00B52596"/>
    <w:rsid w:val="00B52A88"/>
    <w:rsid w:val="00B556F7"/>
    <w:rsid w:val="00B56B28"/>
    <w:rsid w:val="00B638FD"/>
    <w:rsid w:val="00B64400"/>
    <w:rsid w:val="00B70556"/>
    <w:rsid w:val="00B769FE"/>
    <w:rsid w:val="00B80C31"/>
    <w:rsid w:val="00B82483"/>
    <w:rsid w:val="00B82D04"/>
    <w:rsid w:val="00B831E7"/>
    <w:rsid w:val="00B83C52"/>
    <w:rsid w:val="00B844CC"/>
    <w:rsid w:val="00B900E3"/>
    <w:rsid w:val="00BA3798"/>
    <w:rsid w:val="00BA42CB"/>
    <w:rsid w:val="00BA5144"/>
    <w:rsid w:val="00BA51A7"/>
    <w:rsid w:val="00BA67F4"/>
    <w:rsid w:val="00BA76CF"/>
    <w:rsid w:val="00BB1376"/>
    <w:rsid w:val="00BB16CD"/>
    <w:rsid w:val="00BB251B"/>
    <w:rsid w:val="00BB3090"/>
    <w:rsid w:val="00BB31B4"/>
    <w:rsid w:val="00BB3F9F"/>
    <w:rsid w:val="00BB594B"/>
    <w:rsid w:val="00BB72B3"/>
    <w:rsid w:val="00BC0D1C"/>
    <w:rsid w:val="00BC256C"/>
    <w:rsid w:val="00BC341E"/>
    <w:rsid w:val="00BC3C9C"/>
    <w:rsid w:val="00BC48D8"/>
    <w:rsid w:val="00BC62E2"/>
    <w:rsid w:val="00BC7CC5"/>
    <w:rsid w:val="00BD023A"/>
    <w:rsid w:val="00BD26D4"/>
    <w:rsid w:val="00BD3BAB"/>
    <w:rsid w:val="00BD42CD"/>
    <w:rsid w:val="00BD4C50"/>
    <w:rsid w:val="00BD7626"/>
    <w:rsid w:val="00BE0540"/>
    <w:rsid w:val="00BE2628"/>
    <w:rsid w:val="00BE2B51"/>
    <w:rsid w:val="00BE4088"/>
    <w:rsid w:val="00BE42C1"/>
    <w:rsid w:val="00BE4472"/>
    <w:rsid w:val="00BE5C2D"/>
    <w:rsid w:val="00BE5E6C"/>
    <w:rsid w:val="00BE7D4E"/>
    <w:rsid w:val="00BF030D"/>
    <w:rsid w:val="00BF5510"/>
    <w:rsid w:val="00BF560B"/>
    <w:rsid w:val="00C00E04"/>
    <w:rsid w:val="00C063BE"/>
    <w:rsid w:val="00C0691E"/>
    <w:rsid w:val="00C06C0C"/>
    <w:rsid w:val="00C111BE"/>
    <w:rsid w:val="00C15D61"/>
    <w:rsid w:val="00C172D4"/>
    <w:rsid w:val="00C1761D"/>
    <w:rsid w:val="00C20113"/>
    <w:rsid w:val="00C23E05"/>
    <w:rsid w:val="00C23ED9"/>
    <w:rsid w:val="00C24370"/>
    <w:rsid w:val="00C24CE2"/>
    <w:rsid w:val="00C262CF"/>
    <w:rsid w:val="00C26FD0"/>
    <w:rsid w:val="00C27986"/>
    <w:rsid w:val="00C3073D"/>
    <w:rsid w:val="00C31C31"/>
    <w:rsid w:val="00C35C02"/>
    <w:rsid w:val="00C3632F"/>
    <w:rsid w:val="00C36C36"/>
    <w:rsid w:val="00C37381"/>
    <w:rsid w:val="00C401D7"/>
    <w:rsid w:val="00C429C7"/>
    <w:rsid w:val="00C42EDC"/>
    <w:rsid w:val="00C45844"/>
    <w:rsid w:val="00C45A61"/>
    <w:rsid w:val="00C45FF5"/>
    <w:rsid w:val="00C5197B"/>
    <w:rsid w:val="00C52C89"/>
    <w:rsid w:val="00C57E09"/>
    <w:rsid w:val="00C60A50"/>
    <w:rsid w:val="00C60E02"/>
    <w:rsid w:val="00C7238C"/>
    <w:rsid w:val="00C732C3"/>
    <w:rsid w:val="00C75AB8"/>
    <w:rsid w:val="00C7605F"/>
    <w:rsid w:val="00C77ADD"/>
    <w:rsid w:val="00C8023A"/>
    <w:rsid w:val="00C81BAD"/>
    <w:rsid w:val="00C82120"/>
    <w:rsid w:val="00C87795"/>
    <w:rsid w:val="00C90B0B"/>
    <w:rsid w:val="00C91B1C"/>
    <w:rsid w:val="00C9234C"/>
    <w:rsid w:val="00C94C3C"/>
    <w:rsid w:val="00C967B3"/>
    <w:rsid w:val="00CB2127"/>
    <w:rsid w:val="00CB23FB"/>
    <w:rsid w:val="00CB427F"/>
    <w:rsid w:val="00CB5246"/>
    <w:rsid w:val="00CB555D"/>
    <w:rsid w:val="00CC1FE8"/>
    <w:rsid w:val="00CC591E"/>
    <w:rsid w:val="00CC7801"/>
    <w:rsid w:val="00CD144E"/>
    <w:rsid w:val="00CD19F9"/>
    <w:rsid w:val="00CD2624"/>
    <w:rsid w:val="00CD41D0"/>
    <w:rsid w:val="00CD654C"/>
    <w:rsid w:val="00CE0162"/>
    <w:rsid w:val="00CE3FF7"/>
    <w:rsid w:val="00CE4FF0"/>
    <w:rsid w:val="00CE6700"/>
    <w:rsid w:val="00CF10C2"/>
    <w:rsid w:val="00CF48EC"/>
    <w:rsid w:val="00CF4DFC"/>
    <w:rsid w:val="00CF59ED"/>
    <w:rsid w:val="00D01A82"/>
    <w:rsid w:val="00D027DF"/>
    <w:rsid w:val="00D042AD"/>
    <w:rsid w:val="00D0519D"/>
    <w:rsid w:val="00D10CBE"/>
    <w:rsid w:val="00D11AD4"/>
    <w:rsid w:val="00D12ADF"/>
    <w:rsid w:val="00D1438B"/>
    <w:rsid w:val="00D1558D"/>
    <w:rsid w:val="00D16380"/>
    <w:rsid w:val="00D20967"/>
    <w:rsid w:val="00D22498"/>
    <w:rsid w:val="00D22A6A"/>
    <w:rsid w:val="00D23423"/>
    <w:rsid w:val="00D23924"/>
    <w:rsid w:val="00D242E5"/>
    <w:rsid w:val="00D252A8"/>
    <w:rsid w:val="00D25473"/>
    <w:rsid w:val="00D256DC"/>
    <w:rsid w:val="00D25D15"/>
    <w:rsid w:val="00D30068"/>
    <w:rsid w:val="00D306F4"/>
    <w:rsid w:val="00D33045"/>
    <w:rsid w:val="00D333FB"/>
    <w:rsid w:val="00D33530"/>
    <w:rsid w:val="00D34588"/>
    <w:rsid w:val="00D355D9"/>
    <w:rsid w:val="00D3613E"/>
    <w:rsid w:val="00D370D7"/>
    <w:rsid w:val="00D37562"/>
    <w:rsid w:val="00D4008D"/>
    <w:rsid w:val="00D41286"/>
    <w:rsid w:val="00D42B17"/>
    <w:rsid w:val="00D43D48"/>
    <w:rsid w:val="00D44500"/>
    <w:rsid w:val="00D454BD"/>
    <w:rsid w:val="00D464C4"/>
    <w:rsid w:val="00D46B29"/>
    <w:rsid w:val="00D5011A"/>
    <w:rsid w:val="00D522AD"/>
    <w:rsid w:val="00D5250A"/>
    <w:rsid w:val="00D5319C"/>
    <w:rsid w:val="00D622DA"/>
    <w:rsid w:val="00D6301D"/>
    <w:rsid w:val="00D6518C"/>
    <w:rsid w:val="00D66678"/>
    <w:rsid w:val="00D679EE"/>
    <w:rsid w:val="00D7111E"/>
    <w:rsid w:val="00D74E93"/>
    <w:rsid w:val="00D752D8"/>
    <w:rsid w:val="00D75875"/>
    <w:rsid w:val="00D80A6E"/>
    <w:rsid w:val="00D87052"/>
    <w:rsid w:val="00D87ACC"/>
    <w:rsid w:val="00D9410F"/>
    <w:rsid w:val="00D94D00"/>
    <w:rsid w:val="00D97D44"/>
    <w:rsid w:val="00D97F42"/>
    <w:rsid w:val="00DA029F"/>
    <w:rsid w:val="00DA22EA"/>
    <w:rsid w:val="00DA2A01"/>
    <w:rsid w:val="00DA4C96"/>
    <w:rsid w:val="00DA6CF3"/>
    <w:rsid w:val="00DA7057"/>
    <w:rsid w:val="00DB4B51"/>
    <w:rsid w:val="00DB79AD"/>
    <w:rsid w:val="00DC1F25"/>
    <w:rsid w:val="00DC4CEA"/>
    <w:rsid w:val="00DC6FDD"/>
    <w:rsid w:val="00DC70C4"/>
    <w:rsid w:val="00DC766F"/>
    <w:rsid w:val="00DD1498"/>
    <w:rsid w:val="00DD15DF"/>
    <w:rsid w:val="00DE0B5C"/>
    <w:rsid w:val="00DE1014"/>
    <w:rsid w:val="00DE1D28"/>
    <w:rsid w:val="00DE5B9E"/>
    <w:rsid w:val="00DF1548"/>
    <w:rsid w:val="00DF17AC"/>
    <w:rsid w:val="00DF5D1C"/>
    <w:rsid w:val="00DF66EC"/>
    <w:rsid w:val="00E0007C"/>
    <w:rsid w:val="00E00AD1"/>
    <w:rsid w:val="00E013E3"/>
    <w:rsid w:val="00E020DB"/>
    <w:rsid w:val="00E027E4"/>
    <w:rsid w:val="00E029D9"/>
    <w:rsid w:val="00E06697"/>
    <w:rsid w:val="00E0778B"/>
    <w:rsid w:val="00E12B34"/>
    <w:rsid w:val="00E1341C"/>
    <w:rsid w:val="00E13D22"/>
    <w:rsid w:val="00E144BA"/>
    <w:rsid w:val="00E168C2"/>
    <w:rsid w:val="00E17A29"/>
    <w:rsid w:val="00E20A31"/>
    <w:rsid w:val="00E23CF7"/>
    <w:rsid w:val="00E255C6"/>
    <w:rsid w:val="00E26D18"/>
    <w:rsid w:val="00E26EC2"/>
    <w:rsid w:val="00E34650"/>
    <w:rsid w:val="00E3680C"/>
    <w:rsid w:val="00E44F52"/>
    <w:rsid w:val="00E457C6"/>
    <w:rsid w:val="00E51056"/>
    <w:rsid w:val="00E53442"/>
    <w:rsid w:val="00E53840"/>
    <w:rsid w:val="00E56468"/>
    <w:rsid w:val="00E565D1"/>
    <w:rsid w:val="00E60618"/>
    <w:rsid w:val="00E623D1"/>
    <w:rsid w:val="00E62A8C"/>
    <w:rsid w:val="00E642FD"/>
    <w:rsid w:val="00E64912"/>
    <w:rsid w:val="00E669C7"/>
    <w:rsid w:val="00E70E91"/>
    <w:rsid w:val="00E7358D"/>
    <w:rsid w:val="00E76747"/>
    <w:rsid w:val="00E77818"/>
    <w:rsid w:val="00E80DFF"/>
    <w:rsid w:val="00E84504"/>
    <w:rsid w:val="00E8765C"/>
    <w:rsid w:val="00E87CA7"/>
    <w:rsid w:val="00E90C10"/>
    <w:rsid w:val="00E91269"/>
    <w:rsid w:val="00E9284C"/>
    <w:rsid w:val="00E93CE5"/>
    <w:rsid w:val="00E93EA2"/>
    <w:rsid w:val="00E94C14"/>
    <w:rsid w:val="00EA0FC5"/>
    <w:rsid w:val="00EA17B4"/>
    <w:rsid w:val="00EA3B8D"/>
    <w:rsid w:val="00EA7E35"/>
    <w:rsid w:val="00EB1C50"/>
    <w:rsid w:val="00EB3868"/>
    <w:rsid w:val="00EB5CDF"/>
    <w:rsid w:val="00EC43D0"/>
    <w:rsid w:val="00EC5352"/>
    <w:rsid w:val="00EC5B0C"/>
    <w:rsid w:val="00EC6264"/>
    <w:rsid w:val="00EC6B2E"/>
    <w:rsid w:val="00EC7AC6"/>
    <w:rsid w:val="00ED0512"/>
    <w:rsid w:val="00ED0A88"/>
    <w:rsid w:val="00ED1654"/>
    <w:rsid w:val="00ED4EE7"/>
    <w:rsid w:val="00EE02E3"/>
    <w:rsid w:val="00EE1D7D"/>
    <w:rsid w:val="00EE2B69"/>
    <w:rsid w:val="00EE7C4B"/>
    <w:rsid w:val="00EF0A8B"/>
    <w:rsid w:val="00EF10C5"/>
    <w:rsid w:val="00EF2D58"/>
    <w:rsid w:val="00EF3C2E"/>
    <w:rsid w:val="00EF4E78"/>
    <w:rsid w:val="00EF6298"/>
    <w:rsid w:val="00F00425"/>
    <w:rsid w:val="00F011EA"/>
    <w:rsid w:val="00F023D1"/>
    <w:rsid w:val="00F05306"/>
    <w:rsid w:val="00F05B93"/>
    <w:rsid w:val="00F06855"/>
    <w:rsid w:val="00F10B1F"/>
    <w:rsid w:val="00F11667"/>
    <w:rsid w:val="00F11ACB"/>
    <w:rsid w:val="00F12FF1"/>
    <w:rsid w:val="00F16EC0"/>
    <w:rsid w:val="00F17704"/>
    <w:rsid w:val="00F21B25"/>
    <w:rsid w:val="00F22AC4"/>
    <w:rsid w:val="00F26557"/>
    <w:rsid w:val="00F2761D"/>
    <w:rsid w:val="00F30A28"/>
    <w:rsid w:val="00F33953"/>
    <w:rsid w:val="00F34564"/>
    <w:rsid w:val="00F34D05"/>
    <w:rsid w:val="00F35240"/>
    <w:rsid w:val="00F36470"/>
    <w:rsid w:val="00F36A07"/>
    <w:rsid w:val="00F36A59"/>
    <w:rsid w:val="00F37A19"/>
    <w:rsid w:val="00F37E6F"/>
    <w:rsid w:val="00F40E4F"/>
    <w:rsid w:val="00F42C29"/>
    <w:rsid w:val="00F4653F"/>
    <w:rsid w:val="00F54D70"/>
    <w:rsid w:val="00F55B38"/>
    <w:rsid w:val="00F560B4"/>
    <w:rsid w:val="00F56931"/>
    <w:rsid w:val="00F5734F"/>
    <w:rsid w:val="00F64B04"/>
    <w:rsid w:val="00F67011"/>
    <w:rsid w:val="00F67028"/>
    <w:rsid w:val="00F711BF"/>
    <w:rsid w:val="00F73B7C"/>
    <w:rsid w:val="00F74D4F"/>
    <w:rsid w:val="00F81D45"/>
    <w:rsid w:val="00F83A37"/>
    <w:rsid w:val="00F83DBE"/>
    <w:rsid w:val="00F844CD"/>
    <w:rsid w:val="00F84D3F"/>
    <w:rsid w:val="00F857FC"/>
    <w:rsid w:val="00F86300"/>
    <w:rsid w:val="00F8675A"/>
    <w:rsid w:val="00F931D9"/>
    <w:rsid w:val="00F93792"/>
    <w:rsid w:val="00F93BAA"/>
    <w:rsid w:val="00F95375"/>
    <w:rsid w:val="00F9555B"/>
    <w:rsid w:val="00F95964"/>
    <w:rsid w:val="00F97D60"/>
    <w:rsid w:val="00FA111C"/>
    <w:rsid w:val="00FA3ACE"/>
    <w:rsid w:val="00FA4B2E"/>
    <w:rsid w:val="00FA5396"/>
    <w:rsid w:val="00FA60B1"/>
    <w:rsid w:val="00FA6537"/>
    <w:rsid w:val="00FB020E"/>
    <w:rsid w:val="00FB08C9"/>
    <w:rsid w:val="00FB0CB7"/>
    <w:rsid w:val="00FB1259"/>
    <w:rsid w:val="00FB2A08"/>
    <w:rsid w:val="00FB465D"/>
    <w:rsid w:val="00FB5882"/>
    <w:rsid w:val="00FB6730"/>
    <w:rsid w:val="00FB68B5"/>
    <w:rsid w:val="00FB6F3F"/>
    <w:rsid w:val="00FB74FF"/>
    <w:rsid w:val="00FC0ADD"/>
    <w:rsid w:val="00FC0AE0"/>
    <w:rsid w:val="00FC0CA7"/>
    <w:rsid w:val="00FC15E6"/>
    <w:rsid w:val="00FC6089"/>
    <w:rsid w:val="00FC799D"/>
    <w:rsid w:val="00FD1FF0"/>
    <w:rsid w:val="00FD346C"/>
    <w:rsid w:val="00FD744C"/>
    <w:rsid w:val="00FE365B"/>
    <w:rsid w:val="00FE3B96"/>
    <w:rsid w:val="00FE4DB7"/>
    <w:rsid w:val="00FE5690"/>
    <w:rsid w:val="00FF5BE4"/>
    <w:rsid w:val="00FF6C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7A6286-1A2B-487E-9026-F1139186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2E2"/>
    <w:pPr>
      <w:tabs>
        <w:tab w:val="left" w:pos="720"/>
        <w:tab w:val="left" w:pos="6912"/>
      </w:tabs>
      <w:spacing w:line="280" w:lineRule="atLeast"/>
      <w:jc w:val="both"/>
    </w:pPr>
    <w:rPr>
      <w:sz w:val="22"/>
      <w:lang w:eastAsia="en-US"/>
    </w:rPr>
  </w:style>
  <w:style w:type="paragraph" w:styleId="Heading1">
    <w:name w:val="heading 1"/>
    <w:basedOn w:val="Normal"/>
    <w:next w:val="Normal"/>
    <w:link w:val="Heading1Char"/>
    <w:uiPriority w:val="9"/>
    <w:qFormat/>
    <w:rsid w:val="003B1D11"/>
    <w:pPr>
      <w:keepNext/>
      <w:numPr>
        <w:numId w:val="2"/>
      </w:numPr>
      <w:tabs>
        <w:tab w:val="clear" w:pos="720"/>
        <w:tab w:val="left" w:pos="0"/>
      </w:tabs>
      <w:spacing w:after="240" w:line="276" w:lineRule="auto"/>
      <w:outlineLvl w:val="0"/>
    </w:pPr>
    <w:rPr>
      <w:rFonts w:cs="Arial"/>
      <w:b/>
      <w:iCs/>
      <w:caps/>
      <w:kern w:val="28"/>
      <w:sz w:val="24"/>
    </w:rPr>
  </w:style>
  <w:style w:type="paragraph" w:styleId="Heading2">
    <w:name w:val="heading 2"/>
    <w:basedOn w:val="Normal"/>
    <w:next w:val="Normal"/>
    <w:link w:val="Heading2Char"/>
    <w:uiPriority w:val="9"/>
    <w:qFormat/>
    <w:rsid w:val="00B23695"/>
    <w:pPr>
      <w:keepNext/>
      <w:numPr>
        <w:ilvl w:val="1"/>
        <w:numId w:val="2"/>
      </w:numPr>
      <w:tabs>
        <w:tab w:val="clear" w:pos="720"/>
        <w:tab w:val="clear" w:pos="860"/>
        <w:tab w:val="clear" w:pos="6912"/>
        <w:tab w:val="left" w:pos="0"/>
      </w:tabs>
      <w:spacing w:before="240" w:after="240" w:line="276" w:lineRule="auto"/>
      <w:ind w:left="284" w:hanging="284"/>
      <w:outlineLvl w:val="1"/>
    </w:pPr>
    <w:rPr>
      <w:b/>
      <w:caps/>
      <w:szCs w:val="22"/>
      <w:lang w:eastAsia="hr-HR"/>
    </w:rPr>
  </w:style>
  <w:style w:type="paragraph" w:styleId="Heading3">
    <w:name w:val="heading 3"/>
    <w:basedOn w:val="Normal"/>
    <w:next w:val="Normal"/>
    <w:link w:val="Heading3Char"/>
    <w:uiPriority w:val="99"/>
    <w:qFormat/>
    <w:rsid w:val="00B70556"/>
    <w:pPr>
      <w:keepNext/>
      <w:numPr>
        <w:ilvl w:val="2"/>
        <w:numId w:val="2"/>
      </w:numPr>
      <w:tabs>
        <w:tab w:val="clear" w:pos="720"/>
        <w:tab w:val="clear" w:pos="1648"/>
        <w:tab w:val="clear" w:pos="6912"/>
      </w:tabs>
      <w:spacing w:before="240" w:after="240" w:line="276" w:lineRule="auto"/>
      <w:ind w:left="505" w:hanging="505"/>
      <w:jc w:val="left"/>
      <w:outlineLvl w:val="2"/>
    </w:pPr>
    <w:rPr>
      <w:b/>
    </w:rPr>
  </w:style>
  <w:style w:type="paragraph" w:styleId="Heading4">
    <w:name w:val="heading 4"/>
    <w:basedOn w:val="Normal"/>
    <w:next w:val="Normal"/>
    <w:link w:val="Heading4Char"/>
    <w:uiPriority w:val="99"/>
    <w:qFormat/>
    <w:rsid w:val="0047546D"/>
    <w:pPr>
      <w:keepNext/>
      <w:numPr>
        <w:ilvl w:val="3"/>
        <w:numId w:val="2"/>
      </w:numPr>
      <w:tabs>
        <w:tab w:val="clear" w:pos="720"/>
        <w:tab w:val="clear" w:pos="864"/>
        <w:tab w:val="clear" w:pos="6912"/>
      </w:tabs>
      <w:spacing w:before="240" w:after="240" w:line="276" w:lineRule="auto"/>
      <w:ind w:left="851" w:hanging="851"/>
      <w:jc w:val="left"/>
      <w:outlineLvl w:val="3"/>
    </w:pPr>
    <w:rPr>
      <w:b/>
      <w:szCs w:val="22"/>
    </w:rPr>
  </w:style>
  <w:style w:type="paragraph" w:styleId="Heading5">
    <w:name w:val="heading 5"/>
    <w:basedOn w:val="Normal"/>
    <w:next w:val="Normal"/>
    <w:link w:val="Heading5Char"/>
    <w:uiPriority w:val="99"/>
    <w:qFormat/>
    <w:rsid w:val="00CB23FB"/>
    <w:pPr>
      <w:numPr>
        <w:ilvl w:val="4"/>
        <w:numId w:val="2"/>
      </w:numPr>
      <w:spacing w:before="240" w:after="60"/>
      <w:outlineLvl w:val="4"/>
    </w:pPr>
  </w:style>
  <w:style w:type="paragraph" w:styleId="Heading6">
    <w:name w:val="heading 6"/>
    <w:aliases w:val="TABLICE"/>
    <w:basedOn w:val="Normal"/>
    <w:next w:val="Normal"/>
    <w:qFormat/>
    <w:rsid w:val="00B33E2F"/>
    <w:pPr>
      <w:outlineLvl w:val="5"/>
    </w:pPr>
    <w:rPr>
      <w:i/>
    </w:rPr>
  </w:style>
  <w:style w:type="paragraph" w:styleId="Heading7">
    <w:name w:val="heading 7"/>
    <w:aliases w:val="SLIKE"/>
    <w:basedOn w:val="Normal"/>
    <w:next w:val="Normal"/>
    <w:qFormat/>
    <w:rsid w:val="00AE37A9"/>
    <w:pPr>
      <w:jc w:val="center"/>
      <w:outlineLvl w:val="6"/>
    </w:pPr>
    <w:rPr>
      <w:i/>
    </w:rPr>
  </w:style>
  <w:style w:type="paragraph" w:styleId="Heading8">
    <w:name w:val="heading 8"/>
    <w:basedOn w:val="Normal"/>
    <w:next w:val="Normal"/>
    <w:link w:val="Heading8Char"/>
    <w:uiPriority w:val="99"/>
    <w:qFormat/>
    <w:rsid w:val="00CB23FB"/>
    <w:pPr>
      <w:numPr>
        <w:ilvl w:val="7"/>
        <w:numId w:val="2"/>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CB23FB"/>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23FB"/>
    <w:pPr>
      <w:tabs>
        <w:tab w:val="center" w:pos="4153"/>
        <w:tab w:val="right" w:pos="8306"/>
      </w:tabs>
    </w:pPr>
  </w:style>
  <w:style w:type="paragraph" w:styleId="Footer">
    <w:name w:val="footer"/>
    <w:basedOn w:val="Normal"/>
    <w:link w:val="FooterChar"/>
    <w:uiPriority w:val="99"/>
    <w:rsid w:val="00CB23FB"/>
    <w:pPr>
      <w:tabs>
        <w:tab w:val="center" w:pos="4153"/>
        <w:tab w:val="right" w:pos="8306"/>
      </w:tabs>
    </w:pPr>
  </w:style>
  <w:style w:type="character" w:styleId="PageNumber">
    <w:name w:val="page number"/>
    <w:basedOn w:val="DefaultParagraphFont"/>
    <w:uiPriority w:val="99"/>
    <w:rsid w:val="00CB23FB"/>
  </w:style>
  <w:style w:type="paragraph" w:styleId="TOC1">
    <w:name w:val="toc 1"/>
    <w:basedOn w:val="Normal"/>
    <w:next w:val="Normal"/>
    <w:autoRedefine/>
    <w:uiPriority w:val="39"/>
    <w:qFormat/>
    <w:rsid w:val="00734D9A"/>
    <w:pPr>
      <w:tabs>
        <w:tab w:val="clear" w:pos="720"/>
        <w:tab w:val="clear" w:pos="6912"/>
      </w:tabs>
      <w:spacing w:before="360"/>
      <w:jc w:val="left"/>
    </w:pPr>
    <w:rPr>
      <w:rFonts w:ascii="Cambria" w:hAnsi="Cambria"/>
      <w:b/>
      <w:bCs/>
      <w:caps/>
      <w:sz w:val="24"/>
      <w:szCs w:val="24"/>
    </w:rPr>
  </w:style>
  <w:style w:type="paragraph" w:styleId="TOC2">
    <w:name w:val="toc 2"/>
    <w:basedOn w:val="Normal"/>
    <w:next w:val="Normal"/>
    <w:autoRedefine/>
    <w:uiPriority w:val="39"/>
    <w:qFormat/>
    <w:rsid w:val="00734D9A"/>
    <w:pPr>
      <w:tabs>
        <w:tab w:val="clear" w:pos="720"/>
        <w:tab w:val="clear" w:pos="6912"/>
      </w:tabs>
      <w:spacing w:before="240"/>
      <w:jc w:val="left"/>
    </w:pPr>
    <w:rPr>
      <w:b/>
      <w:bCs/>
      <w:sz w:val="20"/>
    </w:rPr>
  </w:style>
  <w:style w:type="paragraph" w:styleId="TOC3">
    <w:name w:val="toc 3"/>
    <w:basedOn w:val="Normal"/>
    <w:next w:val="Normal"/>
    <w:autoRedefine/>
    <w:uiPriority w:val="39"/>
    <w:qFormat/>
    <w:rsid w:val="00734D9A"/>
    <w:pPr>
      <w:tabs>
        <w:tab w:val="clear" w:pos="720"/>
        <w:tab w:val="clear" w:pos="6912"/>
      </w:tabs>
      <w:ind w:left="210"/>
      <w:jc w:val="left"/>
    </w:pPr>
    <w:rPr>
      <w:sz w:val="20"/>
    </w:rPr>
  </w:style>
  <w:style w:type="paragraph" w:styleId="TOC4">
    <w:name w:val="toc 4"/>
    <w:basedOn w:val="Normal"/>
    <w:next w:val="Normal"/>
    <w:autoRedefine/>
    <w:uiPriority w:val="39"/>
    <w:rsid w:val="00E06697"/>
    <w:pPr>
      <w:tabs>
        <w:tab w:val="clear" w:pos="720"/>
        <w:tab w:val="clear" w:pos="6912"/>
        <w:tab w:val="left" w:pos="1260"/>
        <w:tab w:val="right" w:leader="dot" w:pos="9072"/>
      </w:tabs>
      <w:spacing w:after="120"/>
      <w:ind w:left="420"/>
      <w:jc w:val="left"/>
    </w:pPr>
    <w:rPr>
      <w:sz w:val="20"/>
    </w:rPr>
  </w:style>
  <w:style w:type="paragraph" w:styleId="TOC5">
    <w:name w:val="toc 5"/>
    <w:basedOn w:val="Normal"/>
    <w:next w:val="Normal"/>
    <w:autoRedefine/>
    <w:uiPriority w:val="99"/>
    <w:rsid w:val="00CB23FB"/>
    <w:pPr>
      <w:tabs>
        <w:tab w:val="clear" w:pos="720"/>
        <w:tab w:val="clear" w:pos="6912"/>
      </w:tabs>
      <w:ind w:left="630"/>
      <w:jc w:val="left"/>
    </w:pPr>
    <w:rPr>
      <w:sz w:val="20"/>
    </w:rPr>
  </w:style>
  <w:style w:type="paragraph" w:styleId="TOC6">
    <w:name w:val="toc 6"/>
    <w:basedOn w:val="Normal"/>
    <w:next w:val="Normal"/>
    <w:autoRedefine/>
    <w:uiPriority w:val="99"/>
    <w:rsid w:val="00CB23FB"/>
    <w:pPr>
      <w:tabs>
        <w:tab w:val="clear" w:pos="720"/>
        <w:tab w:val="clear" w:pos="6912"/>
      </w:tabs>
      <w:ind w:left="840"/>
      <w:jc w:val="left"/>
    </w:pPr>
    <w:rPr>
      <w:sz w:val="20"/>
    </w:rPr>
  </w:style>
  <w:style w:type="paragraph" w:styleId="TOC7">
    <w:name w:val="toc 7"/>
    <w:basedOn w:val="Normal"/>
    <w:next w:val="Normal"/>
    <w:autoRedefine/>
    <w:uiPriority w:val="99"/>
    <w:rsid w:val="00CB23FB"/>
    <w:pPr>
      <w:tabs>
        <w:tab w:val="clear" w:pos="720"/>
        <w:tab w:val="clear" w:pos="6912"/>
      </w:tabs>
      <w:ind w:left="1050"/>
      <w:jc w:val="left"/>
    </w:pPr>
    <w:rPr>
      <w:sz w:val="20"/>
    </w:rPr>
  </w:style>
  <w:style w:type="paragraph" w:styleId="TOC8">
    <w:name w:val="toc 8"/>
    <w:basedOn w:val="Normal"/>
    <w:next w:val="Normal"/>
    <w:autoRedefine/>
    <w:uiPriority w:val="99"/>
    <w:rsid w:val="00CB23FB"/>
    <w:pPr>
      <w:tabs>
        <w:tab w:val="clear" w:pos="720"/>
        <w:tab w:val="clear" w:pos="6912"/>
      </w:tabs>
      <w:ind w:left="1260"/>
      <w:jc w:val="left"/>
    </w:pPr>
    <w:rPr>
      <w:sz w:val="20"/>
    </w:rPr>
  </w:style>
  <w:style w:type="paragraph" w:styleId="TOC9">
    <w:name w:val="toc 9"/>
    <w:basedOn w:val="Normal"/>
    <w:next w:val="Normal"/>
    <w:autoRedefine/>
    <w:uiPriority w:val="99"/>
    <w:rsid w:val="00CB23FB"/>
    <w:pPr>
      <w:tabs>
        <w:tab w:val="clear" w:pos="720"/>
        <w:tab w:val="clear" w:pos="6912"/>
      </w:tabs>
      <w:ind w:left="1470"/>
      <w:jc w:val="left"/>
    </w:pPr>
    <w:rPr>
      <w:sz w:val="20"/>
    </w:rPr>
  </w:style>
  <w:style w:type="paragraph" w:styleId="Caption">
    <w:name w:val="caption"/>
    <w:aliases w:val="Char"/>
    <w:basedOn w:val="Normal"/>
    <w:next w:val="Normal"/>
    <w:link w:val="CaptionChar"/>
    <w:uiPriority w:val="99"/>
    <w:qFormat/>
    <w:rsid w:val="00086486"/>
    <w:pPr>
      <w:spacing w:line="240" w:lineRule="auto"/>
    </w:pPr>
    <w:rPr>
      <w:rFonts w:cs="Arial"/>
      <w:i/>
      <w:szCs w:val="22"/>
    </w:rPr>
  </w:style>
  <w:style w:type="paragraph" w:customStyle="1" w:styleId="HEADINGAPPENDIX">
    <w:name w:val="HEADING APPENDIX"/>
    <w:basedOn w:val="Normal"/>
    <w:next w:val="Normal"/>
    <w:rsid w:val="00CB23FB"/>
    <w:pPr>
      <w:pageBreakBefore/>
      <w:numPr>
        <w:numId w:val="1"/>
      </w:numPr>
      <w:spacing w:before="240" w:after="240"/>
    </w:pPr>
    <w:rPr>
      <w:b/>
      <w:caps/>
      <w:sz w:val="24"/>
    </w:rPr>
  </w:style>
  <w:style w:type="paragraph" w:customStyle="1" w:styleId="Table">
    <w:name w:val="Table"/>
    <w:basedOn w:val="Normal"/>
    <w:rsid w:val="00CB23FB"/>
    <w:rPr>
      <w:rFonts w:ascii="Arial" w:hAnsi="Arial"/>
      <w:sz w:val="16"/>
    </w:rPr>
  </w:style>
  <w:style w:type="character" w:styleId="Hyperlink">
    <w:name w:val="Hyperlink"/>
    <w:basedOn w:val="DefaultParagraphFont"/>
    <w:uiPriority w:val="99"/>
    <w:rsid w:val="00CB23FB"/>
    <w:rPr>
      <w:color w:val="0000FF"/>
      <w:u w:val="single"/>
    </w:rPr>
  </w:style>
  <w:style w:type="paragraph" w:customStyle="1" w:styleId="HEADINGWITHOUTNUMBER">
    <w:name w:val="HEADING WITHOUT NUMBER"/>
    <w:basedOn w:val="Normal"/>
    <w:rsid w:val="00CB23FB"/>
    <w:pPr>
      <w:pageBreakBefore/>
    </w:pPr>
    <w:rPr>
      <w:b/>
      <w:sz w:val="24"/>
    </w:rPr>
  </w:style>
  <w:style w:type="paragraph" w:customStyle="1" w:styleId="H3">
    <w:name w:val="H3"/>
    <w:basedOn w:val="Normal"/>
    <w:next w:val="Normal"/>
    <w:rsid w:val="00CB23FB"/>
    <w:pPr>
      <w:keepNext/>
      <w:tabs>
        <w:tab w:val="clear" w:pos="720"/>
        <w:tab w:val="clear" w:pos="6912"/>
      </w:tabs>
      <w:spacing w:before="100" w:after="100" w:line="240" w:lineRule="auto"/>
      <w:jc w:val="left"/>
      <w:outlineLvl w:val="3"/>
    </w:pPr>
    <w:rPr>
      <w:b/>
      <w:snapToGrid w:val="0"/>
      <w:sz w:val="28"/>
      <w:lang w:val="nl-NL"/>
    </w:rPr>
  </w:style>
  <w:style w:type="paragraph" w:styleId="BodyText">
    <w:name w:val="Body Text"/>
    <w:basedOn w:val="Normal"/>
    <w:link w:val="BodyTextChar"/>
    <w:uiPriority w:val="99"/>
    <w:rsid w:val="00CB23FB"/>
    <w:pPr>
      <w:tabs>
        <w:tab w:val="clear" w:pos="720"/>
        <w:tab w:val="clear" w:pos="6912"/>
      </w:tabs>
      <w:spacing w:after="240" w:line="280" w:lineRule="exact"/>
    </w:pPr>
    <w:rPr>
      <w:rFonts w:ascii="Arial" w:hAnsi="Arial"/>
      <w:sz w:val="24"/>
      <w:lang w:val="en-US"/>
    </w:rPr>
  </w:style>
  <w:style w:type="paragraph" w:styleId="BodyText2">
    <w:name w:val="Body Text 2"/>
    <w:basedOn w:val="Normal"/>
    <w:rsid w:val="00CB23FB"/>
    <w:pPr>
      <w:tabs>
        <w:tab w:val="clear" w:pos="720"/>
        <w:tab w:val="clear" w:pos="6912"/>
      </w:tabs>
      <w:spacing w:after="240"/>
      <w:ind w:left="567" w:right="284"/>
    </w:pPr>
    <w:rPr>
      <w:rFonts w:ascii="Arial" w:hAnsi="Arial"/>
      <w:sz w:val="24"/>
    </w:rPr>
  </w:style>
  <w:style w:type="paragraph" w:styleId="FootnoteText">
    <w:name w:val="footnote text"/>
    <w:basedOn w:val="Normal"/>
    <w:link w:val="FootnoteTextChar"/>
    <w:uiPriority w:val="99"/>
    <w:semiHidden/>
    <w:rsid w:val="00CB23FB"/>
    <w:pPr>
      <w:widowControl w:val="0"/>
      <w:tabs>
        <w:tab w:val="clear" w:pos="720"/>
        <w:tab w:val="clear" w:pos="6912"/>
      </w:tabs>
      <w:spacing w:line="240" w:lineRule="auto"/>
      <w:jc w:val="left"/>
    </w:pPr>
    <w:rPr>
      <w:sz w:val="20"/>
      <w:lang w:val="en-US"/>
    </w:rPr>
  </w:style>
  <w:style w:type="paragraph" w:styleId="BodyText3">
    <w:name w:val="Body Text 3"/>
    <w:basedOn w:val="Normal"/>
    <w:rsid w:val="00CB23FB"/>
    <w:pPr>
      <w:tabs>
        <w:tab w:val="clear" w:pos="720"/>
        <w:tab w:val="clear" w:pos="6912"/>
      </w:tabs>
      <w:spacing w:line="240" w:lineRule="auto"/>
      <w:jc w:val="left"/>
    </w:pPr>
    <w:rPr>
      <w:snapToGrid w:val="0"/>
      <w:color w:val="000000"/>
      <w:sz w:val="20"/>
      <w:lang w:val="en-US"/>
    </w:rPr>
  </w:style>
  <w:style w:type="paragraph" w:customStyle="1" w:styleId="H4">
    <w:name w:val="H4"/>
    <w:basedOn w:val="Normal"/>
    <w:next w:val="Normal"/>
    <w:rsid w:val="00CB23FB"/>
    <w:pPr>
      <w:keepNext/>
      <w:tabs>
        <w:tab w:val="clear" w:pos="720"/>
        <w:tab w:val="clear" w:pos="6912"/>
      </w:tabs>
      <w:spacing w:before="120" w:after="240" w:line="240" w:lineRule="auto"/>
      <w:outlineLvl w:val="4"/>
    </w:pPr>
    <w:rPr>
      <w:b/>
      <w:snapToGrid w:val="0"/>
      <w:sz w:val="26"/>
      <w:lang w:val="bg-BG"/>
    </w:rPr>
  </w:style>
  <w:style w:type="paragraph" w:styleId="NormalIndent">
    <w:name w:val="Normal Indent"/>
    <w:basedOn w:val="Normal"/>
    <w:rsid w:val="00CB23FB"/>
    <w:pPr>
      <w:tabs>
        <w:tab w:val="clear" w:pos="720"/>
        <w:tab w:val="clear" w:pos="6912"/>
      </w:tabs>
      <w:spacing w:line="240" w:lineRule="auto"/>
      <w:ind w:firstLine="680"/>
    </w:pPr>
    <w:rPr>
      <w:sz w:val="24"/>
    </w:rPr>
  </w:style>
  <w:style w:type="paragraph" w:customStyle="1" w:styleId="NormalStyle1Book">
    <w:name w:val="Normal.Style1.Book"/>
    <w:rsid w:val="00CB23FB"/>
    <w:pPr>
      <w:tabs>
        <w:tab w:val="left" w:pos="-720"/>
      </w:tabs>
      <w:suppressAutoHyphens/>
      <w:jc w:val="both"/>
    </w:pPr>
    <w:rPr>
      <w:rFonts w:ascii="Arial" w:hAnsi="Arial"/>
      <w:spacing w:val="-3"/>
      <w:sz w:val="24"/>
      <w:lang w:val="en-US" w:eastAsia="en-US"/>
    </w:rPr>
  </w:style>
  <w:style w:type="paragraph" w:styleId="BodyTextIndent">
    <w:name w:val="Body Text Indent"/>
    <w:basedOn w:val="Normal"/>
    <w:rsid w:val="00CB23FB"/>
    <w:pPr>
      <w:ind w:left="360"/>
    </w:pPr>
  </w:style>
  <w:style w:type="paragraph" w:customStyle="1" w:styleId="FR1">
    <w:name w:val="FR1"/>
    <w:rsid w:val="00CB23FB"/>
    <w:pPr>
      <w:widowControl w:val="0"/>
      <w:spacing w:before="880" w:line="360" w:lineRule="auto"/>
      <w:ind w:left="120"/>
      <w:jc w:val="center"/>
    </w:pPr>
    <w:rPr>
      <w:rFonts w:ascii="Arial" w:hAnsi="Arial"/>
      <w:b/>
      <w:snapToGrid w:val="0"/>
      <w:sz w:val="48"/>
      <w:lang w:val="bg-BG" w:eastAsia="en-US"/>
    </w:rPr>
  </w:style>
  <w:style w:type="paragraph" w:customStyle="1" w:styleId="H5">
    <w:name w:val="H5"/>
    <w:basedOn w:val="Normal"/>
    <w:next w:val="Normal"/>
    <w:rsid w:val="00CB23FB"/>
    <w:pPr>
      <w:keepNext/>
      <w:tabs>
        <w:tab w:val="clear" w:pos="720"/>
        <w:tab w:val="clear" w:pos="6912"/>
      </w:tabs>
      <w:spacing w:before="100" w:after="100" w:line="240" w:lineRule="auto"/>
      <w:jc w:val="left"/>
      <w:outlineLvl w:val="5"/>
    </w:pPr>
    <w:rPr>
      <w:b/>
      <w:snapToGrid w:val="0"/>
      <w:sz w:val="20"/>
      <w:lang w:val="bg-BG"/>
    </w:rPr>
  </w:style>
  <w:style w:type="character" w:styleId="FootnoteReference">
    <w:name w:val="footnote reference"/>
    <w:basedOn w:val="DefaultParagraphFont"/>
    <w:uiPriority w:val="99"/>
    <w:semiHidden/>
    <w:rsid w:val="00CB23FB"/>
    <w:rPr>
      <w:vertAlign w:val="superscript"/>
    </w:rPr>
  </w:style>
  <w:style w:type="character" w:styleId="FollowedHyperlink">
    <w:name w:val="FollowedHyperlink"/>
    <w:basedOn w:val="DefaultParagraphFont"/>
    <w:rsid w:val="00CB23FB"/>
    <w:rPr>
      <w:color w:val="800080"/>
      <w:u w:val="single"/>
    </w:rPr>
  </w:style>
  <w:style w:type="paragraph" w:styleId="PlainText">
    <w:name w:val="Plain Text"/>
    <w:basedOn w:val="Normal"/>
    <w:link w:val="PlainTextChar"/>
    <w:rsid w:val="00CB23FB"/>
    <w:pPr>
      <w:tabs>
        <w:tab w:val="clear" w:pos="720"/>
        <w:tab w:val="clear" w:pos="6912"/>
      </w:tabs>
      <w:spacing w:line="240" w:lineRule="auto"/>
      <w:jc w:val="left"/>
    </w:pPr>
    <w:rPr>
      <w:rFonts w:ascii="Courier New" w:hAnsi="Courier New"/>
      <w:sz w:val="20"/>
      <w:lang w:val="en-AU"/>
    </w:rPr>
  </w:style>
  <w:style w:type="paragraph" w:styleId="CommentText">
    <w:name w:val="annotation text"/>
    <w:basedOn w:val="Normal"/>
    <w:semiHidden/>
    <w:rsid w:val="00CB23FB"/>
    <w:pPr>
      <w:tabs>
        <w:tab w:val="clear" w:pos="720"/>
        <w:tab w:val="clear" w:pos="6912"/>
      </w:tabs>
      <w:spacing w:line="240" w:lineRule="atLeast"/>
    </w:pPr>
    <w:rPr>
      <w:rFonts w:ascii="HRSwiss" w:hAnsi="HRSwiss"/>
      <w:sz w:val="24"/>
    </w:rPr>
  </w:style>
  <w:style w:type="paragraph" w:customStyle="1" w:styleId="Byline">
    <w:name w:val="Byline"/>
    <w:basedOn w:val="Normal"/>
    <w:next w:val="Normal"/>
    <w:rsid w:val="00CB23FB"/>
    <w:pPr>
      <w:tabs>
        <w:tab w:val="clear" w:pos="720"/>
        <w:tab w:val="clear" w:pos="6912"/>
      </w:tabs>
      <w:spacing w:before="240" w:after="240" w:line="240" w:lineRule="atLeast"/>
      <w:jc w:val="center"/>
    </w:pPr>
    <w:rPr>
      <w:rFonts w:ascii="CRO_Swiss-Normal" w:hAnsi="CRO_Swiss-Normal"/>
      <w:sz w:val="24"/>
    </w:rPr>
  </w:style>
  <w:style w:type="paragraph" w:styleId="BodyTextIndent3">
    <w:name w:val="Body Text Indent 3"/>
    <w:basedOn w:val="Normal"/>
    <w:rsid w:val="00CB23FB"/>
    <w:pPr>
      <w:tabs>
        <w:tab w:val="clear" w:pos="720"/>
        <w:tab w:val="clear" w:pos="6912"/>
      </w:tabs>
      <w:spacing w:line="240" w:lineRule="atLeast"/>
      <w:ind w:firstLine="720"/>
    </w:pPr>
    <w:rPr>
      <w:rFonts w:ascii="Arial" w:hAnsi="Arial"/>
      <w:sz w:val="24"/>
    </w:rPr>
  </w:style>
  <w:style w:type="character" w:styleId="CommentReference">
    <w:name w:val="annotation reference"/>
    <w:basedOn w:val="DefaultParagraphFont"/>
    <w:semiHidden/>
    <w:rsid w:val="00CB23FB"/>
    <w:rPr>
      <w:sz w:val="16"/>
    </w:rPr>
  </w:style>
  <w:style w:type="paragraph" w:styleId="NormalWeb">
    <w:name w:val="Normal (Web)"/>
    <w:basedOn w:val="Normal"/>
    <w:uiPriority w:val="99"/>
    <w:rsid w:val="00CB23FB"/>
    <w:pPr>
      <w:tabs>
        <w:tab w:val="clear" w:pos="720"/>
        <w:tab w:val="clear" w:pos="6912"/>
      </w:tabs>
      <w:spacing w:before="100" w:after="100" w:line="240" w:lineRule="auto"/>
      <w:jc w:val="left"/>
    </w:pPr>
    <w:rPr>
      <w:sz w:val="24"/>
      <w:lang w:val="en-US"/>
    </w:rPr>
  </w:style>
  <w:style w:type="character" w:styleId="Strong">
    <w:name w:val="Strong"/>
    <w:basedOn w:val="DefaultParagraphFont"/>
    <w:uiPriority w:val="22"/>
    <w:qFormat/>
    <w:rsid w:val="00CB23FB"/>
    <w:rPr>
      <w:b/>
      <w:bCs/>
    </w:rPr>
  </w:style>
  <w:style w:type="paragraph" w:customStyle="1" w:styleId="level4">
    <w:name w:val="level4"/>
    <w:basedOn w:val="Normal"/>
    <w:rsid w:val="00CB23FB"/>
    <w:pPr>
      <w:tabs>
        <w:tab w:val="clear" w:pos="720"/>
        <w:tab w:val="clear" w:pos="6912"/>
      </w:tabs>
      <w:spacing w:before="100" w:beforeAutospacing="1" w:after="100" w:afterAutospacing="1" w:line="240" w:lineRule="atLeast"/>
      <w:jc w:val="left"/>
    </w:pPr>
    <w:rPr>
      <w:rFonts w:ascii="Arial" w:hAnsi="Arial" w:cs="Arial"/>
      <w:color w:val="666666"/>
      <w:sz w:val="19"/>
      <w:szCs w:val="19"/>
      <w:lang w:val="en-US"/>
    </w:rPr>
  </w:style>
  <w:style w:type="character" w:styleId="Emphasis">
    <w:name w:val="Emphasis"/>
    <w:basedOn w:val="DefaultParagraphFont"/>
    <w:uiPriority w:val="20"/>
    <w:qFormat/>
    <w:rsid w:val="00CB23FB"/>
    <w:rPr>
      <w:i/>
      <w:iCs/>
    </w:rPr>
  </w:style>
  <w:style w:type="paragraph" w:styleId="HTMLPreformatted">
    <w:name w:val="HTML Preformatted"/>
    <w:basedOn w:val="Normal"/>
    <w:rsid w:val="00CB23FB"/>
    <w:pPr>
      <w:tabs>
        <w:tab w:val="clear" w:pos="720"/>
        <w:tab w:val="clear" w:pos="69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ourier New" w:hAnsi="Courier New" w:cs="HRSwiss"/>
      <w:sz w:val="20"/>
    </w:rPr>
  </w:style>
  <w:style w:type="paragraph" w:styleId="BodyTextIndent2">
    <w:name w:val="Body Text Indent 2"/>
    <w:basedOn w:val="Normal"/>
    <w:rsid w:val="00CB23FB"/>
    <w:pPr>
      <w:tabs>
        <w:tab w:val="clear" w:pos="720"/>
        <w:tab w:val="clear" w:pos="6912"/>
      </w:tabs>
      <w:spacing w:line="360" w:lineRule="auto"/>
      <w:ind w:firstLine="426"/>
    </w:pPr>
    <w:rPr>
      <w:rFonts w:ascii="Arial" w:hAnsi="Arial"/>
      <w:sz w:val="24"/>
    </w:rPr>
  </w:style>
  <w:style w:type="paragraph" w:customStyle="1" w:styleId="TEKST">
    <w:name w:val="TEKST"/>
    <w:rsid w:val="00CB23FB"/>
    <w:pPr>
      <w:spacing w:after="120"/>
      <w:jc w:val="both"/>
    </w:pPr>
    <w:rPr>
      <w:rFonts w:ascii="Tahoma" w:hAnsi="Tahoma"/>
      <w:snapToGrid w:val="0"/>
      <w:lang w:eastAsia="en-US"/>
    </w:rPr>
  </w:style>
  <w:style w:type="paragraph" w:styleId="EndnoteText">
    <w:name w:val="endnote text"/>
    <w:basedOn w:val="Normal"/>
    <w:link w:val="EndnoteTextChar"/>
    <w:uiPriority w:val="99"/>
    <w:rsid w:val="00CB23FB"/>
    <w:rPr>
      <w:sz w:val="20"/>
    </w:rPr>
  </w:style>
  <w:style w:type="character" w:styleId="EndnoteReference">
    <w:name w:val="endnote reference"/>
    <w:basedOn w:val="DefaultParagraphFont"/>
    <w:uiPriority w:val="99"/>
    <w:rsid w:val="00CB23FB"/>
    <w:rPr>
      <w:vertAlign w:val="superscript"/>
    </w:rPr>
  </w:style>
  <w:style w:type="paragraph" w:customStyle="1" w:styleId="tekst0">
    <w:name w:val="tekst"/>
    <w:basedOn w:val="Normal"/>
    <w:rsid w:val="00CB23FB"/>
    <w:pPr>
      <w:widowControl w:val="0"/>
      <w:tabs>
        <w:tab w:val="clear" w:pos="720"/>
        <w:tab w:val="clear" w:pos="6912"/>
      </w:tabs>
      <w:spacing w:line="320" w:lineRule="atLeast"/>
      <w:ind w:firstLine="283"/>
    </w:pPr>
    <w:rPr>
      <w:sz w:val="20"/>
      <w:lang w:val="en-US"/>
    </w:rPr>
  </w:style>
  <w:style w:type="paragraph" w:styleId="Title">
    <w:name w:val="Title"/>
    <w:basedOn w:val="Normal"/>
    <w:qFormat/>
    <w:rsid w:val="00CB23FB"/>
    <w:pPr>
      <w:jc w:val="center"/>
    </w:pPr>
    <w:rPr>
      <w:rFonts w:ascii="Arial" w:hAnsi="Arial"/>
      <w:sz w:val="28"/>
    </w:rPr>
  </w:style>
  <w:style w:type="paragraph" w:customStyle="1" w:styleId="tabtekst">
    <w:name w:val="tab tekst"/>
    <w:basedOn w:val="tekst0"/>
    <w:rsid w:val="00CB23FB"/>
    <w:pPr>
      <w:spacing w:line="360" w:lineRule="atLeast"/>
      <w:ind w:left="283" w:firstLine="0"/>
    </w:pPr>
    <w:rPr>
      <w:rFonts w:ascii="Zurich BT" w:hAnsi="Zurich BT"/>
    </w:rPr>
  </w:style>
  <w:style w:type="table" w:styleId="TableGrid">
    <w:name w:val="Table Grid"/>
    <w:basedOn w:val="TableNormal"/>
    <w:uiPriority w:val="59"/>
    <w:rsid w:val="00A97D83"/>
    <w:pPr>
      <w:tabs>
        <w:tab w:val="left" w:pos="720"/>
        <w:tab w:val="left" w:pos="6912"/>
      </w:tabs>
      <w:spacing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43456"/>
    <w:pPr>
      <w:tabs>
        <w:tab w:val="left" w:pos="720"/>
        <w:tab w:val="left" w:pos="6912"/>
      </w:tabs>
      <w:spacing w:line="28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Subtitle">
    <w:name w:val="Subtitle"/>
    <w:basedOn w:val="Normal"/>
    <w:qFormat/>
    <w:rsid w:val="00422AC8"/>
    <w:pPr>
      <w:tabs>
        <w:tab w:val="clear" w:pos="720"/>
        <w:tab w:val="clear" w:pos="6912"/>
      </w:tabs>
      <w:spacing w:line="240" w:lineRule="auto"/>
      <w:jc w:val="center"/>
    </w:pPr>
    <w:rPr>
      <w:rFonts w:ascii="Tahoma" w:hAnsi="Tahoma" w:cs="Tahoma"/>
      <w:sz w:val="48"/>
      <w:szCs w:val="24"/>
    </w:rPr>
  </w:style>
  <w:style w:type="paragraph" w:customStyle="1" w:styleId="Slika">
    <w:name w:val="Slika"/>
    <w:basedOn w:val="Normal"/>
    <w:uiPriority w:val="99"/>
    <w:rsid w:val="00422AC8"/>
    <w:pPr>
      <w:tabs>
        <w:tab w:val="clear" w:pos="720"/>
        <w:tab w:val="clear" w:pos="6912"/>
        <w:tab w:val="left" w:pos="3960"/>
      </w:tabs>
      <w:spacing w:before="120" w:after="120" w:line="240" w:lineRule="auto"/>
      <w:jc w:val="center"/>
    </w:pPr>
    <w:rPr>
      <w:sz w:val="24"/>
      <w:szCs w:val="24"/>
      <w:lang w:eastAsia="hr-HR"/>
    </w:rPr>
  </w:style>
  <w:style w:type="table" w:styleId="TableProfessional">
    <w:name w:val="Table Professional"/>
    <w:basedOn w:val="TableNormal"/>
    <w:rsid w:val="008674FA"/>
    <w:pPr>
      <w:tabs>
        <w:tab w:val="left" w:pos="720"/>
        <w:tab w:val="left" w:pos="6912"/>
      </w:tabs>
      <w:spacing w:line="28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link w:val="BalloonTextChar"/>
    <w:uiPriority w:val="99"/>
    <w:rsid w:val="002447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44717"/>
    <w:rPr>
      <w:rFonts w:ascii="Tahoma" w:hAnsi="Tahoma" w:cs="Tahoma"/>
      <w:noProof/>
      <w:sz w:val="16"/>
      <w:szCs w:val="16"/>
      <w:lang w:val="en-GB" w:eastAsia="en-US"/>
    </w:rPr>
  </w:style>
  <w:style w:type="character" w:customStyle="1" w:styleId="HeaderChar">
    <w:name w:val="Header Char"/>
    <w:basedOn w:val="DefaultParagraphFont"/>
    <w:link w:val="Header"/>
    <w:uiPriority w:val="99"/>
    <w:rsid w:val="00A35992"/>
    <w:rPr>
      <w:noProof/>
      <w:sz w:val="21"/>
      <w:lang w:val="en-GB"/>
    </w:rPr>
  </w:style>
  <w:style w:type="paragraph" w:styleId="TOCHeading">
    <w:name w:val="TOC Heading"/>
    <w:basedOn w:val="Heading1"/>
    <w:next w:val="Normal"/>
    <w:uiPriority w:val="39"/>
    <w:semiHidden/>
    <w:unhideWhenUsed/>
    <w:qFormat/>
    <w:rsid w:val="0094763A"/>
    <w:pPr>
      <w:keepLines/>
      <w:numPr>
        <w:numId w:val="0"/>
      </w:numPr>
      <w:tabs>
        <w:tab w:val="clear" w:pos="0"/>
        <w:tab w:val="clear" w:pos="6912"/>
      </w:tabs>
      <w:spacing w:before="480" w:after="0"/>
      <w:jc w:val="left"/>
      <w:outlineLvl w:val="9"/>
    </w:pPr>
    <w:rPr>
      <w:rFonts w:ascii="Cambria" w:hAnsi="Cambria" w:cs="Times New Roman"/>
      <w:bCs/>
      <w:iCs w:val="0"/>
      <w:caps w:val="0"/>
      <w:color w:val="365F91"/>
      <w:kern w:val="0"/>
      <w:sz w:val="28"/>
      <w:szCs w:val="28"/>
      <w:lang w:val="en-US"/>
    </w:rPr>
  </w:style>
  <w:style w:type="character" w:customStyle="1" w:styleId="plavitext1">
    <w:name w:val="plavitext1"/>
    <w:basedOn w:val="DefaultParagraphFont"/>
    <w:rsid w:val="006F15F5"/>
    <w:rPr>
      <w:color w:val="00519D"/>
    </w:rPr>
  </w:style>
  <w:style w:type="paragraph" w:styleId="ListParagraph">
    <w:name w:val="List Paragraph"/>
    <w:basedOn w:val="Normal"/>
    <w:uiPriority w:val="99"/>
    <w:qFormat/>
    <w:rsid w:val="00D94D00"/>
    <w:pPr>
      <w:tabs>
        <w:tab w:val="clear" w:pos="720"/>
        <w:tab w:val="clear" w:pos="6912"/>
      </w:tabs>
      <w:spacing w:after="200" w:line="276" w:lineRule="auto"/>
      <w:ind w:left="720"/>
      <w:contextualSpacing/>
      <w:jc w:val="left"/>
    </w:pPr>
    <w:rPr>
      <w:rFonts w:eastAsia="Calibri"/>
      <w:szCs w:val="22"/>
    </w:rPr>
  </w:style>
  <w:style w:type="paragraph" w:customStyle="1" w:styleId="naslovvijesti">
    <w:name w:val="naslovvijesti"/>
    <w:basedOn w:val="Normal"/>
    <w:rsid w:val="006D0BE4"/>
    <w:pPr>
      <w:tabs>
        <w:tab w:val="clear" w:pos="720"/>
        <w:tab w:val="clear" w:pos="6912"/>
      </w:tabs>
      <w:spacing w:before="100" w:beforeAutospacing="1" w:after="100" w:afterAutospacing="1" w:line="240" w:lineRule="auto"/>
      <w:jc w:val="left"/>
    </w:pPr>
    <w:rPr>
      <w:sz w:val="24"/>
      <w:szCs w:val="24"/>
      <w:lang w:eastAsia="hr-HR"/>
    </w:rPr>
  </w:style>
  <w:style w:type="character" w:customStyle="1" w:styleId="style39">
    <w:name w:val="style39"/>
    <w:basedOn w:val="DefaultParagraphFont"/>
    <w:rsid w:val="0083279E"/>
  </w:style>
  <w:style w:type="paragraph" w:customStyle="1" w:styleId="TekstOsnovni">
    <w:name w:val="Tekst Osnovni"/>
    <w:basedOn w:val="Normal"/>
    <w:rsid w:val="00137CB2"/>
    <w:pPr>
      <w:tabs>
        <w:tab w:val="clear" w:pos="720"/>
        <w:tab w:val="clear" w:pos="6912"/>
      </w:tabs>
      <w:spacing w:before="60" w:after="120" w:line="240" w:lineRule="auto"/>
      <w:ind w:left="454"/>
      <w:jc w:val="left"/>
    </w:pPr>
    <w:rPr>
      <w:rFonts w:ascii="Arial" w:hAnsi="Arial"/>
      <w:szCs w:val="24"/>
    </w:rPr>
  </w:style>
  <w:style w:type="paragraph" w:customStyle="1" w:styleId="titlemid">
    <w:name w:val="titlemid"/>
    <w:basedOn w:val="Normal"/>
    <w:rsid w:val="00DE1014"/>
    <w:pPr>
      <w:tabs>
        <w:tab w:val="clear" w:pos="720"/>
        <w:tab w:val="clear" w:pos="6912"/>
      </w:tabs>
      <w:spacing w:before="100" w:beforeAutospacing="1" w:after="100" w:afterAutospacing="1" w:line="240" w:lineRule="auto"/>
      <w:jc w:val="left"/>
    </w:pPr>
    <w:rPr>
      <w:rFonts w:ascii="Verdana" w:hAnsi="Verdana"/>
      <w:b/>
      <w:bCs/>
      <w:color w:val="666666"/>
      <w:sz w:val="14"/>
      <w:szCs w:val="14"/>
      <w:lang w:eastAsia="hr-HR"/>
    </w:rPr>
  </w:style>
  <w:style w:type="paragraph" w:customStyle="1" w:styleId="komentari">
    <w:name w:val="komentari"/>
    <w:basedOn w:val="Normal"/>
    <w:rsid w:val="00DE1014"/>
    <w:pPr>
      <w:tabs>
        <w:tab w:val="clear" w:pos="720"/>
        <w:tab w:val="clear" w:pos="6912"/>
      </w:tabs>
      <w:spacing w:before="120" w:after="120" w:line="240" w:lineRule="auto"/>
      <w:ind w:left="120" w:right="120"/>
      <w:jc w:val="left"/>
    </w:pPr>
    <w:rPr>
      <w:rFonts w:ascii="Verdana" w:hAnsi="Verdana"/>
      <w:b/>
      <w:bCs/>
      <w:color w:val="FF0000"/>
      <w:sz w:val="12"/>
      <w:szCs w:val="12"/>
      <w:lang w:eastAsia="hr-HR"/>
    </w:rPr>
  </w:style>
  <w:style w:type="character" w:customStyle="1" w:styleId="style11">
    <w:name w:val="style11"/>
    <w:basedOn w:val="DefaultParagraphFont"/>
    <w:rsid w:val="00DE1014"/>
    <w:rPr>
      <w:sz w:val="10"/>
      <w:szCs w:val="10"/>
    </w:rPr>
  </w:style>
  <w:style w:type="paragraph" w:customStyle="1" w:styleId="Odgovortest">
    <w:name w:val="Odgovor test"/>
    <w:basedOn w:val="Normal"/>
    <w:rsid w:val="00C06C0C"/>
    <w:pPr>
      <w:tabs>
        <w:tab w:val="clear" w:pos="720"/>
        <w:tab w:val="clear" w:pos="6912"/>
      </w:tabs>
      <w:spacing w:before="20" w:line="240" w:lineRule="auto"/>
      <w:jc w:val="left"/>
    </w:pPr>
    <w:rPr>
      <w:rFonts w:ascii="Arial" w:hAnsi="Arial"/>
      <w:sz w:val="20"/>
    </w:rPr>
  </w:style>
  <w:style w:type="paragraph" w:customStyle="1" w:styleId="PitanjeC">
    <w:name w:val="Pitanje C"/>
    <w:basedOn w:val="Normal"/>
    <w:rsid w:val="00C06C0C"/>
    <w:pPr>
      <w:tabs>
        <w:tab w:val="clear" w:pos="720"/>
        <w:tab w:val="clear" w:pos="6912"/>
      </w:tabs>
      <w:spacing w:before="20" w:line="240" w:lineRule="auto"/>
      <w:ind w:left="720" w:hanging="360"/>
      <w:jc w:val="left"/>
    </w:pPr>
    <w:rPr>
      <w:rFonts w:ascii="Arial" w:hAnsi="Arial"/>
      <w:sz w:val="20"/>
    </w:rPr>
  </w:style>
  <w:style w:type="paragraph" w:styleId="NoSpacing">
    <w:name w:val="No Spacing"/>
    <w:uiPriority w:val="1"/>
    <w:qFormat/>
    <w:rsid w:val="007D3D62"/>
    <w:rPr>
      <w:rFonts w:eastAsia="Calibri"/>
      <w:sz w:val="22"/>
      <w:szCs w:val="22"/>
      <w:lang w:eastAsia="en-US"/>
    </w:rPr>
  </w:style>
  <w:style w:type="paragraph" w:customStyle="1" w:styleId="CM54">
    <w:name w:val="CM54"/>
    <w:basedOn w:val="Normal"/>
    <w:next w:val="Normal"/>
    <w:uiPriority w:val="99"/>
    <w:rsid w:val="007D3D62"/>
    <w:pPr>
      <w:widowControl w:val="0"/>
      <w:tabs>
        <w:tab w:val="clear" w:pos="720"/>
        <w:tab w:val="clear" w:pos="6912"/>
      </w:tabs>
      <w:autoSpaceDE w:val="0"/>
      <w:autoSpaceDN w:val="0"/>
      <w:adjustRightInd w:val="0"/>
      <w:spacing w:line="240" w:lineRule="auto"/>
      <w:jc w:val="left"/>
    </w:pPr>
    <w:rPr>
      <w:rFonts w:ascii="Palatino Linotype" w:hAnsi="Palatino Linotype"/>
      <w:sz w:val="24"/>
      <w:szCs w:val="24"/>
      <w:lang w:eastAsia="hr-HR"/>
    </w:rPr>
  </w:style>
  <w:style w:type="paragraph" w:customStyle="1" w:styleId="t-9-8">
    <w:name w:val="t-9-8"/>
    <w:basedOn w:val="Normal"/>
    <w:rsid w:val="007D3D62"/>
    <w:pPr>
      <w:tabs>
        <w:tab w:val="clear" w:pos="720"/>
        <w:tab w:val="clear" w:pos="6912"/>
      </w:tabs>
      <w:spacing w:before="100" w:beforeAutospacing="1" w:after="100" w:afterAutospacing="1" w:line="240" w:lineRule="auto"/>
      <w:jc w:val="left"/>
    </w:pPr>
    <w:rPr>
      <w:sz w:val="24"/>
      <w:szCs w:val="24"/>
      <w:lang w:eastAsia="hr-HR"/>
    </w:rPr>
  </w:style>
  <w:style w:type="paragraph" w:customStyle="1" w:styleId="Tekststudije">
    <w:name w:val="Tekst studije"/>
    <w:basedOn w:val="Normal"/>
    <w:link w:val="TekststudijeChar"/>
    <w:rsid w:val="007D3D62"/>
    <w:pPr>
      <w:tabs>
        <w:tab w:val="clear" w:pos="720"/>
        <w:tab w:val="clear" w:pos="6912"/>
      </w:tabs>
      <w:spacing w:line="240" w:lineRule="auto"/>
    </w:pPr>
    <w:rPr>
      <w:rFonts w:ascii="Arial" w:hAnsi="Arial" w:cs="Arial"/>
      <w:szCs w:val="24"/>
      <w:lang w:eastAsia="hr-HR"/>
    </w:rPr>
  </w:style>
  <w:style w:type="character" w:customStyle="1" w:styleId="TekststudijeChar">
    <w:name w:val="Tekst studije Char"/>
    <w:basedOn w:val="DefaultParagraphFont"/>
    <w:link w:val="Tekststudije"/>
    <w:rsid w:val="007D3D62"/>
    <w:rPr>
      <w:rFonts w:ascii="Arial" w:hAnsi="Arial" w:cs="Arial"/>
      <w:sz w:val="22"/>
      <w:szCs w:val="24"/>
    </w:rPr>
  </w:style>
  <w:style w:type="character" w:customStyle="1" w:styleId="BodyTextChar">
    <w:name w:val="Body Text Char"/>
    <w:basedOn w:val="DefaultParagraphFont"/>
    <w:link w:val="BodyText"/>
    <w:uiPriority w:val="99"/>
    <w:rsid w:val="007E1CDA"/>
    <w:rPr>
      <w:rFonts w:ascii="Arial" w:hAnsi="Arial"/>
      <w:sz w:val="24"/>
      <w:lang w:val="en-US" w:eastAsia="en-US"/>
    </w:rPr>
  </w:style>
  <w:style w:type="paragraph" w:customStyle="1" w:styleId="viewstoryquote">
    <w:name w:val="viewstoryquote"/>
    <w:basedOn w:val="Normal"/>
    <w:rsid w:val="008B4105"/>
    <w:pPr>
      <w:pBdr>
        <w:top w:val="single" w:sz="4" w:space="6" w:color="6C91C8"/>
        <w:left w:val="single" w:sz="4" w:space="6" w:color="6C91C8"/>
        <w:bottom w:val="single" w:sz="12" w:space="6" w:color="6C91C8"/>
        <w:right w:val="single" w:sz="12" w:space="6" w:color="6C91C8"/>
      </w:pBdr>
      <w:shd w:val="clear" w:color="auto" w:fill="F3F3F3"/>
      <w:tabs>
        <w:tab w:val="clear" w:pos="720"/>
        <w:tab w:val="clear" w:pos="6912"/>
      </w:tabs>
      <w:spacing w:before="60" w:after="60" w:line="312" w:lineRule="auto"/>
      <w:ind w:left="240"/>
      <w:jc w:val="left"/>
    </w:pPr>
    <w:rPr>
      <w:rFonts w:ascii="Georgia" w:hAnsi="Georgia"/>
      <w:color w:val="333333"/>
      <w:sz w:val="24"/>
      <w:szCs w:val="24"/>
      <w:lang w:val="en-US"/>
    </w:rPr>
  </w:style>
  <w:style w:type="paragraph" w:customStyle="1" w:styleId="viewstoryintro">
    <w:name w:val="viewstoryintro"/>
    <w:basedOn w:val="Normal"/>
    <w:rsid w:val="008B4105"/>
    <w:pPr>
      <w:tabs>
        <w:tab w:val="clear" w:pos="720"/>
        <w:tab w:val="clear" w:pos="6912"/>
      </w:tabs>
      <w:spacing w:after="100" w:afterAutospacing="1" w:line="240" w:lineRule="auto"/>
      <w:jc w:val="left"/>
    </w:pPr>
    <w:rPr>
      <w:sz w:val="24"/>
      <w:szCs w:val="24"/>
      <w:lang w:val="en-US"/>
    </w:rPr>
  </w:style>
  <w:style w:type="paragraph" w:customStyle="1" w:styleId="text-2">
    <w:name w:val="text-2"/>
    <w:basedOn w:val="Normal"/>
    <w:rsid w:val="00926738"/>
    <w:pPr>
      <w:tabs>
        <w:tab w:val="clear" w:pos="720"/>
        <w:tab w:val="clear" w:pos="6912"/>
      </w:tabs>
      <w:spacing w:before="100" w:beforeAutospacing="1" w:after="100" w:afterAutospacing="1" w:line="240" w:lineRule="auto"/>
      <w:jc w:val="left"/>
    </w:pPr>
    <w:rPr>
      <w:sz w:val="24"/>
      <w:szCs w:val="24"/>
      <w:lang w:eastAsia="hr-HR"/>
    </w:rPr>
  </w:style>
  <w:style w:type="character" w:customStyle="1" w:styleId="PlainTextChar">
    <w:name w:val="Plain Text Char"/>
    <w:basedOn w:val="DefaultParagraphFont"/>
    <w:link w:val="PlainText"/>
    <w:rsid w:val="00926738"/>
    <w:rPr>
      <w:rFonts w:ascii="Courier New" w:hAnsi="Courier New"/>
      <w:lang w:val="en-AU"/>
    </w:rPr>
  </w:style>
  <w:style w:type="character" w:customStyle="1" w:styleId="CaptionChar">
    <w:name w:val="Caption Char"/>
    <w:aliases w:val="Char Char"/>
    <w:basedOn w:val="DefaultParagraphFont"/>
    <w:link w:val="Caption"/>
    <w:uiPriority w:val="99"/>
    <w:rsid w:val="00086486"/>
    <w:rPr>
      <w:rFonts w:cs="Arial"/>
      <w:i/>
      <w:sz w:val="22"/>
      <w:szCs w:val="22"/>
      <w:lang w:eastAsia="en-US"/>
    </w:rPr>
  </w:style>
  <w:style w:type="character" w:customStyle="1" w:styleId="FootnoteTextChar">
    <w:name w:val="Footnote Text Char"/>
    <w:basedOn w:val="DefaultParagraphFont"/>
    <w:link w:val="FootnoteText"/>
    <w:uiPriority w:val="99"/>
    <w:semiHidden/>
    <w:rsid w:val="00315403"/>
    <w:rPr>
      <w:lang w:val="en-US" w:eastAsia="en-US"/>
    </w:rPr>
  </w:style>
  <w:style w:type="character" w:customStyle="1" w:styleId="Heading1Char">
    <w:name w:val="Heading 1 Char"/>
    <w:basedOn w:val="DefaultParagraphFont"/>
    <w:link w:val="Heading1"/>
    <w:uiPriority w:val="9"/>
    <w:rsid w:val="003B1D11"/>
    <w:rPr>
      <w:rFonts w:cs="Arial"/>
      <w:b/>
      <w:iCs/>
      <w:caps/>
      <w:kern w:val="28"/>
      <w:sz w:val="24"/>
      <w:lang w:eastAsia="en-US"/>
    </w:rPr>
  </w:style>
  <w:style w:type="paragraph" w:styleId="TableofFigures">
    <w:name w:val="table of figures"/>
    <w:basedOn w:val="Normal"/>
    <w:next w:val="Normal"/>
    <w:uiPriority w:val="99"/>
    <w:rsid w:val="000F56EF"/>
    <w:pPr>
      <w:tabs>
        <w:tab w:val="clear" w:pos="720"/>
        <w:tab w:val="clear" w:pos="6912"/>
      </w:tabs>
      <w:spacing w:line="240" w:lineRule="auto"/>
      <w:jc w:val="left"/>
    </w:pPr>
    <w:rPr>
      <w:rFonts w:ascii="Arial" w:hAnsi="Arial"/>
    </w:rPr>
  </w:style>
  <w:style w:type="character" w:customStyle="1" w:styleId="Heading2Char">
    <w:name w:val="Heading 2 Char"/>
    <w:basedOn w:val="DefaultParagraphFont"/>
    <w:link w:val="Heading2"/>
    <w:uiPriority w:val="9"/>
    <w:rsid w:val="00B23695"/>
    <w:rPr>
      <w:b/>
      <w:caps/>
      <w:sz w:val="22"/>
      <w:szCs w:val="22"/>
    </w:rPr>
  </w:style>
  <w:style w:type="character" w:customStyle="1" w:styleId="Heading3Char">
    <w:name w:val="Heading 3 Char"/>
    <w:basedOn w:val="DefaultParagraphFont"/>
    <w:link w:val="Heading3"/>
    <w:uiPriority w:val="99"/>
    <w:locked/>
    <w:rsid w:val="00B70556"/>
    <w:rPr>
      <w:b/>
      <w:sz w:val="22"/>
      <w:lang w:eastAsia="en-US"/>
    </w:rPr>
  </w:style>
  <w:style w:type="character" w:customStyle="1" w:styleId="Heading4Char">
    <w:name w:val="Heading 4 Char"/>
    <w:basedOn w:val="DefaultParagraphFont"/>
    <w:link w:val="Heading4"/>
    <w:uiPriority w:val="99"/>
    <w:locked/>
    <w:rsid w:val="0047546D"/>
    <w:rPr>
      <w:b/>
      <w:sz w:val="22"/>
      <w:szCs w:val="22"/>
      <w:lang w:eastAsia="en-US"/>
    </w:rPr>
  </w:style>
  <w:style w:type="character" w:customStyle="1" w:styleId="Heading5Char">
    <w:name w:val="Heading 5 Char"/>
    <w:basedOn w:val="DefaultParagraphFont"/>
    <w:link w:val="Heading5"/>
    <w:uiPriority w:val="99"/>
    <w:locked/>
    <w:rsid w:val="008B2E49"/>
    <w:rPr>
      <w:sz w:val="22"/>
      <w:lang w:eastAsia="en-US"/>
    </w:rPr>
  </w:style>
  <w:style w:type="character" w:customStyle="1" w:styleId="Heading8Char">
    <w:name w:val="Heading 8 Char"/>
    <w:basedOn w:val="DefaultParagraphFont"/>
    <w:link w:val="Heading8"/>
    <w:uiPriority w:val="99"/>
    <w:rsid w:val="008B2E49"/>
    <w:rPr>
      <w:rFonts w:ascii="Arial" w:hAnsi="Arial"/>
      <w:i/>
      <w:lang w:eastAsia="en-US"/>
    </w:rPr>
  </w:style>
  <w:style w:type="character" w:customStyle="1" w:styleId="Heading9Char">
    <w:name w:val="Heading 9 Char"/>
    <w:basedOn w:val="DefaultParagraphFont"/>
    <w:link w:val="Heading9"/>
    <w:uiPriority w:val="99"/>
    <w:rsid w:val="008B2E49"/>
    <w:rPr>
      <w:rFonts w:ascii="Arial" w:hAnsi="Arial"/>
      <w:b/>
      <w:i/>
      <w:sz w:val="18"/>
      <w:lang w:eastAsia="en-US"/>
    </w:rPr>
  </w:style>
  <w:style w:type="character" w:customStyle="1" w:styleId="FooterChar">
    <w:name w:val="Footer Char"/>
    <w:basedOn w:val="DefaultParagraphFont"/>
    <w:link w:val="Footer"/>
    <w:uiPriority w:val="99"/>
    <w:rsid w:val="008B2E49"/>
    <w:rPr>
      <w:sz w:val="21"/>
      <w:lang w:eastAsia="en-US"/>
    </w:rPr>
  </w:style>
  <w:style w:type="paragraph" w:customStyle="1" w:styleId="HEADERFOOTER">
    <w:name w:val="HEADER/FOOTER"/>
    <w:basedOn w:val="Normal"/>
    <w:uiPriority w:val="99"/>
    <w:rsid w:val="008B2E49"/>
    <w:pPr>
      <w:tabs>
        <w:tab w:val="clear" w:pos="720"/>
        <w:tab w:val="clear" w:pos="6912"/>
      </w:tabs>
      <w:spacing w:line="240" w:lineRule="auto"/>
    </w:pPr>
    <w:rPr>
      <w:rFonts w:ascii="Arial" w:eastAsia="MS Mincho" w:hAnsi="Arial"/>
      <w:sz w:val="16"/>
      <w:szCs w:val="24"/>
      <w:lang w:eastAsia="ja-JP"/>
    </w:rPr>
  </w:style>
  <w:style w:type="paragraph" w:customStyle="1" w:styleId="NASLOVSTUDIJE">
    <w:name w:val="NASLOV STUDIJE"/>
    <w:basedOn w:val="Normal"/>
    <w:uiPriority w:val="99"/>
    <w:rsid w:val="008B2E49"/>
    <w:pPr>
      <w:tabs>
        <w:tab w:val="clear" w:pos="720"/>
        <w:tab w:val="clear" w:pos="6912"/>
      </w:tabs>
      <w:spacing w:line="240" w:lineRule="auto"/>
      <w:jc w:val="right"/>
    </w:pPr>
    <w:rPr>
      <w:rFonts w:ascii="Arial" w:eastAsia="MS Mincho" w:hAnsi="Arial"/>
      <w:b/>
      <w:bCs/>
      <w:sz w:val="32"/>
      <w:lang w:eastAsia="ja-JP"/>
    </w:rPr>
  </w:style>
  <w:style w:type="paragraph" w:customStyle="1" w:styleId="ZANASLOVNU">
    <w:name w:val="ZA NASLOVNU"/>
    <w:basedOn w:val="Normal"/>
    <w:uiPriority w:val="99"/>
    <w:rsid w:val="008B2E49"/>
    <w:pPr>
      <w:tabs>
        <w:tab w:val="clear" w:pos="720"/>
        <w:tab w:val="clear" w:pos="6912"/>
      </w:tabs>
      <w:spacing w:line="240" w:lineRule="auto"/>
      <w:jc w:val="right"/>
    </w:pPr>
    <w:rPr>
      <w:rFonts w:ascii="Arial" w:eastAsia="MS Mincho" w:hAnsi="Arial"/>
      <w:b/>
      <w:bCs/>
      <w:sz w:val="24"/>
      <w:lang w:eastAsia="ja-JP"/>
    </w:rPr>
  </w:style>
  <w:style w:type="character" w:styleId="PlaceholderText">
    <w:name w:val="Placeholder Text"/>
    <w:basedOn w:val="DefaultParagraphFont"/>
    <w:uiPriority w:val="99"/>
    <w:semiHidden/>
    <w:rsid w:val="008B2E49"/>
    <w:rPr>
      <w:rFonts w:cs="Times New Roman"/>
      <w:color w:val="808080"/>
    </w:rPr>
  </w:style>
  <w:style w:type="character" w:customStyle="1" w:styleId="EndnoteTextChar">
    <w:name w:val="Endnote Text Char"/>
    <w:basedOn w:val="DefaultParagraphFont"/>
    <w:link w:val="EndnoteText"/>
    <w:uiPriority w:val="99"/>
    <w:locked/>
    <w:rsid w:val="008B2E49"/>
    <w:rPr>
      <w:lang w:eastAsia="en-US"/>
    </w:rPr>
  </w:style>
  <w:style w:type="paragraph" w:customStyle="1" w:styleId="Obinitekst1">
    <w:name w:val="Obični tekst1"/>
    <w:basedOn w:val="Normal"/>
    <w:uiPriority w:val="99"/>
    <w:rsid w:val="00B52596"/>
    <w:pPr>
      <w:tabs>
        <w:tab w:val="clear" w:pos="720"/>
        <w:tab w:val="clear" w:pos="6912"/>
      </w:tabs>
      <w:spacing w:line="240" w:lineRule="auto"/>
      <w:jc w:val="center"/>
    </w:pPr>
    <w:rPr>
      <w:rFonts w:ascii="Arial" w:hAnsi="Arial"/>
      <w:sz w:val="24"/>
      <w:lang w:val="en-GB"/>
    </w:rPr>
  </w:style>
  <w:style w:type="paragraph" w:customStyle="1" w:styleId="Obinitekst10">
    <w:name w:val="Obični tekst1"/>
    <w:basedOn w:val="Normal"/>
    <w:uiPriority w:val="99"/>
    <w:rsid w:val="00712520"/>
    <w:pPr>
      <w:tabs>
        <w:tab w:val="clear" w:pos="720"/>
        <w:tab w:val="clear" w:pos="6912"/>
      </w:tabs>
      <w:spacing w:line="240" w:lineRule="auto"/>
      <w:jc w:val="center"/>
    </w:pPr>
    <w:rPr>
      <w:rFonts w:ascii="Arial" w:hAnsi="Arial"/>
      <w:sz w:val="24"/>
      <w:lang w:val="en-GB"/>
    </w:rPr>
  </w:style>
  <w:style w:type="table" w:styleId="LightList-Accent5">
    <w:name w:val="Light List Accent 5"/>
    <w:basedOn w:val="TableNormal"/>
    <w:uiPriority w:val="61"/>
    <w:rsid w:val="0017115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19290">
      <w:bodyDiv w:val="1"/>
      <w:marLeft w:val="0"/>
      <w:marRight w:val="0"/>
      <w:marTop w:val="0"/>
      <w:marBottom w:val="0"/>
      <w:divBdr>
        <w:top w:val="none" w:sz="0" w:space="0" w:color="auto"/>
        <w:left w:val="none" w:sz="0" w:space="0" w:color="auto"/>
        <w:bottom w:val="none" w:sz="0" w:space="0" w:color="auto"/>
        <w:right w:val="none" w:sz="0" w:space="0" w:color="auto"/>
      </w:divBdr>
    </w:div>
    <w:div w:id="187329118">
      <w:bodyDiv w:val="1"/>
      <w:marLeft w:val="0"/>
      <w:marRight w:val="0"/>
      <w:marTop w:val="0"/>
      <w:marBottom w:val="0"/>
      <w:divBdr>
        <w:top w:val="none" w:sz="0" w:space="0" w:color="auto"/>
        <w:left w:val="none" w:sz="0" w:space="0" w:color="auto"/>
        <w:bottom w:val="none" w:sz="0" w:space="0" w:color="auto"/>
        <w:right w:val="none" w:sz="0" w:space="0" w:color="auto"/>
      </w:divBdr>
    </w:div>
    <w:div w:id="229080131">
      <w:bodyDiv w:val="1"/>
      <w:marLeft w:val="0"/>
      <w:marRight w:val="0"/>
      <w:marTop w:val="0"/>
      <w:marBottom w:val="0"/>
      <w:divBdr>
        <w:top w:val="none" w:sz="0" w:space="0" w:color="auto"/>
        <w:left w:val="none" w:sz="0" w:space="0" w:color="auto"/>
        <w:bottom w:val="none" w:sz="0" w:space="0" w:color="auto"/>
        <w:right w:val="none" w:sz="0" w:space="0" w:color="auto"/>
      </w:divBdr>
    </w:div>
    <w:div w:id="346106098">
      <w:bodyDiv w:val="1"/>
      <w:marLeft w:val="0"/>
      <w:marRight w:val="0"/>
      <w:marTop w:val="0"/>
      <w:marBottom w:val="0"/>
      <w:divBdr>
        <w:top w:val="none" w:sz="0" w:space="0" w:color="auto"/>
        <w:left w:val="none" w:sz="0" w:space="0" w:color="auto"/>
        <w:bottom w:val="none" w:sz="0" w:space="0" w:color="auto"/>
        <w:right w:val="none" w:sz="0" w:space="0" w:color="auto"/>
      </w:divBdr>
    </w:div>
    <w:div w:id="395320800">
      <w:bodyDiv w:val="1"/>
      <w:marLeft w:val="0"/>
      <w:marRight w:val="0"/>
      <w:marTop w:val="0"/>
      <w:marBottom w:val="0"/>
      <w:divBdr>
        <w:top w:val="none" w:sz="0" w:space="0" w:color="auto"/>
        <w:left w:val="none" w:sz="0" w:space="0" w:color="auto"/>
        <w:bottom w:val="none" w:sz="0" w:space="0" w:color="auto"/>
        <w:right w:val="none" w:sz="0" w:space="0" w:color="auto"/>
      </w:divBdr>
    </w:div>
    <w:div w:id="414865749">
      <w:bodyDiv w:val="1"/>
      <w:marLeft w:val="0"/>
      <w:marRight w:val="0"/>
      <w:marTop w:val="0"/>
      <w:marBottom w:val="0"/>
      <w:divBdr>
        <w:top w:val="none" w:sz="0" w:space="0" w:color="auto"/>
        <w:left w:val="none" w:sz="0" w:space="0" w:color="auto"/>
        <w:bottom w:val="none" w:sz="0" w:space="0" w:color="auto"/>
        <w:right w:val="none" w:sz="0" w:space="0" w:color="auto"/>
      </w:divBdr>
    </w:div>
    <w:div w:id="485435951">
      <w:bodyDiv w:val="1"/>
      <w:marLeft w:val="0"/>
      <w:marRight w:val="0"/>
      <w:marTop w:val="0"/>
      <w:marBottom w:val="0"/>
      <w:divBdr>
        <w:top w:val="none" w:sz="0" w:space="0" w:color="auto"/>
        <w:left w:val="none" w:sz="0" w:space="0" w:color="auto"/>
        <w:bottom w:val="none" w:sz="0" w:space="0" w:color="auto"/>
        <w:right w:val="none" w:sz="0" w:space="0" w:color="auto"/>
      </w:divBdr>
    </w:div>
    <w:div w:id="532888251">
      <w:bodyDiv w:val="1"/>
      <w:marLeft w:val="0"/>
      <w:marRight w:val="0"/>
      <w:marTop w:val="0"/>
      <w:marBottom w:val="0"/>
      <w:divBdr>
        <w:top w:val="none" w:sz="0" w:space="0" w:color="auto"/>
        <w:left w:val="none" w:sz="0" w:space="0" w:color="auto"/>
        <w:bottom w:val="none" w:sz="0" w:space="0" w:color="auto"/>
        <w:right w:val="none" w:sz="0" w:space="0" w:color="auto"/>
      </w:divBdr>
    </w:div>
    <w:div w:id="586304784">
      <w:bodyDiv w:val="1"/>
      <w:marLeft w:val="0"/>
      <w:marRight w:val="0"/>
      <w:marTop w:val="0"/>
      <w:marBottom w:val="0"/>
      <w:divBdr>
        <w:top w:val="none" w:sz="0" w:space="0" w:color="auto"/>
        <w:left w:val="none" w:sz="0" w:space="0" w:color="auto"/>
        <w:bottom w:val="none" w:sz="0" w:space="0" w:color="auto"/>
        <w:right w:val="none" w:sz="0" w:space="0" w:color="auto"/>
      </w:divBdr>
    </w:div>
    <w:div w:id="664364446">
      <w:bodyDiv w:val="1"/>
      <w:marLeft w:val="0"/>
      <w:marRight w:val="0"/>
      <w:marTop w:val="0"/>
      <w:marBottom w:val="0"/>
      <w:divBdr>
        <w:top w:val="none" w:sz="0" w:space="0" w:color="auto"/>
        <w:left w:val="none" w:sz="0" w:space="0" w:color="auto"/>
        <w:bottom w:val="none" w:sz="0" w:space="0" w:color="auto"/>
        <w:right w:val="none" w:sz="0" w:space="0" w:color="auto"/>
      </w:divBdr>
    </w:div>
    <w:div w:id="678196107">
      <w:bodyDiv w:val="1"/>
      <w:marLeft w:val="0"/>
      <w:marRight w:val="0"/>
      <w:marTop w:val="0"/>
      <w:marBottom w:val="0"/>
      <w:divBdr>
        <w:top w:val="none" w:sz="0" w:space="0" w:color="auto"/>
        <w:left w:val="none" w:sz="0" w:space="0" w:color="auto"/>
        <w:bottom w:val="none" w:sz="0" w:space="0" w:color="auto"/>
        <w:right w:val="none" w:sz="0" w:space="0" w:color="auto"/>
      </w:divBdr>
      <w:divsChild>
        <w:div w:id="1002119925">
          <w:marLeft w:val="0"/>
          <w:marRight w:val="0"/>
          <w:marTop w:val="0"/>
          <w:marBottom w:val="0"/>
          <w:divBdr>
            <w:top w:val="none" w:sz="0" w:space="0" w:color="auto"/>
            <w:left w:val="none" w:sz="0" w:space="0" w:color="auto"/>
            <w:bottom w:val="none" w:sz="0" w:space="0" w:color="auto"/>
            <w:right w:val="none" w:sz="0" w:space="0" w:color="auto"/>
          </w:divBdr>
          <w:divsChild>
            <w:div w:id="369844306">
              <w:marLeft w:val="0"/>
              <w:marRight w:val="0"/>
              <w:marTop w:val="0"/>
              <w:marBottom w:val="0"/>
              <w:divBdr>
                <w:top w:val="none" w:sz="0" w:space="0" w:color="auto"/>
                <w:left w:val="none" w:sz="0" w:space="0" w:color="auto"/>
                <w:bottom w:val="none" w:sz="0" w:space="0" w:color="auto"/>
                <w:right w:val="none" w:sz="0" w:space="0" w:color="auto"/>
              </w:divBdr>
              <w:divsChild>
                <w:div w:id="1759059877">
                  <w:marLeft w:val="0"/>
                  <w:marRight w:val="0"/>
                  <w:marTop w:val="0"/>
                  <w:marBottom w:val="0"/>
                  <w:divBdr>
                    <w:top w:val="none" w:sz="0" w:space="0" w:color="auto"/>
                    <w:left w:val="none" w:sz="0" w:space="0" w:color="auto"/>
                    <w:bottom w:val="none" w:sz="0" w:space="0" w:color="auto"/>
                    <w:right w:val="none" w:sz="0" w:space="0" w:color="auto"/>
                  </w:divBdr>
                  <w:divsChild>
                    <w:div w:id="11874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4408">
      <w:bodyDiv w:val="1"/>
      <w:marLeft w:val="0"/>
      <w:marRight w:val="0"/>
      <w:marTop w:val="0"/>
      <w:marBottom w:val="0"/>
      <w:divBdr>
        <w:top w:val="none" w:sz="0" w:space="0" w:color="auto"/>
        <w:left w:val="none" w:sz="0" w:space="0" w:color="auto"/>
        <w:bottom w:val="none" w:sz="0" w:space="0" w:color="auto"/>
        <w:right w:val="none" w:sz="0" w:space="0" w:color="auto"/>
      </w:divBdr>
    </w:div>
    <w:div w:id="705255400">
      <w:bodyDiv w:val="1"/>
      <w:marLeft w:val="0"/>
      <w:marRight w:val="0"/>
      <w:marTop w:val="0"/>
      <w:marBottom w:val="0"/>
      <w:divBdr>
        <w:top w:val="none" w:sz="0" w:space="0" w:color="auto"/>
        <w:left w:val="none" w:sz="0" w:space="0" w:color="auto"/>
        <w:bottom w:val="none" w:sz="0" w:space="0" w:color="auto"/>
        <w:right w:val="none" w:sz="0" w:space="0" w:color="auto"/>
      </w:divBdr>
    </w:div>
    <w:div w:id="717823781">
      <w:bodyDiv w:val="1"/>
      <w:marLeft w:val="0"/>
      <w:marRight w:val="0"/>
      <w:marTop w:val="0"/>
      <w:marBottom w:val="0"/>
      <w:divBdr>
        <w:top w:val="none" w:sz="0" w:space="0" w:color="auto"/>
        <w:left w:val="none" w:sz="0" w:space="0" w:color="auto"/>
        <w:bottom w:val="none" w:sz="0" w:space="0" w:color="auto"/>
        <w:right w:val="none" w:sz="0" w:space="0" w:color="auto"/>
      </w:divBdr>
    </w:div>
    <w:div w:id="776943822">
      <w:bodyDiv w:val="1"/>
      <w:marLeft w:val="0"/>
      <w:marRight w:val="0"/>
      <w:marTop w:val="0"/>
      <w:marBottom w:val="0"/>
      <w:divBdr>
        <w:top w:val="none" w:sz="0" w:space="0" w:color="auto"/>
        <w:left w:val="none" w:sz="0" w:space="0" w:color="auto"/>
        <w:bottom w:val="none" w:sz="0" w:space="0" w:color="auto"/>
        <w:right w:val="none" w:sz="0" w:space="0" w:color="auto"/>
      </w:divBdr>
      <w:divsChild>
        <w:div w:id="512719391">
          <w:marLeft w:val="0"/>
          <w:marRight w:val="0"/>
          <w:marTop w:val="0"/>
          <w:marBottom w:val="0"/>
          <w:divBdr>
            <w:top w:val="none" w:sz="0" w:space="0" w:color="auto"/>
            <w:left w:val="none" w:sz="0" w:space="0" w:color="auto"/>
            <w:bottom w:val="none" w:sz="0" w:space="0" w:color="auto"/>
            <w:right w:val="none" w:sz="0" w:space="0" w:color="auto"/>
          </w:divBdr>
          <w:divsChild>
            <w:div w:id="279652893">
              <w:marLeft w:val="0"/>
              <w:marRight w:val="0"/>
              <w:marTop w:val="0"/>
              <w:marBottom w:val="0"/>
              <w:divBdr>
                <w:top w:val="none" w:sz="0" w:space="0" w:color="auto"/>
                <w:left w:val="none" w:sz="0" w:space="0" w:color="auto"/>
                <w:bottom w:val="none" w:sz="0" w:space="0" w:color="auto"/>
                <w:right w:val="none" w:sz="0" w:space="0" w:color="auto"/>
              </w:divBdr>
              <w:divsChild>
                <w:div w:id="1410618014">
                  <w:marLeft w:val="0"/>
                  <w:marRight w:val="0"/>
                  <w:marTop w:val="0"/>
                  <w:marBottom w:val="0"/>
                  <w:divBdr>
                    <w:top w:val="none" w:sz="0" w:space="0" w:color="auto"/>
                    <w:left w:val="none" w:sz="0" w:space="0" w:color="auto"/>
                    <w:bottom w:val="none" w:sz="0" w:space="0" w:color="auto"/>
                    <w:right w:val="none" w:sz="0" w:space="0" w:color="auto"/>
                  </w:divBdr>
                  <w:divsChild>
                    <w:div w:id="185873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84575">
      <w:bodyDiv w:val="1"/>
      <w:marLeft w:val="0"/>
      <w:marRight w:val="0"/>
      <w:marTop w:val="0"/>
      <w:marBottom w:val="0"/>
      <w:divBdr>
        <w:top w:val="none" w:sz="0" w:space="0" w:color="auto"/>
        <w:left w:val="none" w:sz="0" w:space="0" w:color="auto"/>
        <w:bottom w:val="none" w:sz="0" w:space="0" w:color="auto"/>
        <w:right w:val="none" w:sz="0" w:space="0" w:color="auto"/>
      </w:divBdr>
    </w:div>
    <w:div w:id="840313249">
      <w:bodyDiv w:val="1"/>
      <w:marLeft w:val="0"/>
      <w:marRight w:val="0"/>
      <w:marTop w:val="0"/>
      <w:marBottom w:val="0"/>
      <w:divBdr>
        <w:top w:val="none" w:sz="0" w:space="0" w:color="auto"/>
        <w:left w:val="none" w:sz="0" w:space="0" w:color="auto"/>
        <w:bottom w:val="none" w:sz="0" w:space="0" w:color="auto"/>
        <w:right w:val="none" w:sz="0" w:space="0" w:color="auto"/>
      </w:divBdr>
    </w:div>
    <w:div w:id="847402236">
      <w:bodyDiv w:val="1"/>
      <w:marLeft w:val="0"/>
      <w:marRight w:val="0"/>
      <w:marTop w:val="0"/>
      <w:marBottom w:val="0"/>
      <w:divBdr>
        <w:top w:val="none" w:sz="0" w:space="0" w:color="auto"/>
        <w:left w:val="none" w:sz="0" w:space="0" w:color="auto"/>
        <w:bottom w:val="none" w:sz="0" w:space="0" w:color="auto"/>
        <w:right w:val="none" w:sz="0" w:space="0" w:color="auto"/>
      </w:divBdr>
    </w:div>
    <w:div w:id="918826701">
      <w:bodyDiv w:val="1"/>
      <w:marLeft w:val="0"/>
      <w:marRight w:val="0"/>
      <w:marTop w:val="0"/>
      <w:marBottom w:val="0"/>
      <w:divBdr>
        <w:top w:val="none" w:sz="0" w:space="0" w:color="auto"/>
        <w:left w:val="none" w:sz="0" w:space="0" w:color="auto"/>
        <w:bottom w:val="none" w:sz="0" w:space="0" w:color="auto"/>
        <w:right w:val="none" w:sz="0" w:space="0" w:color="auto"/>
      </w:divBdr>
    </w:div>
    <w:div w:id="953630304">
      <w:bodyDiv w:val="1"/>
      <w:marLeft w:val="0"/>
      <w:marRight w:val="0"/>
      <w:marTop w:val="0"/>
      <w:marBottom w:val="0"/>
      <w:divBdr>
        <w:top w:val="none" w:sz="0" w:space="0" w:color="auto"/>
        <w:left w:val="none" w:sz="0" w:space="0" w:color="auto"/>
        <w:bottom w:val="none" w:sz="0" w:space="0" w:color="auto"/>
        <w:right w:val="none" w:sz="0" w:space="0" w:color="auto"/>
      </w:divBdr>
    </w:div>
    <w:div w:id="957487471">
      <w:bodyDiv w:val="1"/>
      <w:marLeft w:val="0"/>
      <w:marRight w:val="0"/>
      <w:marTop w:val="0"/>
      <w:marBottom w:val="0"/>
      <w:divBdr>
        <w:top w:val="none" w:sz="0" w:space="0" w:color="auto"/>
        <w:left w:val="none" w:sz="0" w:space="0" w:color="auto"/>
        <w:bottom w:val="none" w:sz="0" w:space="0" w:color="auto"/>
        <w:right w:val="none" w:sz="0" w:space="0" w:color="auto"/>
      </w:divBdr>
    </w:div>
    <w:div w:id="970550881">
      <w:bodyDiv w:val="1"/>
      <w:marLeft w:val="0"/>
      <w:marRight w:val="0"/>
      <w:marTop w:val="0"/>
      <w:marBottom w:val="0"/>
      <w:divBdr>
        <w:top w:val="none" w:sz="0" w:space="0" w:color="auto"/>
        <w:left w:val="none" w:sz="0" w:space="0" w:color="auto"/>
        <w:bottom w:val="none" w:sz="0" w:space="0" w:color="auto"/>
        <w:right w:val="none" w:sz="0" w:space="0" w:color="auto"/>
      </w:divBdr>
    </w:div>
    <w:div w:id="1031079228">
      <w:bodyDiv w:val="1"/>
      <w:marLeft w:val="0"/>
      <w:marRight w:val="0"/>
      <w:marTop w:val="0"/>
      <w:marBottom w:val="0"/>
      <w:divBdr>
        <w:top w:val="none" w:sz="0" w:space="0" w:color="auto"/>
        <w:left w:val="none" w:sz="0" w:space="0" w:color="auto"/>
        <w:bottom w:val="none" w:sz="0" w:space="0" w:color="auto"/>
        <w:right w:val="none" w:sz="0" w:space="0" w:color="auto"/>
      </w:divBdr>
    </w:div>
    <w:div w:id="1087535277">
      <w:bodyDiv w:val="1"/>
      <w:marLeft w:val="0"/>
      <w:marRight w:val="0"/>
      <w:marTop w:val="0"/>
      <w:marBottom w:val="0"/>
      <w:divBdr>
        <w:top w:val="none" w:sz="0" w:space="0" w:color="auto"/>
        <w:left w:val="none" w:sz="0" w:space="0" w:color="auto"/>
        <w:bottom w:val="none" w:sz="0" w:space="0" w:color="auto"/>
        <w:right w:val="none" w:sz="0" w:space="0" w:color="auto"/>
      </w:divBdr>
    </w:div>
    <w:div w:id="1087657082">
      <w:bodyDiv w:val="1"/>
      <w:marLeft w:val="0"/>
      <w:marRight w:val="0"/>
      <w:marTop w:val="0"/>
      <w:marBottom w:val="0"/>
      <w:divBdr>
        <w:top w:val="none" w:sz="0" w:space="0" w:color="auto"/>
        <w:left w:val="none" w:sz="0" w:space="0" w:color="auto"/>
        <w:bottom w:val="none" w:sz="0" w:space="0" w:color="auto"/>
        <w:right w:val="none" w:sz="0" w:space="0" w:color="auto"/>
      </w:divBdr>
    </w:div>
    <w:div w:id="1096554761">
      <w:bodyDiv w:val="1"/>
      <w:marLeft w:val="0"/>
      <w:marRight w:val="0"/>
      <w:marTop w:val="0"/>
      <w:marBottom w:val="0"/>
      <w:divBdr>
        <w:top w:val="none" w:sz="0" w:space="0" w:color="auto"/>
        <w:left w:val="none" w:sz="0" w:space="0" w:color="auto"/>
        <w:bottom w:val="none" w:sz="0" w:space="0" w:color="auto"/>
        <w:right w:val="none" w:sz="0" w:space="0" w:color="auto"/>
      </w:divBdr>
    </w:div>
    <w:div w:id="1120301390">
      <w:bodyDiv w:val="1"/>
      <w:marLeft w:val="0"/>
      <w:marRight w:val="0"/>
      <w:marTop w:val="0"/>
      <w:marBottom w:val="0"/>
      <w:divBdr>
        <w:top w:val="none" w:sz="0" w:space="0" w:color="auto"/>
        <w:left w:val="none" w:sz="0" w:space="0" w:color="auto"/>
        <w:bottom w:val="none" w:sz="0" w:space="0" w:color="auto"/>
        <w:right w:val="none" w:sz="0" w:space="0" w:color="auto"/>
      </w:divBdr>
    </w:div>
    <w:div w:id="1133399528">
      <w:bodyDiv w:val="1"/>
      <w:marLeft w:val="0"/>
      <w:marRight w:val="0"/>
      <w:marTop w:val="0"/>
      <w:marBottom w:val="0"/>
      <w:divBdr>
        <w:top w:val="none" w:sz="0" w:space="0" w:color="auto"/>
        <w:left w:val="none" w:sz="0" w:space="0" w:color="auto"/>
        <w:bottom w:val="none" w:sz="0" w:space="0" w:color="auto"/>
        <w:right w:val="none" w:sz="0" w:space="0" w:color="auto"/>
      </w:divBdr>
    </w:div>
    <w:div w:id="1155800608">
      <w:bodyDiv w:val="1"/>
      <w:marLeft w:val="0"/>
      <w:marRight w:val="0"/>
      <w:marTop w:val="0"/>
      <w:marBottom w:val="0"/>
      <w:divBdr>
        <w:top w:val="none" w:sz="0" w:space="0" w:color="auto"/>
        <w:left w:val="none" w:sz="0" w:space="0" w:color="auto"/>
        <w:bottom w:val="none" w:sz="0" w:space="0" w:color="auto"/>
        <w:right w:val="none" w:sz="0" w:space="0" w:color="auto"/>
      </w:divBdr>
    </w:div>
    <w:div w:id="1187791434">
      <w:bodyDiv w:val="1"/>
      <w:marLeft w:val="0"/>
      <w:marRight w:val="0"/>
      <w:marTop w:val="0"/>
      <w:marBottom w:val="0"/>
      <w:divBdr>
        <w:top w:val="none" w:sz="0" w:space="0" w:color="auto"/>
        <w:left w:val="none" w:sz="0" w:space="0" w:color="auto"/>
        <w:bottom w:val="none" w:sz="0" w:space="0" w:color="auto"/>
        <w:right w:val="none" w:sz="0" w:space="0" w:color="auto"/>
      </w:divBdr>
    </w:div>
    <w:div w:id="1212182601">
      <w:bodyDiv w:val="1"/>
      <w:marLeft w:val="0"/>
      <w:marRight w:val="0"/>
      <w:marTop w:val="0"/>
      <w:marBottom w:val="0"/>
      <w:divBdr>
        <w:top w:val="none" w:sz="0" w:space="0" w:color="auto"/>
        <w:left w:val="none" w:sz="0" w:space="0" w:color="auto"/>
        <w:bottom w:val="none" w:sz="0" w:space="0" w:color="auto"/>
        <w:right w:val="none" w:sz="0" w:space="0" w:color="auto"/>
      </w:divBdr>
    </w:div>
    <w:div w:id="1279992935">
      <w:bodyDiv w:val="1"/>
      <w:marLeft w:val="0"/>
      <w:marRight w:val="0"/>
      <w:marTop w:val="0"/>
      <w:marBottom w:val="0"/>
      <w:divBdr>
        <w:top w:val="none" w:sz="0" w:space="0" w:color="auto"/>
        <w:left w:val="none" w:sz="0" w:space="0" w:color="auto"/>
        <w:bottom w:val="none" w:sz="0" w:space="0" w:color="auto"/>
        <w:right w:val="none" w:sz="0" w:space="0" w:color="auto"/>
      </w:divBdr>
    </w:div>
    <w:div w:id="1304848098">
      <w:bodyDiv w:val="1"/>
      <w:marLeft w:val="0"/>
      <w:marRight w:val="0"/>
      <w:marTop w:val="0"/>
      <w:marBottom w:val="0"/>
      <w:divBdr>
        <w:top w:val="none" w:sz="0" w:space="0" w:color="auto"/>
        <w:left w:val="none" w:sz="0" w:space="0" w:color="auto"/>
        <w:bottom w:val="none" w:sz="0" w:space="0" w:color="auto"/>
        <w:right w:val="none" w:sz="0" w:space="0" w:color="auto"/>
      </w:divBdr>
      <w:divsChild>
        <w:div w:id="542249620">
          <w:marLeft w:val="0"/>
          <w:marRight w:val="0"/>
          <w:marTop w:val="0"/>
          <w:marBottom w:val="0"/>
          <w:divBdr>
            <w:top w:val="none" w:sz="0" w:space="0" w:color="auto"/>
            <w:left w:val="none" w:sz="0" w:space="0" w:color="auto"/>
            <w:bottom w:val="none" w:sz="0" w:space="0" w:color="auto"/>
            <w:right w:val="none" w:sz="0" w:space="0" w:color="auto"/>
          </w:divBdr>
          <w:divsChild>
            <w:div w:id="1565488013">
              <w:marLeft w:val="0"/>
              <w:marRight w:val="0"/>
              <w:marTop w:val="0"/>
              <w:marBottom w:val="0"/>
              <w:divBdr>
                <w:top w:val="none" w:sz="0" w:space="0" w:color="auto"/>
                <w:left w:val="none" w:sz="0" w:space="0" w:color="auto"/>
                <w:bottom w:val="none" w:sz="0" w:space="0" w:color="auto"/>
                <w:right w:val="none" w:sz="0" w:space="0" w:color="auto"/>
              </w:divBdr>
              <w:divsChild>
                <w:div w:id="364990435">
                  <w:marLeft w:val="0"/>
                  <w:marRight w:val="0"/>
                  <w:marTop w:val="0"/>
                  <w:marBottom w:val="0"/>
                  <w:divBdr>
                    <w:top w:val="none" w:sz="0" w:space="0" w:color="auto"/>
                    <w:left w:val="none" w:sz="0" w:space="0" w:color="auto"/>
                    <w:bottom w:val="none" w:sz="0" w:space="0" w:color="auto"/>
                    <w:right w:val="none" w:sz="0" w:space="0" w:color="auto"/>
                  </w:divBdr>
                  <w:divsChild>
                    <w:div w:id="1293093222">
                      <w:marLeft w:val="0"/>
                      <w:marRight w:val="0"/>
                      <w:marTop w:val="0"/>
                      <w:marBottom w:val="0"/>
                      <w:divBdr>
                        <w:top w:val="none" w:sz="0" w:space="0" w:color="auto"/>
                        <w:left w:val="none" w:sz="0" w:space="0" w:color="auto"/>
                        <w:bottom w:val="none" w:sz="0" w:space="0" w:color="auto"/>
                        <w:right w:val="none" w:sz="0" w:space="0" w:color="auto"/>
                      </w:divBdr>
                      <w:divsChild>
                        <w:div w:id="685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92202">
      <w:bodyDiv w:val="1"/>
      <w:marLeft w:val="0"/>
      <w:marRight w:val="0"/>
      <w:marTop w:val="0"/>
      <w:marBottom w:val="0"/>
      <w:divBdr>
        <w:top w:val="none" w:sz="0" w:space="0" w:color="auto"/>
        <w:left w:val="none" w:sz="0" w:space="0" w:color="auto"/>
        <w:bottom w:val="none" w:sz="0" w:space="0" w:color="auto"/>
        <w:right w:val="none" w:sz="0" w:space="0" w:color="auto"/>
      </w:divBdr>
    </w:div>
    <w:div w:id="1417675340">
      <w:bodyDiv w:val="1"/>
      <w:marLeft w:val="0"/>
      <w:marRight w:val="0"/>
      <w:marTop w:val="0"/>
      <w:marBottom w:val="0"/>
      <w:divBdr>
        <w:top w:val="none" w:sz="0" w:space="0" w:color="auto"/>
        <w:left w:val="none" w:sz="0" w:space="0" w:color="auto"/>
        <w:bottom w:val="none" w:sz="0" w:space="0" w:color="auto"/>
        <w:right w:val="none" w:sz="0" w:space="0" w:color="auto"/>
      </w:divBdr>
    </w:div>
    <w:div w:id="1461417249">
      <w:bodyDiv w:val="1"/>
      <w:marLeft w:val="0"/>
      <w:marRight w:val="0"/>
      <w:marTop w:val="0"/>
      <w:marBottom w:val="0"/>
      <w:divBdr>
        <w:top w:val="none" w:sz="0" w:space="0" w:color="auto"/>
        <w:left w:val="none" w:sz="0" w:space="0" w:color="auto"/>
        <w:bottom w:val="none" w:sz="0" w:space="0" w:color="auto"/>
        <w:right w:val="none" w:sz="0" w:space="0" w:color="auto"/>
      </w:divBdr>
    </w:div>
    <w:div w:id="1519583991">
      <w:bodyDiv w:val="1"/>
      <w:marLeft w:val="0"/>
      <w:marRight w:val="0"/>
      <w:marTop w:val="0"/>
      <w:marBottom w:val="0"/>
      <w:divBdr>
        <w:top w:val="none" w:sz="0" w:space="0" w:color="auto"/>
        <w:left w:val="none" w:sz="0" w:space="0" w:color="auto"/>
        <w:bottom w:val="none" w:sz="0" w:space="0" w:color="auto"/>
        <w:right w:val="none" w:sz="0" w:space="0" w:color="auto"/>
      </w:divBdr>
    </w:div>
    <w:div w:id="1539514737">
      <w:bodyDiv w:val="1"/>
      <w:marLeft w:val="0"/>
      <w:marRight w:val="0"/>
      <w:marTop w:val="0"/>
      <w:marBottom w:val="0"/>
      <w:divBdr>
        <w:top w:val="none" w:sz="0" w:space="0" w:color="auto"/>
        <w:left w:val="none" w:sz="0" w:space="0" w:color="auto"/>
        <w:bottom w:val="none" w:sz="0" w:space="0" w:color="auto"/>
        <w:right w:val="none" w:sz="0" w:space="0" w:color="auto"/>
      </w:divBdr>
    </w:div>
    <w:div w:id="1544706650">
      <w:bodyDiv w:val="1"/>
      <w:marLeft w:val="0"/>
      <w:marRight w:val="0"/>
      <w:marTop w:val="0"/>
      <w:marBottom w:val="0"/>
      <w:divBdr>
        <w:top w:val="none" w:sz="0" w:space="0" w:color="auto"/>
        <w:left w:val="none" w:sz="0" w:space="0" w:color="auto"/>
        <w:bottom w:val="none" w:sz="0" w:space="0" w:color="auto"/>
        <w:right w:val="none" w:sz="0" w:space="0" w:color="auto"/>
      </w:divBdr>
    </w:div>
    <w:div w:id="1598102778">
      <w:bodyDiv w:val="1"/>
      <w:marLeft w:val="0"/>
      <w:marRight w:val="0"/>
      <w:marTop w:val="0"/>
      <w:marBottom w:val="0"/>
      <w:divBdr>
        <w:top w:val="none" w:sz="0" w:space="0" w:color="auto"/>
        <w:left w:val="none" w:sz="0" w:space="0" w:color="auto"/>
        <w:bottom w:val="none" w:sz="0" w:space="0" w:color="auto"/>
        <w:right w:val="none" w:sz="0" w:space="0" w:color="auto"/>
      </w:divBdr>
    </w:div>
    <w:div w:id="1647396913">
      <w:bodyDiv w:val="1"/>
      <w:marLeft w:val="0"/>
      <w:marRight w:val="0"/>
      <w:marTop w:val="0"/>
      <w:marBottom w:val="0"/>
      <w:divBdr>
        <w:top w:val="none" w:sz="0" w:space="0" w:color="auto"/>
        <w:left w:val="none" w:sz="0" w:space="0" w:color="auto"/>
        <w:bottom w:val="none" w:sz="0" w:space="0" w:color="auto"/>
        <w:right w:val="none" w:sz="0" w:space="0" w:color="auto"/>
      </w:divBdr>
    </w:div>
    <w:div w:id="1724789893">
      <w:bodyDiv w:val="1"/>
      <w:marLeft w:val="0"/>
      <w:marRight w:val="0"/>
      <w:marTop w:val="0"/>
      <w:marBottom w:val="0"/>
      <w:divBdr>
        <w:top w:val="none" w:sz="0" w:space="0" w:color="auto"/>
        <w:left w:val="none" w:sz="0" w:space="0" w:color="auto"/>
        <w:bottom w:val="none" w:sz="0" w:space="0" w:color="auto"/>
        <w:right w:val="none" w:sz="0" w:space="0" w:color="auto"/>
      </w:divBdr>
    </w:div>
    <w:div w:id="1728800143">
      <w:bodyDiv w:val="1"/>
      <w:marLeft w:val="0"/>
      <w:marRight w:val="0"/>
      <w:marTop w:val="0"/>
      <w:marBottom w:val="0"/>
      <w:divBdr>
        <w:top w:val="none" w:sz="0" w:space="0" w:color="auto"/>
        <w:left w:val="none" w:sz="0" w:space="0" w:color="auto"/>
        <w:bottom w:val="none" w:sz="0" w:space="0" w:color="auto"/>
        <w:right w:val="none" w:sz="0" w:space="0" w:color="auto"/>
      </w:divBdr>
    </w:div>
    <w:div w:id="1739017225">
      <w:bodyDiv w:val="1"/>
      <w:marLeft w:val="0"/>
      <w:marRight w:val="0"/>
      <w:marTop w:val="0"/>
      <w:marBottom w:val="0"/>
      <w:divBdr>
        <w:top w:val="none" w:sz="0" w:space="0" w:color="auto"/>
        <w:left w:val="none" w:sz="0" w:space="0" w:color="auto"/>
        <w:bottom w:val="none" w:sz="0" w:space="0" w:color="auto"/>
        <w:right w:val="none" w:sz="0" w:space="0" w:color="auto"/>
      </w:divBdr>
    </w:div>
    <w:div w:id="1744257429">
      <w:bodyDiv w:val="1"/>
      <w:marLeft w:val="0"/>
      <w:marRight w:val="0"/>
      <w:marTop w:val="0"/>
      <w:marBottom w:val="0"/>
      <w:divBdr>
        <w:top w:val="none" w:sz="0" w:space="0" w:color="auto"/>
        <w:left w:val="none" w:sz="0" w:space="0" w:color="auto"/>
        <w:bottom w:val="none" w:sz="0" w:space="0" w:color="auto"/>
        <w:right w:val="none" w:sz="0" w:space="0" w:color="auto"/>
      </w:divBdr>
    </w:div>
    <w:div w:id="1785881574">
      <w:bodyDiv w:val="1"/>
      <w:marLeft w:val="0"/>
      <w:marRight w:val="0"/>
      <w:marTop w:val="0"/>
      <w:marBottom w:val="0"/>
      <w:divBdr>
        <w:top w:val="none" w:sz="0" w:space="0" w:color="auto"/>
        <w:left w:val="none" w:sz="0" w:space="0" w:color="auto"/>
        <w:bottom w:val="none" w:sz="0" w:space="0" w:color="auto"/>
        <w:right w:val="none" w:sz="0" w:space="0" w:color="auto"/>
      </w:divBdr>
    </w:div>
    <w:div w:id="1811314729">
      <w:bodyDiv w:val="1"/>
      <w:marLeft w:val="0"/>
      <w:marRight w:val="0"/>
      <w:marTop w:val="0"/>
      <w:marBottom w:val="0"/>
      <w:divBdr>
        <w:top w:val="none" w:sz="0" w:space="0" w:color="auto"/>
        <w:left w:val="none" w:sz="0" w:space="0" w:color="auto"/>
        <w:bottom w:val="none" w:sz="0" w:space="0" w:color="auto"/>
        <w:right w:val="none" w:sz="0" w:space="0" w:color="auto"/>
      </w:divBdr>
      <w:divsChild>
        <w:div w:id="2021159206">
          <w:marLeft w:val="0"/>
          <w:marRight w:val="0"/>
          <w:marTop w:val="0"/>
          <w:marBottom w:val="0"/>
          <w:divBdr>
            <w:top w:val="none" w:sz="0" w:space="0" w:color="auto"/>
            <w:left w:val="none" w:sz="0" w:space="0" w:color="auto"/>
            <w:bottom w:val="none" w:sz="0" w:space="0" w:color="auto"/>
            <w:right w:val="none" w:sz="0" w:space="0" w:color="auto"/>
          </w:divBdr>
          <w:divsChild>
            <w:div w:id="649869012">
              <w:marLeft w:val="0"/>
              <w:marRight w:val="0"/>
              <w:marTop w:val="0"/>
              <w:marBottom w:val="0"/>
              <w:divBdr>
                <w:top w:val="none" w:sz="0" w:space="0" w:color="auto"/>
                <w:left w:val="none" w:sz="0" w:space="0" w:color="auto"/>
                <w:bottom w:val="none" w:sz="0" w:space="0" w:color="auto"/>
                <w:right w:val="none" w:sz="0" w:space="0" w:color="auto"/>
              </w:divBdr>
              <w:divsChild>
                <w:div w:id="2029408032">
                  <w:marLeft w:val="0"/>
                  <w:marRight w:val="0"/>
                  <w:marTop w:val="0"/>
                  <w:marBottom w:val="0"/>
                  <w:divBdr>
                    <w:top w:val="none" w:sz="0" w:space="0" w:color="auto"/>
                    <w:left w:val="none" w:sz="0" w:space="0" w:color="auto"/>
                    <w:bottom w:val="none" w:sz="0" w:space="0" w:color="auto"/>
                    <w:right w:val="none" w:sz="0" w:space="0" w:color="auto"/>
                  </w:divBdr>
                  <w:divsChild>
                    <w:div w:id="14613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654">
      <w:bodyDiv w:val="1"/>
      <w:marLeft w:val="0"/>
      <w:marRight w:val="0"/>
      <w:marTop w:val="0"/>
      <w:marBottom w:val="0"/>
      <w:divBdr>
        <w:top w:val="none" w:sz="0" w:space="0" w:color="auto"/>
        <w:left w:val="none" w:sz="0" w:space="0" w:color="auto"/>
        <w:bottom w:val="none" w:sz="0" w:space="0" w:color="auto"/>
        <w:right w:val="none" w:sz="0" w:space="0" w:color="auto"/>
      </w:divBdr>
    </w:div>
    <w:div w:id="1836651549">
      <w:bodyDiv w:val="1"/>
      <w:marLeft w:val="0"/>
      <w:marRight w:val="0"/>
      <w:marTop w:val="0"/>
      <w:marBottom w:val="0"/>
      <w:divBdr>
        <w:top w:val="none" w:sz="0" w:space="0" w:color="auto"/>
        <w:left w:val="none" w:sz="0" w:space="0" w:color="auto"/>
        <w:bottom w:val="none" w:sz="0" w:space="0" w:color="auto"/>
        <w:right w:val="none" w:sz="0" w:space="0" w:color="auto"/>
      </w:divBdr>
    </w:div>
    <w:div w:id="1884245257">
      <w:bodyDiv w:val="1"/>
      <w:marLeft w:val="0"/>
      <w:marRight w:val="0"/>
      <w:marTop w:val="0"/>
      <w:marBottom w:val="0"/>
      <w:divBdr>
        <w:top w:val="none" w:sz="0" w:space="0" w:color="auto"/>
        <w:left w:val="none" w:sz="0" w:space="0" w:color="auto"/>
        <w:bottom w:val="none" w:sz="0" w:space="0" w:color="auto"/>
        <w:right w:val="none" w:sz="0" w:space="0" w:color="auto"/>
      </w:divBdr>
    </w:div>
    <w:div w:id="1892881181">
      <w:bodyDiv w:val="1"/>
      <w:marLeft w:val="0"/>
      <w:marRight w:val="0"/>
      <w:marTop w:val="0"/>
      <w:marBottom w:val="0"/>
      <w:divBdr>
        <w:top w:val="none" w:sz="0" w:space="0" w:color="auto"/>
        <w:left w:val="none" w:sz="0" w:space="0" w:color="auto"/>
        <w:bottom w:val="none" w:sz="0" w:space="0" w:color="auto"/>
        <w:right w:val="none" w:sz="0" w:space="0" w:color="auto"/>
      </w:divBdr>
    </w:div>
    <w:div w:id="1893810598">
      <w:bodyDiv w:val="1"/>
      <w:marLeft w:val="0"/>
      <w:marRight w:val="0"/>
      <w:marTop w:val="0"/>
      <w:marBottom w:val="0"/>
      <w:divBdr>
        <w:top w:val="none" w:sz="0" w:space="0" w:color="auto"/>
        <w:left w:val="none" w:sz="0" w:space="0" w:color="auto"/>
        <w:bottom w:val="none" w:sz="0" w:space="0" w:color="auto"/>
        <w:right w:val="none" w:sz="0" w:space="0" w:color="auto"/>
      </w:divBdr>
      <w:divsChild>
        <w:div w:id="773554011">
          <w:marLeft w:val="240"/>
          <w:marRight w:val="240"/>
          <w:marTop w:val="240"/>
          <w:marBottom w:val="240"/>
          <w:divBdr>
            <w:top w:val="none" w:sz="0" w:space="0" w:color="auto"/>
            <w:left w:val="none" w:sz="0" w:space="0" w:color="auto"/>
            <w:bottom w:val="none" w:sz="0" w:space="0" w:color="auto"/>
            <w:right w:val="none" w:sz="0" w:space="0" w:color="auto"/>
          </w:divBdr>
        </w:div>
      </w:divsChild>
    </w:div>
    <w:div w:id="1899244928">
      <w:bodyDiv w:val="1"/>
      <w:marLeft w:val="0"/>
      <w:marRight w:val="0"/>
      <w:marTop w:val="0"/>
      <w:marBottom w:val="0"/>
      <w:divBdr>
        <w:top w:val="none" w:sz="0" w:space="0" w:color="auto"/>
        <w:left w:val="none" w:sz="0" w:space="0" w:color="auto"/>
        <w:bottom w:val="none" w:sz="0" w:space="0" w:color="auto"/>
        <w:right w:val="none" w:sz="0" w:space="0" w:color="auto"/>
      </w:divBdr>
    </w:div>
    <w:div w:id="1903514730">
      <w:bodyDiv w:val="1"/>
      <w:marLeft w:val="0"/>
      <w:marRight w:val="0"/>
      <w:marTop w:val="0"/>
      <w:marBottom w:val="0"/>
      <w:divBdr>
        <w:top w:val="none" w:sz="0" w:space="0" w:color="auto"/>
        <w:left w:val="none" w:sz="0" w:space="0" w:color="auto"/>
        <w:bottom w:val="none" w:sz="0" w:space="0" w:color="auto"/>
        <w:right w:val="none" w:sz="0" w:space="0" w:color="auto"/>
      </w:divBdr>
    </w:div>
    <w:div w:id="1961564678">
      <w:bodyDiv w:val="1"/>
      <w:marLeft w:val="0"/>
      <w:marRight w:val="0"/>
      <w:marTop w:val="0"/>
      <w:marBottom w:val="0"/>
      <w:divBdr>
        <w:top w:val="none" w:sz="0" w:space="0" w:color="auto"/>
        <w:left w:val="none" w:sz="0" w:space="0" w:color="auto"/>
        <w:bottom w:val="none" w:sz="0" w:space="0" w:color="auto"/>
        <w:right w:val="none" w:sz="0" w:space="0" w:color="auto"/>
      </w:divBdr>
    </w:div>
    <w:div w:id="2030140146">
      <w:bodyDiv w:val="1"/>
      <w:marLeft w:val="0"/>
      <w:marRight w:val="0"/>
      <w:marTop w:val="0"/>
      <w:marBottom w:val="0"/>
      <w:divBdr>
        <w:top w:val="none" w:sz="0" w:space="0" w:color="auto"/>
        <w:left w:val="none" w:sz="0" w:space="0" w:color="auto"/>
        <w:bottom w:val="none" w:sz="0" w:space="0" w:color="auto"/>
        <w:right w:val="none" w:sz="0" w:space="0" w:color="auto"/>
      </w:divBdr>
    </w:div>
    <w:div w:id="2120025432">
      <w:bodyDiv w:val="1"/>
      <w:marLeft w:val="0"/>
      <w:marRight w:val="0"/>
      <w:marTop w:val="0"/>
      <w:marBottom w:val="120"/>
      <w:divBdr>
        <w:top w:val="none" w:sz="0" w:space="0" w:color="auto"/>
        <w:left w:val="none" w:sz="0" w:space="0" w:color="auto"/>
        <w:bottom w:val="none" w:sz="0" w:space="0" w:color="auto"/>
        <w:right w:val="none" w:sz="0" w:space="0" w:color="auto"/>
      </w:divBdr>
      <w:divsChild>
        <w:div w:id="1066803509">
          <w:marLeft w:val="0"/>
          <w:marRight w:val="0"/>
          <w:marTop w:val="96"/>
          <w:marBottom w:val="96"/>
          <w:divBdr>
            <w:top w:val="single" w:sz="4" w:space="1" w:color="788FA3"/>
            <w:left w:val="single" w:sz="4" w:space="1" w:color="788FA3"/>
            <w:bottom w:val="single" w:sz="4" w:space="1" w:color="788FA3"/>
            <w:right w:val="single" w:sz="4" w:space="1" w:color="788FA3"/>
          </w:divBdr>
          <w:divsChild>
            <w:div w:id="2091537662">
              <w:marLeft w:val="0"/>
              <w:marRight w:val="0"/>
              <w:marTop w:val="0"/>
              <w:marBottom w:val="0"/>
              <w:divBdr>
                <w:top w:val="none" w:sz="0" w:space="0" w:color="auto"/>
                <w:left w:val="none" w:sz="0" w:space="0" w:color="auto"/>
                <w:bottom w:val="none" w:sz="0" w:space="0" w:color="auto"/>
                <w:right w:val="none" w:sz="0" w:space="0" w:color="auto"/>
              </w:divBdr>
              <w:divsChild>
                <w:div w:id="1050809689">
                  <w:marLeft w:val="0"/>
                  <w:marRight w:val="0"/>
                  <w:marTop w:val="0"/>
                  <w:marBottom w:val="0"/>
                  <w:divBdr>
                    <w:top w:val="none" w:sz="0" w:space="0" w:color="auto"/>
                    <w:left w:val="none" w:sz="0" w:space="0" w:color="auto"/>
                    <w:bottom w:val="none" w:sz="0" w:space="0" w:color="auto"/>
                    <w:right w:val="none" w:sz="0" w:space="0" w:color="auto"/>
                  </w:divBdr>
                  <w:divsChild>
                    <w:div w:id="756824209">
                      <w:marLeft w:val="0"/>
                      <w:marRight w:val="0"/>
                      <w:marTop w:val="0"/>
                      <w:marBottom w:val="0"/>
                      <w:divBdr>
                        <w:top w:val="none" w:sz="0" w:space="0" w:color="auto"/>
                        <w:left w:val="none" w:sz="0" w:space="0" w:color="auto"/>
                        <w:bottom w:val="none" w:sz="0" w:space="0" w:color="auto"/>
                        <w:right w:val="none" w:sz="0" w:space="0" w:color="auto"/>
                      </w:divBdr>
                    </w:div>
                    <w:div w:id="1014920672">
                      <w:marLeft w:val="0"/>
                      <w:marRight w:val="0"/>
                      <w:marTop w:val="0"/>
                      <w:marBottom w:val="0"/>
                      <w:divBdr>
                        <w:top w:val="none" w:sz="0" w:space="0" w:color="auto"/>
                        <w:left w:val="none" w:sz="0" w:space="0" w:color="auto"/>
                        <w:bottom w:val="none" w:sz="0" w:space="0" w:color="auto"/>
                        <w:right w:val="none" w:sz="0" w:space="0" w:color="auto"/>
                      </w:divBdr>
                    </w:div>
                    <w:div w:id="133152301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footer" Target="footer3.xml"/><Relationship Id="rId26" Type="http://schemas.openxmlformats.org/officeDocument/2006/relationships/chart" Target="charts/chart7.xml"/><Relationship Id="rId39" Type="http://schemas.openxmlformats.org/officeDocument/2006/relationships/chart" Target="charts/chart18.xml"/><Relationship Id="rId21" Type="http://schemas.openxmlformats.org/officeDocument/2006/relationships/chart" Target="charts/chart2.xml"/><Relationship Id="rId34" Type="http://schemas.openxmlformats.org/officeDocument/2006/relationships/chart" Target="charts/chart14.xml"/><Relationship Id="rId42" Type="http://schemas.openxmlformats.org/officeDocument/2006/relationships/chart" Target="charts/chart21.xml"/><Relationship Id="rId47" Type="http://schemas.openxmlformats.org/officeDocument/2006/relationships/hyperlink" Target="http://www.zagreb.hr/default.aspx?id=821" TargetMode="External"/><Relationship Id="rId50" Type="http://schemas.openxmlformats.org/officeDocument/2006/relationships/hyperlink" Target="http://www.zagreb.hr/default.aspx?id=825" TargetMode="External"/><Relationship Id="rId55" Type="http://schemas.openxmlformats.org/officeDocument/2006/relationships/hyperlink" Target="http://www.zagreb.hr/default.aspx?id=828" TargetMode="External"/><Relationship Id="rId63"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1.xml"/><Relationship Id="rId29" Type="http://schemas.openxmlformats.org/officeDocument/2006/relationships/chart" Target="charts/chart9.xml"/><Relationship Id="rId41" Type="http://schemas.openxmlformats.org/officeDocument/2006/relationships/chart" Target="charts/chart20.xml"/><Relationship Id="rId54" Type="http://schemas.openxmlformats.org/officeDocument/2006/relationships/hyperlink" Target="http://www.zagreb.hr/default.aspx?id=16814" TargetMode="External"/><Relationship Id="rId62" Type="http://schemas.openxmlformats.org/officeDocument/2006/relationships/hyperlink" Target="http://www.zagreb.hr/default.aspx?id=8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5.xml"/><Relationship Id="rId32" Type="http://schemas.openxmlformats.org/officeDocument/2006/relationships/chart" Target="charts/chart12.xml"/><Relationship Id="rId37" Type="http://schemas.openxmlformats.org/officeDocument/2006/relationships/chart" Target="charts/chart16.xml"/><Relationship Id="rId40" Type="http://schemas.openxmlformats.org/officeDocument/2006/relationships/chart" Target="charts/chart19.xml"/><Relationship Id="rId45" Type="http://schemas.openxmlformats.org/officeDocument/2006/relationships/hyperlink" Target="http://www.zagreb.hr/default.aspx?id=818" TargetMode="External"/><Relationship Id="rId53" Type="http://schemas.openxmlformats.org/officeDocument/2006/relationships/hyperlink" Target="http://www.zagreb.hr/default.aspx?id=827" TargetMode="External"/><Relationship Id="rId58" Type="http://schemas.openxmlformats.org/officeDocument/2006/relationships/hyperlink" Target="http://www.zagreb.hr/default.aspx?id=831"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hart" Target="charts/chart4.xml"/><Relationship Id="rId28" Type="http://schemas.openxmlformats.org/officeDocument/2006/relationships/chart" Target="charts/chart8.xml"/><Relationship Id="rId36" Type="http://schemas.openxmlformats.org/officeDocument/2006/relationships/chart" Target="charts/chart15.xml"/><Relationship Id="rId49" Type="http://schemas.openxmlformats.org/officeDocument/2006/relationships/hyperlink" Target="http://www.zagreb.hr/default.aspx?id=824" TargetMode="External"/><Relationship Id="rId57" Type="http://schemas.openxmlformats.org/officeDocument/2006/relationships/hyperlink" Target="http://www.zagreb.hr/default.aspx?id=830" TargetMode="External"/><Relationship Id="rId61" Type="http://schemas.openxmlformats.org/officeDocument/2006/relationships/hyperlink" Target="http://www.zagreb.hr/default.aspx?id=822" TargetMode="Externa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chart" Target="charts/chart11.xml"/><Relationship Id="rId44" Type="http://schemas.openxmlformats.org/officeDocument/2006/relationships/hyperlink" Target="http://www.zagreb.hr/default.aspx?id=16810" TargetMode="External"/><Relationship Id="rId52" Type="http://schemas.openxmlformats.org/officeDocument/2006/relationships/hyperlink" Target="http://www.zagreb.hr/default.aspx?id=826" TargetMode="External"/><Relationship Id="rId60" Type="http://schemas.openxmlformats.org/officeDocument/2006/relationships/hyperlink" Target="http://www.zagreb.hr/default.aspx?id=833"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hart" Target="charts/chart3.xml"/><Relationship Id="rId27" Type="http://schemas.openxmlformats.org/officeDocument/2006/relationships/image" Target="media/image6.emf"/><Relationship Id="rId30" Type="http://schemas.openxmlformats.org/officeDocument/2006/relationships/chart" Target="charts/chart10.xml"/><Relationship Id="rId35" Type="http://schemas.openxmlformats.org/officeDocument/2006/relationships/image" Target="media/image7.emf"/><Relationship Id="rId43" Type="http://schemas.openxmlformats.org/officeDocument/2006/relationships/chart" Target="charts/chart22.xml"/><Relationship Id="rId48" Type="http://schemas.openxmlformats.org/officeDocument/2006/relationships/hyperlink" Target="http://www.zagreb.hr/default.aspx?id=823" TargetMode="External"/><Relationship Id="rId56" Type="http://schemas.openxmlformats.org/officeDocument/2006/relationships/hyperlink" Target="http://www.zagreb.hr/default.aspx?id=829"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zagreb.hr/default.aspx?id=18953" TargetMode="External"/><Relationship Id="rId3" Type="http://schemas.openxmlformats.org/officeDocument/2006/relationships/customXml" Target="../customXml/item3.xml"/><Relationship Id="rId12" Type="http://schemas.openxmlformats.org/officeDocument/2006/relationships/image" Target="file:///C:\Users\Velimir.Velimir-PC\AppData\Local\Microsoft\Windows\Temporary%20Internet%20Files\Content.Outlook\5B8FNKEN\logo.gif" TargetMode="External"/><Relationship Id="rId17" Type="http://schemas.openxmlformats.org/officeDocument/2006/relationships/header" Target="header2.xml"/><Relationship Id="rId25" Type="http://schemas.openxmlformats.org/officeDocument/2006/relationships/chart" Target="charts/chart6.xml"/><Relationship Id="rId33" Type="http://schemas.openxmlformats.org/officeDocument/2006/relationships/chart" Target="charts/chart13.xml"/><Relationship Id="rId38" Type="http://schemas.openxmlformats.org/officeDocument/2006/relationships/chart" Target="charts/chart17.xml"/><Relationship Id="rId46" Type="http://schemas.openxmlformats.org/officeDocument/2006/relationships/hyperlink" Target="http://www.zagreb.hr/default.aspx?id=820" TargetMode="External"/><Relationship Id="rId59" Type="http://schemas.openxmlformats.org/officeDocument/2006/relationships/hyperlink" Target="http://www.zagreb.hr/default.aspx?id=270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na.hr/default.aspx?id=1057" TargetMode="External"/><Relationship Id="rId2" Type="http://schemas.openxmlformats.org/officeDocument/2006/relationships/hyperlink" Target="http://www.ina.hr/default.aspx?id=1057" TargetMode="External"/><Relationship Id="rId1" Type="http://schemas.openxmlformats.org/officeDocument/2006/relationships/hyperlink" Target="http://www.ina.hr/default.aspx?id=1057" TargetMode="External"/><Relationship Id="rId4" Type="http://schemas.openxmlformats.org/officeDocument/2006/relationships/hyperlink" Target="http://www.ina.hr/default.aspx?id=637" TargetMode="External"/></Relationships>
</file>

<file path=word/_rels/header2.xml.rels><?xml version="1.0" encoding="UTF-8" standalone="yes"?>
<Relationships xmlns="http://schemas.openxmlformats.org/package/2006/relationships"><Relationship Id="rId2" Type="http://schemas.openxmlformats.org/officeDocument/2006/relationships/image" Target="file:///C:\Users\Velimir.Velimir-PC\AppData\Local\Microsoft\Windows\Temporary%20Internet%20Files\Content.Outlook\5B8FNKEN\logo.gif"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r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r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r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r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r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projekcije.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projekcije.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projekcije.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projekcije-r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projekcij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projekcije.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projekcije.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projekcije-r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92.168.0.2\javno\Projekti\Grad%20Zagreb\SEAP\Konacno\EKONERG\excel\grafovi-emisije%202008.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92.168.0.2\javno\Projekti\Grad%20Zagreb\SEAP\Konacno\EKONERG\excel\grafovi-emisije%20200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95020731104269"/>
          <c:y val="3.0364372469635696E-2"/>
          <c:w val="0.56825231085244743"/>
          <c:h val="0.7377667107850836"/>
        </c:manualLayout>
      </c:layout>
      <c:barChart>
        <c:barDir val="col"/>
        <c:grouping val="stacked"/>
        <c:varyColors val="0"/>
        <c:ser>
          <c:idx val="0"/>
          <c:order val="0"/>
          <c:tx>
            <c:strRef>
              <c:f>'X:\iselanec\Grad Zagreb\Proracun\[Zgradarstvo-10_02_2010.xlsx]proračun II'!$C$39</c:f>
              <c:strCache>
                <c:ptCount val="1"/>
                <c:pt idx="0">
                  <c:v>Stambene i javne zgrade u vlasništvu Grada</c:v>
                </c:pt>
              </c:strCache>
            </c:strRef>
          </c:tx>
          <c:spPr>
            <a:gradFill flip="none" rotWithShape="1">
              <a:gsLst>
                <a:gs pos="0">
                  <a:srgbClr val="BCB800"/>
                </a:gs>
                <a:gs pos="50000">
                  <a:srgbClr val="FFFF00"/>
                </a:gs>
                <a:gs pos="100000">
                  <a:srgbClr val="BCB800"/>
                </a:gs>
              </a:gsLst>
              <a:lin ang="0" scaled="1"/>
              <a:tileRect/>
            </a:gradFill>
            <a:ln>
              <a:noFill/>
            </a:ln>
          </c:spPr>
          <c:invertIfNegative val="0"/>
          <c:cat>
            <c:strRef>
              <c:f>'X:\iselanec\Grad Zagreb\Proracun\[Zgradarstvo-10_02_2010.xlsx]proračun II'!$B$40:$B$45</c:f>
              <c:strCache>
                <c:ptCount val="6"/>
                <c:pt idx="0">
                  <c:v>Električna energija</c:v>
                </c:pt>
                <c:pt idx="1">
                  <c:v>Toplina</c:v>
                </c:pt>
                <c:pt idx="2">
                  <c:v>Prirodni plin</c:v>
                </c:pt>
                <c:pt idx="3">
                  <c:v>Loživo ulje</c:v>
                </c:pt>
                <c:pt idx="4">
                  <c:v>UNP</c:v>
                </c:pt>
                <c:pt idx="5">
                  <c:v>ogrievno drvo</c:v>
                </c:pt>
              </c:strCache>
            </c:strRef>
          </c:cat>
          <c:val>
            <c:numRef>
              <c:f>'X:\iselanec\Grad Zagreb\Proracun\[Zgradarstvo-10_02_2010.xlsx]proračun II'!$C$40:$C$45</c:f>
              <c:numCache>
                <c:formatCode>General</c:formatCode>
                <c:ptCount val="6"/>
                <c:pt idx="0">
                  <c:v>46094.350578972735</c:v>
                </c:pt>
                <c:pt idx="1">
                  <c:v>42412.730458268205</c:v>
                </c:pt>
                <c:pt idx="2">
                  <c:v>36848.098590486887</c:v>
                </c:pt>
                <c:pt idx="3">
                  <c:v>14047.602706641967</c:v>
                </c:pt>
                <c:pt idx="4">
                  <c:v>57.976682896439996</c:v>
                </c:pt>
              </c:numCache>
            </c:numRef>
          </c:val>
          <c:extLst>
            <c:ext xmlns:c16="http://schemas.microsoft.com/office/drawing/2014/chart" uri="{C3380CC4-5D6E-409C-BE32-E72D297353CC}">
              <c16:uniqueId val="{00000000-8B6B-4155-B93A-C35D278E4725}"/>
            </c:ext>
          </c:extLst>
        </c:ser>
        <c:ser>
          <c:idx val="1"/>
          <c:order val="1"/>
          <c:tx>
            <c:strRef>
              <c:f>'X:\iselanec\Grad Zagreb\Proracun\[Zgradarstvo-10_02_2010.xlsx]proračun II'!$D$39</c:f>
              <c:strCache>
                <c:ptCount val="1"/>
                <c:pt idx="0">
                  <c:v>Zgrade komercijalnih i uslužnih djelatnosti</c:v>
                </c:pt>
              </c:strCache>
            </c:strRef>
          </c:tx>
          <c:spPr>
            <a:gradFill>
              <a:gsLst>
                <a:gs pos="0">
                  <a:srgbClr val="3E4D1F"/>
                </a:gs>
                <a:gs pos="50000">
                  <a:srgbClr val="9BBB59">
                    <a:lumMod val="75000"/>
                  </a:srgbClr>
                </a:gs>
                <a:gs pos="100000">
                  <a:srgbClr val="3E4D1F"/>
                </a:gs>
              </a:gsLst>
              <a:lin ang="0" scaled="1"/>
            </a:gradFill>
          </c:spPr>
          <c:invertIfNegative val="0"/>
          <c:cat>
            <c:strRef>
              <c:f>'X:\iselanec\Grad Zagreb\Proracun\[Zgradarstvo-10_02_2010.xlsx]proračun II'!$B$40:$B$45</c:f>
              <c:strCache>
                <c:ptCount val="6"/>
                <c:pt idx="0">
                  <c:v>Električna energija</c:v>
                </c:pt>
                <c:pt idx="1">
                  <c:v>Toplina</c:v>
                </c:pt>
                <c:pt idx="2">
                  <c:v>Prirodni plin</c:v>
                </c:pt>
                <c:pt idx="3">
                  <c:v>Loživo ulje</c:v>
                </c:pt>
                <c:pt idx="4">
                  <c:v>UNP</c:v>
                </c:pt>
                <c:pt idx="5">
                  <c:v>ogrievno drvo</c:v>
                </c:pt>
              </c:strCache>
            </c:strRef>
          </c:cat>
          <c:val>
            <c:numRef>
              <c:f>'X:\iselanec\Grad Zagreb\Proracun\[Zgradarstvo-10_02_2010.xlsx]proračun II'!$D$40:$D$45</c:f>
              <c:numCache>
                <c:formatCode>General</c:formatCode>
                <c:ptCount val="6"/>
                <c:pt idx="0">
                  <c:v>194800.26308924999</c:v>
                </c:pt>
                <c:pt idx="1">
                  <c:v>166677.34924804341</c:v>
                </c:pt>
                <c:pt idx="2">
                  <c:v>137311.66508829276</c:v>
                </c:pt>
                <c:pt idx="3">
                  <c:v>0</c:v>
                </c:pt>
                <c:pt idx="4">
                  <c:v>0</c:v>
                </c:pt>
                <c:pt idx="5">
                  <c:v>0</c:v>
                </c:pt>
              </c:numCache>
            </c:numRef>
          </c:val>
          <c:extLst>
            <c:ext xmlns:c16="http://schemas.microsoft.com/office/drawing/2014/chart" uri="{C3380CC4-5D6E-409C-BE32-E72D297353CC}">
              <c16:uniqueId val="{00000001-8B6B-4155-B93A-C35D278E4725}"/>
            </c:ext>
          </c:extLst>
        </c:ser>
        <c:ser>
          <c:idx val="2"/>
          <c:order val="2"/>
          <c:tx>
            <c:strRef>
              <c:f>'X:\iselanec\Grad Zagreb\Proracun\[Zgradarstvo-10_02_2010.xlsx]proračun II'!$E$39</c:f>
              <c:strCache>
                <c:ptCount val="1"/>
                <c:pt idx="0">
                  <c:v>Stambene zgrade - kućanstva</c:v>
                </c:pt>
              </c:strCache>
            </c:strRef>
          </c:tx>
          <c:spPr>
            <a:gradFill>
              <a:gsLst>
                <a:gs pos="0">
                  <a:srgbClr val="4BACC6">
                    <a:lumMod val="50000"/>
                  </a:srgbClr>
                </a:gs>
                <a:gs pos="50000">
                  <a:srgbClr val="4BACC6">
                    <a:lumMod val="60000"/>
                    <a:lumOff val="40000"/>
                  </a:srgbClr>
                </a:gs>
                <a:gs pos="100000">
                  <a:schemeClr val="accent5">
                    <a:lumMod val="50000"/>
                  </a:schemeClr>
                </a:gs>
              </a:gsLst>
              <a:lin ang="0" scaled="1"/>
            </a:gradFill>
          </c:spPr>
          <c:invertIfNegative val="0"/>
          <c:cat>
            <c:strRef>
              <c:f>'X:\iselanec\Grad Zagreb\Proracun\[Zgradarstvo-10_02_2010.xlsx]proračun II'!$B$40:$B$45</c:f>
              <c:strCache>
                <c:ptCount val="6"/>
                <c:pt idx="0">
                  <c:v>Električna energija</c:v>
                </c:pt>
                <c:pt idx="1">
                  <c:v>Toplina</c:v>
                </c:pt>
                <c:pt idx="2">
                  <c:v>Prirodni plin</c:v>
                </c:pt>
                <c:pt idx="3">
                  <c:v>Loživo ulje</c:v>
                </c:pt>
                <c:pt idx="4">
                  <c:v>UNP</c:v>
                </c:pt>
                <c:pt idx="5">
                  <c:v>ogrievno drvo</c:v>
                </c:pt>
              </c:strCache>
            </c:strRef>
          </c:cat>
          <c:val>
            <c:numRef>
              <c:f>'X:\iselanec\Grad Zagreb\Proracun\[Zgradarstvo-10_02_2010.xlsx]proračun II'!$E$40:$E$45</c:f>
              <c:numCache>
                <c:formatCode>General</c:formatCode>
                <c:ptCount val="6"/>
                <c:pt idx="0">
                  <c:v>318745.12099999993</c:v>
                </c:pt>
                <c:pt idx="1">
                  <c:v>256595.10311602592</c:v>
                </c:pt>
                <c:pt idx="2">
                  <c:v>459889.40166366246</c:v>
                </c:pt>
                <c:pt idx="3">
                  <c:v>85952.598068670093</c:v>
                </c:pt>
                <c:pt idx="4">
                  <c:v>0</c:v>
                </c:pt>
                <c:pt idx="5">
                  <c:v>0</c:v>
                </c:pt>
              </c:numCache>
            </c:numRef>
          </c:val>
          <c:extLst>
            <c:ext xmlns:c16="http://schemas.microsoft.com/office/drawing/2014/chart" uri="{C3380CC4-5D6E-409C-BE32-E72D297353CC}">
              <c16:uniqueId val="{00000002-8B6B-4155-B93A-C35D278E4725}"/>
            </c:ext>
          </c:extLst>
        </c:ser>
        <c:dLbls>
          <c:showLegendKey val="0"/>
          <c:showVal val="0"/>
          <c:showCatName val="0"/>
          <c:showSerName val="0"/>
          <c:showPercent val="0"/>
          <c:showBubbleSize val="0"/>
        </c:dLbls>
        <c:gapWidth val="150"/>
        <c:overlap val="100"/>
        <c:axId val="339295744"/>
        <c:axId val="396655360"/>
      </c:barChart>
      <c:catAx>
        <c:axId val="339295744"/>
        <c:scaling>
          <c:orientation val="minMax"/>
        </c:scaling>
        <c:delete val="0"/>
        <c:axPos val="b"/>
        <c:numFmt formatCode="General" sourceLinked="1"/>
        <c:majorTickMark val="out"/>
        <c:minorTickMark val="none"/>
        <c:tickLblPos val="nextTo"/>
        <c:txPr>
          <a:bodyPr rot="-5400000" vert="horz"/>
          <a:lstStyle/>
          <a:p>
            <a:pPr>
              <a:defRPr sz="800"/>
            </a:pPr>
            <a:endParaRPr lang="sr-Latn-RS"/>
          </a:p>
        </c:txPr>
        <c:crossAx val="396655360"/>
        <c:crosses val="autoZero"/>
        <c:auto val="1"/>
        <c:lblAlgn val="ctr"/>
        <c:lblOffset val="100"/>
        <c:noMultiLvlLbl val="0"/>
      </c:catAx>
      <c:valAx>
        <c:axId val="396655360"/>
        <c:scaling>
          <c:orientation val="minMax"/>
        </c:scaling>
        <c:delete val="0"/>
        <c:axPos val="l"/>
        <c:majorGridlines>
          <c:spPr>
            <a:ln>
              <a:solidFill>
                <a:sysClr val="window" lastClr="FFFFFF">
                  <a:lumMod val="65000"/>
                </a:sysClr>
              </a:solidFill>
              <a:prstDash val="sysDash"/>
            </a:ln>
          </c:spPr>
        </c:majorGridlines>
        <c:title>
          <c:tx>
            <c:rich>
              <a:bodyPr rot="-5400000" vert="horz"/>
              <a:lstStyle/>
              <a:p>
                <a:pPr>
                  <a:defRPr/>
                </a:pPr>
                <a:r>
                  <a:rPr lang="hr-HR"/>
                  <a:t>t CO2</a:t>
                </a:r>
              </a:p>
            </c:rich>
          </c:tx>
          <c:overlay val="0"/>
          <c:spPr>
            <a:noFill/>
            <a:ln w="25400">
              <a:noFill/>
            </a:ln>
          </c:spPr>
        </c:title>
        <c:numFmt formatCode="General" sourceLinked="1"/>
        <c:majorTickMark val="out"/>
        <c:minorTickMark val="none"/>
        <c:tickLblPos val="nextTo"/>
        <c:crossAx val="339295744"/>
        <c:crosses val="autoZero"/>
        <c:crossBetween val="between"/>
      </c:valAx>
      <c:spPr>
        <a:ln>
          <a:solidFill>
            <a:schemeClr val="bg1">
              <a:lumMod val="65000"/>
            </a:schemeClr>
          </a:solidFill>
        </a:ln>
      </c:spPr>
    </c:plotArea>
    <c:legend>
      <c:legendPos val="r"/>
      <c:layout>
        <c:manualLayout>
          <c:xMode val="edge"/>
          <c:yMode val="edge"/>
          <c:x val="0.74568520039289876"/>
          <c:y val="0.26382989575695892"/>
          <c:w val="0.24467623142199277"/>
          <c:h val="0.38866949323642341"/>
        </c:manualLayout>
      </c:layout>
      <c:overlay val="0"/>
    </c:legend>
    <c:plotVisOnly val="1"/>
    <c:dispBlanksAs val="gap"/>
    <c:showDLblsOverMax val="0"/>
  </c:chart>
  <c:spPr>
    <a:ln>
      <a:noFill/>
    </a:ln>
  </c:spPr>
  <c:txPr>
    <a:bodyPr/>
    <a:lstStyle/>
    <a:p>
      <a:pPr>
        <a:defRPr sz="1000">
          <a:latin typeface="+mn-lt"/>
          <a:cs typeface="Arial" pitchFamily="34" charset="0"/>
        </a:defRPr>
      </a:pPr>
      <a:endParaRPr lang="sr-Latn-R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62491052254833"/>
          <c:y val="6.5822784810127127E-2"/>
          <c:w val="0.80943117101785922"/>
          <c:h val="0.69248817142004382"/>
        </c:manualLayout>
      </c:layout>
      <c:barChart>
        <c:barDir val="col"/>
        <c:grouping val="clustered"/>
        <c:varyColors val="0"/>
        <c:ser>
          <c:idx val="0"/>
          <c:order val="0"/>
          <c:spPr>
            <a:gradFill rotWithShape="0">
              <a:gsLst>
                <a:gs pos="0">
                  <a:srgbClr val="00CCFF">
                    <a:gamma/>
                    <a:shade val="26275"/>
                    <a:invGamma/>
                  </a:srgbClr>
                </a:gs>
                <a:gs pos="50000">
                  <a:srgbClr val="00CCFF"/>
                </a:gs>
                <a:gs pos="100000">
                  <a:srgbClr val="00CCFF">
                    <a:gamma/>
                    <a:shade val="26275"/>
                    <a:invGamma/>
                  </a:srgbClr>
                </a:gs>
              </a:gsLst>
              <a:lin ang="0" scaled="1"/>
            </a:gradFill>
            <a:ln w="25400">
              <a:noFill/>
            </a:ln>
          </c:spPr>
          <c:invertIfNegative val="0"/>
          <c:cat>
            <c:strRef>
              <c:f>'X:\iselanec\Grad Zagreb\Proracun\[ukupno emisije inventara-10_02_2010.xlsx]sumarna-goriva'!$C$95:$C$103</c:f>
              <c:strCache>
                <c:ptCount val="9"/>
                <c:pt idx="0">
                  <c:v>Prirodni plin</c:v>
                </c:pt>
                <c:pt idx="1">
                  <c:v>Dizel</c:v>
                </c:pt>
                <c:pt idx="2">
                  <c:v>Toplina</c:v>
                </c:pt>
                <c:pt idx="3">
                  <c:v>Električna energija</c:v>
                </c:pt>
                <c:pt idx="4">
                  <c:v>Motorni benzin</c:v>
                </c:pt>
                <c:pt idx="5">
                  <c:v>Loživo ulje</c:v>
                </c:pt>
                <c:pt idx="6">
                  <c:v>Ogrjevno drvo</c:v>
                </c:pt>
                <c:pt idx="7">
                  <c:v>UNP</c:v>
                </c:pt>
                <c:pt idx="8">
                  <c:v>Biodizel</c:v>
                </c:pt>
              </c:strCache>
            </c:strRef>
          </c:cat>
          <c:val>
            <c:numRef>
              <c:f>'X:\iselanec\Grad Zagreb\Proracun\[ukupno emisije inventara-10_02_2010.xlsx]sumarna-goriva'!$D$95:$D$103</c:f>
              <c:numCache>
                <c:formatCode>General</c:formatCode>
                <c:ptCount val="9"/>
                <c:pt idx="0">
                  <c:v>3157035.5799404713</c:v>
                </c:pt>
                <c:pt idx="1">
                  <c:v>2061493.061111111</c:v>
                </c:pt>
                <c:pt idx="2">
                  <c:v>1909679.6219534068</c:v>
                </c:pt>
                <c:pt idx="3">
                  <c:v>1822792.2434147578</c:v>
                </c:pt>
                <c:pt idx="4">
                  <c:v>1686583.6888888888</c:v>
                </c:pt>
                <c:pt idx="5">
                  <c:v>262917.00958943466</c:v>
                </c:pt>
                <c:pt idx="6">
                  <c:v>187200.96143806999</c:v>
                </c:pt>
                <c:pt idx="7">
                  <c:v>29996.391610833321</c:v>
                </c:pt>
                <c:pt idx="8">
                  <c:v>2739.4227777777774</c:v>
                </c:pt>
              </c:numCache>
            </c:numRef>
          </c:val>
          <c:extLst>
            <c:ext xmlns:c16="http://schemas.microsoft.com/office/drawing/2014/chart" uri="{C3380CC4-5D6E-409C-BE32-E72D297353CC}">
              <c16:uniqueId val="{00000000-F602-4068-B0CA-33F938E61842}"/>
            </c:ext>
          </c:extLst>
        </c:ser>
        <c:dLbls>
          <c:showLegendKey val="0"/>
          <c:showVal val="0"/>
          <c:showCatName val="0"/>
          <c:showSerName val="0"/>
          <c:showPercent val="0"/>
          <c:showBubbleSize val="0"/>
        </c:dLbls>
        <c:gapWidth val="150"/>
        <c:axId val="362446848"/>
        <c:axId val="511265600"/>
      </c:barChart>
      <c:catAx>
        <c:axId val="362446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a:pPr>
            <a:endParaRPr lang="sr-Latn-RS"/>
          </a:p>
        </c:txPr>
        <c:crossAx val="511265600"/>
        <c:crosses val="autoZero"/>
        <c:auto val="1"/>
        <c:lblAlgn val="ctr"/>
        <c:lblOffset val="100"/>
        <c:tickLblSkip val="1"/>
        <c:tickMarkSkip val="1"/>
        <c:noMultiLvlLbl val="0"/>
      </c:catAx>
      <c:valAx>
        <c:axId val="511265600"/>
        <c:scaling>
          <c:orientation val="minMax"/>
        </c:scaling>
        <c:delete val="0"/>
        <c:axPos val="l"/>
        <c:majorGridlines>
          <c:spPr>
            <a:ln w="3175">
              <a:solidFill>
                <a:srgbClr val="969696"/>
              </a:solidFill>
              <a:prstDash val="sysDash"/>
            </a:ln>
          </c:spPr>
        </c:majorGridlines>
        <c:title>
          <c:tx>
            <c:rich>
              <a:bodyPr/>
              <a:lstStyle/>
              <a:p>
                <a:pPr>
                  <a:defRPr/>
                </a:pPr>
                <a:r>
                  <a:rPr lang="en-US"/>
                  <a:t>Potrošnja energije, MWh</a:t>
                </a:r>
              </a:p>
            </c:rich>
          </c:tx>
          <c:layout>
            <c:manualLayout>
              <c:xMode val="edge"/>
              <c:yMode val="edge"/>
              <c:x val="9.0211998195760448E-3"/>
              <c:y val="0.23037974683544304"/>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362446848"/>
        <c:crosses val="autoZero"/>
        <c:crossBetween val="between"/>
      </c:valAx>
      <c:spPr>
        <a:noFill/>
        <a:ln w="3175">
          <a:solidFill>
            <a:srgbClr val="808080"/>
          </a:solidFill>
          <a:prstDash val="solid"/>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mn-lt"/>
          <a:ea typeface="Arial"/>
          <a:cs typeface="Arial" pitchFamily="34" charset="0"/>
        </a:defRPr>
      </a:pPr>
      <a:endParaRPr lang="sr-Latn-R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481443659133259"/>
          <c:y val="6.8354430379747033E-2"/>
          <c:w val="0.57846819488860757"/>
          <c:h val="0.78446318792684144"/>
        </c:manualLayout>
      </c:layout>
      <c:barChart>
        <c:barDir val="col"/>
        <c:grouping val="stacked"/>
        <c:varyColors val="0"/>
        <c:ser>
          <c:idx val="0"/>
          <c:order val="0"/>
          <c:tx>
            <c:strRef>
              <c:f>'[4]sumarna-goriva'!$C$82</c:f>
              <c:strCache>
                <c:ptCount val="1"/>
                <c:pt idx="0">
                  <c:v>Dizel</c:v>
                </c:pt>
              </c:strCache>
            </c:strRef>
          </c:tx>
          <c:spPr>
            <a:gradFill rotWithShape="0">
              <a:gsLst>
                <a:gs pos="0">
                  <a:srgbClr val="00CCFF">
                    <a:gamma/>
                    <a:shade val="26275"/>
                    <a:invGamma/>
                  </a:srgbClr>
                </a:gs>
                <a:gs pos="50000">
                  <a:srgbClr val="00CCFF"/>
                </a:gs>
                <a:gs pos="100000">
                  <a:srgbClr val="00CCFF">
                    <a:gamma/>
                    <a:shade val="26275"/>
                    <a:invGamma/>
                  </a:srgbClr>
                </a:gs>
              </a:gsLst>
              <a:lin ang="0" scaled="1"/>
            </a:gradFill>
            <a:ln w="25400">
              <a:noFill/>
            </a:ln>
          </c:spPr>
          <c:invertIfNegative val="0"/>
          <c:cat>
            <c:strRef>
              <c:f>'[4]sumarna-goriva'!$D$81:$F$81</c:f>
              <c:strCache>
                <c:ptCount val="3"/>
                <c:pt idx="0">
                  <c:v>Zgradarstvo</c:v>
                </c:pt>
                <c:pt idx="1">
                  <c:v>Promet</c:v>
                </c:pt>
                <c:pt idx="2">
                  <c:v>Javna rasvjeta</c:v>
                </c:pt>
              </c:strCache>
            </c:strRef>
          </c:cat>
          <c:val>
            <c:numRef>
              <c:f>'[4]sumarna-goriva'!$D$82:$F$82</c:f>
              <c:numCache>
                <c:formatCode>General</c:formatCode>
                <c:ptCount val="3"/>
                <c:pt idx="0">
                  <c:v>0</c:v>
                </c:pt>
                <c:pt idx="1">
                  <c:v>2061493.061111111</c:v>
                </c:pt>
                <c:pt idx="2">
                  <c:v>0</c:v>
                </c:pt>
              </c:numCache>
            </c:numRef>
          </c:val>
          <c:extLst>
            <c:ext xmlns:c16="http://schemas.microsoft.com/office/drawing/2014/chart" uri="{C3380CC4-5D6E-409C-BE32-E72D297353CC}">
              <c16:uniqueId val="{00000000-F554-4C85-BE59-45A5D419B7C5}"/>
            </c:ext>
          </c:extLst>
        </c:ser>
        <c:ser>
          <c:idx val="1"/>
          <c:order val="1"/>
          <c:tx>
            <c:strRef>
              <c:f>'[4]sumarna-goriva'!$C$83</c:f>
              <c:strCache>
                <c:ptCount val="1"/>
                <c:pt idx="0">
                  <c:v>Loživo ulje</c:v>
                </c:pt>
              </c:strCache>
            </c:strRef>
          </c:tx>
          <c:spPr>
            <a:gradFill rotWithShape="0">
              <a:gsLst>
                <a:gs pos="0">
                  <a:srgbClr val="3366FF">
                    <a:gamma/>
                    <a:shade val="0"/>
                    <a:invGamma/>
                  </a:srgbClr>
                </a:gs>
                <a:gs pos="50000">
                  <a:srgbClr val="3366FF"/>
                </a:gs>
                <a:gs pos="100000">
                  <a:srgbClr val="3366FF">
                    <a:gamma/>
                    <a:shade val="0"/>
                    <a:invGamma/>
                  </a:srgbClr>
                </a:gs>
              </a:gsLst>
              <a:lin ang="0" scaled="1"/>
            </a:gradFill>
            <a:ln w="25400">
              <a:noFill/>
            </a:ln>
          </c:spPr>
          <c:invertIfNegative val="0"/>
          <c:cat>
            <c:strRef>
              <c:f>'[4]sumarna-goriva'!$D$81:$F$81</c:f>
              <c:strCache>
                <c:ptCount val="3"/>
                <c:pt idx="0">
                  <c:v>Zgradarstvo</c:v>
                </c:pt>
                <c:pt idx="1">
                  <c:v>Promet</c:v>
                </c:pt>
                <c:pt idx="2">
                  <c:v>Javna rasvjeta</c:v>
                </c:pt>
              </c:strCache>
            </c:strRef>
          </c:cat>
          <c:val>
            <c:numRef>
              <c:f>'[4]sumarna-goriva'!$D$83:$F$83</c:f>
              <c:numCache>
                <c:formatCode>General</c:formatCode>
                <c:ptCount val="3"/>
                <c:pt idx="0">
                  <c:v>262917.00958943606</c:v>
                </c:pt>
                <c:pt idx="1">
                  <c:v>0</c:v>
                </c:pt>
                <c:pt idx="2">
                  <c:v>0</c:v>
                </c:pt>
              </c:numCache>
            </c:numRef>
          </c:val>
          <c:extLst>
            <c:ext xmlns:c16="http://schemas.microsoft.com/office/drawing/2014/chart" uri="{C3380CC4-5D6E-409C-BE32-E72D297353CC}">
              <c16:uniqueId val="{00000001-F554-4C85-BE59-45A5D419B7C5}"/>
            </c:ext>
          </c:extLst>
        </c:ser>
        <c:ser>
          <c:idx val="2"/>
          <c:order val="2"/>
          <c:tx>
            <c:strRef>
              <c:f>'[4]sumarna-goriva'!$C$84</c:f>
              <c:strCache>
                <c:ptCount val="1"/>
                <c:pt idx="0">
                  <c:v>Motorni benzin</c:v>
                </c:pt>
              </c:strCache>
            </c:strRef>
          </c:tx>
          <c:spPr>
            <a:gradFill rotWithShape="0">
              <a:gsLst>
                <a:gs pos="0">
                  <a:srgbClr val="0000FF">
                    <a:gamma/>
                    <a:shade val="5490"/>
                    <a:invGamma/>
                  </a:srgbClr>
                </a:gs>
                <a:gs pos="50000">
                  <a:srgbClr val="0000FF"/>
                </a:gs>
                <a:gs pos="100000">
                  <a:srgbClr val="0000FF">
                    <a:gamma/>
                    <a:shade val="5490"/>
                    <a:invGamma/>
                  </a:srgbClr>
                </a:gs>
              </a:gsLst>
              <a:lin ang="0" scaled="1"/>
            </a:gradFill>
            <a:ln w="25400">
              <a:noFill/>
            </a:ln>
          </c:spPr>
          <c:invertIfNegative val="0"/>
          <c:cat>
            <c:strRef>
              <c:f>'[4]sumarna-goriva'!$D$81:$F$81</c:f>
              <c:strCache>
                <c:ptCount val="3"/>
                <c:pt idx="0">
                  <c:v>Zgradarstvo</c:v>
                </c:pt>
                <c:pt idx="1">
                  <c:v>Promet</c:v>
                </c:pt>
                <c:pt idx="2">
                  <c:v>Javna rasvjeta</c:v>
                </c:pt>
              </c:strCache>
            </c:strRef>
          </c:cat>
          <c:val>
            <c:numRef>
              <c:f>'[4]sumarna-goriva'!$D$84:$F$84</c:f>
              <c:numCache>
                <c:formatCode>General</c:formatCode>
                <c:ptCount val="3"/>
                <c:pt idx="0">
                  <c:v>0</c:v>
                </c:pt>
                <c:pt idx="1">
                  <c:v>1686583.6888888888</c:v>
                </c:pt>
                <c:pt idx="2">
                  <c:v>0</c:v>
                </c:pt>
              </c:numCache>
            </c:numRef>
          </c:val>
          <c:extLst>
            <c:ext xmlns:c16="http://schemas.microsoft.com/office/drawing/2014/chart" uri="{C3380CC4-5D6E-409C-BE32-E72D297353CC}">
              <c16:uniqueId val="{00000002-F554-4C85-BE59-45A5D419B7C5}"/>
            </c:ext>
          </c:extLst>
        </c:ser>
        <c:ser>
          <c:idx val="3"/>
          <c:order val="3"/>
          <c:tx>
            <c:strRef>
              <c:f>'[4]sumarna-goriva'!$C$85</c:f>
              <c:strCache>
                <c:ptCount val="1"/>
                <c:pt idx="0">
                  <c:v>Biodizel</c:v>
                </c:pt>
              </c:strCache>
            </c:strRef>
          </c:tx>
          <c:spPr>
            <a:gradFill rotWithShape="0">
              <a:gsLst>
                <a:gs pos="0">
                  <a:srgbClr val="000080">
                    <a:gamma/>
                    <a:shade val="0"/>
                    <a:invGamma/>
                  </a:srgbClr>
                </a:gs>
                <a:gs pos="50000">
                  <a:srgbClr val="000080"/>
                </a:gs>
                <a:gs pos="100000">
                  <a:srgbClr val="000080">
                    <a:gamma/>
                    <a:shade val="0"/>
                    <a:invGamma/>
                  </a:srgbClr>
                </a:gs>
              </a:gsLst>
              <a:lin ang="0" scaled="1"/>
            </a:gradFill>
            <a:ln w="25400">
              <a:noFill/>
            </a:ln>
          </c:spPr>
          <c:invertIfNegative val="0"/>
          <c:cat>
            <c:strRef>
              <c:f>'[4]sumarna-goriva'!$D$81:$F$81</c:f>
              <c:strCache>
                <c:ptCount val="3"/>
                <c:pt idx="0">
                  <c:v>Zgradarstvo</c:v>
                </c:pt>
                <c:pt idx="1">
                  <c:v>Promet</c:v>
                </c:pt>
                <c:pt idx="2">
                  <c:v>Javna rasvjeta</c:v>
                </c:pt>
              </c:strCache>
            </c:strRef>
          </c:cat>
          <c:val>
            <c:numRef>
              <c:f>'[4]sumarna-goriva'!$D$85:$F$85</c:f>
              <c:numCache>
                <c:formatCode>General</c:formatCode>
                <c:ptCount val="3"/>
                <c:pt idx="0">
                  <c:v>0</c:v>
                </c:pt>
                <c:pt idx="1">
                  <c:v>2739.4227777777774</c:v>
                </c:pt>
                <c:pt idx="2">
                  <c:v>0</c:v>
                </c:pt>
              </c:numCache>
            </c:numRef>
          </c:val>
          <c:extLst>
            <c:ext xmlns:c16="http://schemas.microsoft.com/office/drawing/2014/chart" uri="{C3380CC4-5D6E-409C-BE32-E72D297353CC}">
              <c16:uniqueId val="{00000003-F554-4C85-BE59-45A5D419B7C5}"/>
            </c:ext>
          </c:extLst>
        </c:ser>
        <c:ser>
          <c:idx val="4"/>
          <c:order val="4"/>
          <c:tx>
            <c:strRef>
              <c:f>'[4]sumarna-goriva'!$C$86</c:f>
              <c:strCache>
                <c:ptCount val="1"/>
                <c:pt idx="0">
                  <c:v>UNP</c:v>
                </c:pt>
              </c:strCache>
            </c:strRef>
          </c:tx>
          <c:spPr>
            <a:gradFill rotWithShape="0">
              <a:gsLst>
                <a:gs pos="0">
                  <a:srgbClr val="003300">
                    <a:gamma/>
                    <a:shade val="0"/>
                    <a:invGamma/>
                  </a:srgbClr>
                </a:gs>
                <a:gs pos="50000">
                  <a:srgbClr val="003300"/>
                </a:gs>
                <a:gs pos="100000">
                  <a:srgbClr val="003300">
                    <a:gamma/>
                    <a:shade val="0"/>
                    <a:invGamma/>
                  </a:srgbClr>
                </a:gs>
              </a:gsLst>
              <a:lin ang="0" scaled="1"/>
            </a:gradFill>
            <a:ln w="25400">
              <a:noFill/>
            </a:ln>
          </c:spPr>
          <c:invertIfNegative val="0"/>
          <c:cat>
            <c:strRef>
              <c:f>'[4]sumarna-goriva'!$D$81:$F$81</c:f>
              <c:strCache>
                <c:ptCount val="3"/>
                <c:pt idx="0">
                  <c:v>Zgradarstvo</c:v>
                </c:pt>
                <c:pt idx="1">
                  <c:v>Promet</c:v>
                </c:pt>
                <c:pt idx="2">
                  <c:v>Javna rasvjeta</c:v>
                </c:pt>
              </c:strCache>
            </c:strRef>
          </c:cat>
          <c:val>
            <c:numRef>
              <c:f>'[4]sumarna-goriva'!$D$86:$F$86</c:f>
              <c:numCache>
                <c:formatCode>General</c:formatCode>
                <c:ptCount val="3"/>
                <c:pt idx="0">
                  <c:v>257.88327749999894</c:v>
                </c:pt>
                <c:pt idx="1">
                  <c:v>29738.508333333317</c:v>
                </c:pt>
                <c:pt idx="2">
                  <c:v>0</c:v>
                </c:pt>
              </c:numCache>
            </c:numRef>
          </c:val>
          <c:extLst>
            <c:ext xmlns:c16="http://schemas.microsoft.com/office/drawing/2014/chart" uri="{C3380CC4-5D6E-409C-BE32-E72D297353CC}">
              <c16:uniqueId val="{00000004-F554-4C85-BE59-45A5D419B7C5}"/>
            </c:ext>
          </c:extLst>
        </c:ser>
        <c:ser>
          <c:idx val="5"/>
          <c:order val="5"/>
          <c:tx>
            <c:strRef>
              <c:f>'[4]sumarna-goriva'!$C$87</c:f>
              <c:strCache>
                <c:ptCount val="1"/>
                <c:pt idx="0">
                  <c:v>Prirodni plin</c:v>
                </c:pt>
              </c:strCache>
            </c:strRef>
          </c:tx>
          <c:spPr>
            <a:gradFill rotWithShape="0">
              <a:gsLst>
                <a:gs pos="0">
                  <a:srgbClr val="008000">
                    <a:gamma/>
                    <a:shade val="6275"/>
                    <a:invGamma/>
                  </a:srgbClr>
                </a:gs>
                <a:gs pos="50000">
                  <a:srgbClr val="008000"/>
                </a:gs>
                <a:gs pos="100000">
                  <a:srgbClr val="008000">
                    <a:gamma/>
                    <a:shade val="6275"/>
                    <a:invGamma/>
                  </a:srgbClr>
                </a:gs>
              </a:gsLst>
              <a:lin ang="0" scaled="1"/>
            </a:gradFill>
            <a:ln w="25400">
              <a:noFill/>
            </a:ln>
          </c:spPr>
          <c:invertIfNegative val="0"/>
          <c:cat>
            <c:strRef>
              <c:f>'[4]sumarna-goriva'!$D$81:$F$81</c:f>
              <c:strCache>
                <c:ptCount val="3"/>
                <c:pt idx="0">
                  <c:v>Zgradarstvo</c:v>
                </c:pt>
                <c:pt idx="1">
                  <c:v>Promet</c:v>
                </c:pt>
                <c:pt idx="2">
                  <c:v>Javna rasvjeta</c:v>
                </c:pt>
              </c:strCache>
            </c:strRef>
          </c:cat>
          <c:val>
            <c:numRef>
              <c:f>'[4]sumarna-goriva'!$D$87:$F$87</c:f>
              <c:numCache>
                <c:formatCode>General</c:formatCode>
                <c:ptCount val="3"/>
                <c:pt idx="0">
                  <c:v>3156357.8521626717</c:v>
                </c:pt>
                <c:pt idx="1">
                  <c:v>313.8388888888889</c:v>
                </c:pt>
                <c:pt idx="2">
                  <c:v>363.88888888888886</c:v>
                </c:pt>
              </c:numCache>
            </c:numRef>
          </c:val>
          <c:extLst>
            <c:ext xmlns:c16="http://schemas.microsoft.com/office/drawing/2014/chart" uri="{C3380CC4-5D6E-409C-BE32-E72D297353CC}">
              <c16:uniqueId val="{00000005-F554-4C85-BE59-45A5D419B7C5}"/>
            </c:ext>
          </c:extLst>
        </c:ser>
        <c:ser>
          <c:idx val="6"/>
          <c:order val="6"/>
          <c:tx>
            <c:strRef>
              <c:f>'[4]sumarna-goriva'!$C$88</c:f>
              <c:strCache>
                <c:ptCount val="1"/>
                <c:pt idx="0">
                  <c:v>Ogrjevno drvo</c:v>
                </c:pt>
              </c:strCache>
            </c:strRef>
          </c:tx>
          <c:spPr>
            <a:gradFill rotWithShape="0">
              <a:gsLst>
                <a:gs pos="0">
                  <a:srgbClr val="00FF00">
                    <a:gamma/>
                    <a:shade val="16078"/>
                    <a:invGamma/>
                  </a:srgbClr>
                </a:gs>
                <a:gs pos="50000">
                  <a:srgbClr val="00FF00"/>
                </a:gs>
                <a:gs pos="100000">
                  <a:srgbClr val="00FF00">
                    <a:gamma/>
                    <a:shade val="16078"/>
                    <a:invGamma/>
                  </a:srgbClr>
                </a:gs>
              </a:gsLst>
              <a:lin ang="0" scaled="1"/>
            </a:gradFill>
            <a:ln w="25400">
              <a:noFill/>
            </a:ln>
          </c:spPr>
          <c:invertIfNegative val="0"/>
          <c:cat>
            <c:strRef>
              <c:f>'[4]sumarna-goriva'!$D$81:$F$81</c:f>
              <c:strCache>
                <c:ptCount val="3"/>
                <c:pt idx="0">
                  <c:v>Zgradarstvo</c:v>
                </c:pt>
                <c:pt idx="1">
                  <c:v>Promet</c:v>
                </c:pt>
                <c:pt idx="2">
                  <c:v>Javna rasvjeta</c:v>
                </c:pt>
              </c:strCache>
            </c:strRef>
          </c:cat>
          <c:val>
            <c:numRef>
              <c:f>'[4]sumarna-goriva'!$D$88:$F$88</c:f>
              <c:numCache>
                <c:formatCode>General</c:formatCode>
                <c:ptCount val="3"/>
                <c:pt idx="0">
                  <c:v>187200.96143806938</c:v>
                </c:pt>
                <c:pt idx="1">
                  <c:v>0</c:v>
                </c:pt>
                <c:pt idx="2">
                  <c:v>0</c:v>
                </c:pt>
              </c:numCache>
            </c:numRef>
          </c:val>
          <c:extLst>
            <c:ext xmlns:c16="http://schemas.microsoft.com/office/drawing/2014/chart" uri="{C3380CC4-5D6E-409C-BE32-E72D297353CC}">
              <c16:uniqueId val="{00000006-F554-4C85-BE59-45A5D419B7C5}"/>
            </c:ext>
          </c:extLst>
        </c:ser>
        <c:ser>
          <c:idx val="7"/>
          <c:order val="7"/>
          <c:tx>
            <c:strRef>
              <c:f>'[4]sumarna-goriva'!$C$89</c:f>
              <c:strCache>
                <c:ptCount val="1"/>
                <c:pt idx="0">
                  <c:v>Električna energija</c:v>
                </c:pt>
              </c:strCache>
            </c:strRef>
          </c:tx>
          <c:spPr>
            <a:gradFill rotWithShape="0">
              <a:gsLst>
                <a:gs pos="0">
                  <a:srgbClr val="FFFF00">
                    <a:gamma/>
                    <a:shade val="25882"/>
                    <a:invGamma/>
                  </a:srgbClr>
                </a:gs>
                <a:gs pos="50000">
                  <a:srgbClr val="FFFF00"/>
                </a:gs>
                <a:gs pos="100000">
                  <a:srgbClr val="FFFF00">
                    <a:gamma/>
                    <a:shade val="25882"/>
                    <a:invGamma/>
                  </a:srgbClr>
                </a:gs>
              </a:gsLst>
              <a:lin ang="0" scaled="1"/>
            </a:gradFill>
            <a:ln w="25400">
              <a:noFill/>
            </a:ln>
          </c:spPr>
          <c:invertIfNegative val="0"/>
          <c:cat>
            <c:strRef>
              <c:f>'[4]sumarna-goriva'!$D$81:$F$81</c:f>
              <c:strCache>
                <c:ptCount val="3"/>
                <c:pt idx="0">
                  <c:v>Zgradarstvo</c:v>
                </c:pt>
                <c:pt idx="1">
                  <c:v>Promet</c:v>
                </c:pt>
                <c:pt idx="2">
                  <c:v>Javna rasvjeta</c:v>
                </c:pt>
              </c:strCache>
            </c:strRef>
          </c:cat>
          <c:val>
            <c:numRef>
              <c:f>'[4]sumarna-goriva'!$D$89:$F$89</c:f>
              <c:numCache>
                <c:formatCode>General</c:formatCode>
                <c:ptCount val="3"/>
                <c:pt idx="0">
                  <c:v>1732630.7574867576</c:v>
                </c:pt>
                <c:pt idx="1">
                  <c:v>61.485928000000001</c:v>
                </c:pt>
                <c:pt idx="2">
                  <c:v>90100</c:v>
                </c:pt>
              </c:numCache>
            </c:numRef>
          </c:val>
          <c:extLst>
            <c:ext xmlns:c16="http://schemas.microsoft.com/office/drawing/2014/chart" uri="{C3380CC4-5D6E-409C-BE32-E72D297353CC}">
              <c16:uniqueId val="{00000007-F554-4C85-BE59-45A5D419B7C5}"/>
            </c:ext>
          </c:extLst>
        </c:ser>
        <c:ser>
          <c:idx val="8"/>
          <c:order val="8"/>
          <c:tx>
            <c:strRef>
              <c:f>'[4]sumarna-goriva'!$C$90</c:f>
              <c:strCache>
                <c:ptCount val="1"/>
                <c:pt idx="0">
                  <c:v>Toplina</c:v>
                </c:pt>
              </c:strCache>
            </c:strRef>
          </c:tx>
          <c:spPr>
            <a:gradFill rotWithShape="0">
              <a:gsLst>
                <a:gs pos="0">
                  <a:srgbClr val="FF0000">
                    <a:gamma/>
                    <a:shade val="16078"/>
                    <a:invGamma/>
                  </a:srgbClr>
                </a:gs>
                <a:gs pos="50000">
                  <a:srgbClr val="FF0000"/>
                </a:gs>
                <a:gs pos="100000">
                  <a:srgbClr val="FF0000">
                    <a:gamma/>
                    <a:shade val="16078"/>
                    <a:invGamma/>
                  </a:srgbClr>
                </a:gs>
              </a:gsLst>
              <a:lin ang="0" scaled="1"/>
            </a:gradFill>
            <a:ln w="25400">
              <a:noFill/>
            </a:ln>
          </c:spPr>
          <c:invertIfNegative val="0"/>
          <c:cat>
            <c:strRef>
              <c:f>'[4]sumarna-goriva'!$D$81:$F$81</c:f>
              <c:strCache>
                <c:ptCount val="3"/>
                <c:pt idx="0">
                  <c:v>Zgradarstvo</c:v>
                </c:pt>
                <c:pt idx="1">
                  <c:v>Promet</c:v>
                </c:pt>
                <c:pt idx="2">
                  <c:v>Javna rasvjeta</c:v>
                </c:pt>
              </c:strCache>
            </c:strRef>
          </c:cat>
          <c:val>
            <c:numRef>
              <c:f>'[4]sumarna-goriva'!$D$90:$F$90</c:f>
              <c:numCache>
                <c:formatCode>General</c:formatCode>
                <c:ptCount val="3"/>
                <c:pt idx="0">
                  <c:v>1909679.6219534068</c:v>
                </c:pt>
                <c:pt idx="1">
                  <c:v>0</c:v>
                </c:pt>
                <c:pt idx="2">
                  <c:v>0</c:v>
                </c:pt>
              </c:numCache>
            </c:numRef>
          </c:val>
          <c:extLst>
            <c:ext xmlns:c16="http://schemas.microsoft.com/office/drawing/2014/chart" uri="{C3380CC4-5D6E-409C-BE32-E72D297353CC}">
              <c16:uniqueId val="{00000008-F554-4C85-BE59-45A5D419B7C5}"/>
            </c:ext>
          </c:extLst>
        </c:ser>
        <c:dLbls>
          <c:showLegendKey val="0"/>
          <c:showVal val="0"/>
          <c:showCatName val="0"/>
          <c:showSerName val="0"/>
          <c:showPercent val="0"/>
          <c:showBubbleSize val="0"/>
        </c:dLbls>
        <c:gapWidth val="150"/>
        <c:overlap val="100"/>
        <c:axId val="362448384"/>
        <c:axId val="511267904"/>
      </c:barChart>
      <c:catAx>
        <c:axId val="3624483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511267904"/>
        <c:crosses val="autoZero"/>
        <c:auto val="1"/>
        <c:lblAlgn val="ctr"/>
        <c:lblOffset val="100"/>
        <c:tickLblSkip val="1"/>
        <c:tickMarkSkip val="1"/>
        <c:noMultiLvlLbl val="0"/>
      </c:catAx>
      <c:valAx>
        <c:axId val="511267904"/>
        <c:scaling>
          <c:orientation val="minMax"/>
        </c:scaling>
        <c:delete val="0"/>
        <c:axPos val="l"/>
        <c:majorGridlines>
          <c:spPr>
            <a:ln w="3175">
              <a:solidFill>
                <a:srgbClr val="969696"/>
              </a:solidFill>
              <a:prstDash val="sysDash"/>
            </a:ln>
          </c:spPr>
        </c:majorGridlines>
        <c:title>
          <c:tx>
            <c:rich>
              <a:bodyPr/>
              <a:lstStyle/>
              <a:p>
                <a:pPr>
                  <a:defRPr/>
                </a:pPr>
                <a:r>
                  <a:rPr lang="en-US"/>
                  <a:t>Potrošnja energije, MWh</a:t>
                </a:r>
              </a:p>
            </c:rich>
          </c:tx>
          <c:layout>
            <c:manualLayout>
              <c:xMode val="edge"/>
              <c:yMode val="edge"/>
              <c:x val="1.6795886824590732E-2"/>
              <c:y val="0.2481012658227849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362448384"/>
        <c:crosses val="autoZero"/>
        <c:crossBetween val="between"/>
      </c:valAx>
      <c:spPr>
        <a:noFill/>
        <a:ln w="3175">
          <a:solidFill>
            <a:srgbClr val="808080"/>
          </a:solidFill>
          <a:prstDash val="solid"/>
        </a:ln>
      </c:spPr>
    </c:plotArea>
    <c:legend>
      <c:legendPos val="r"/>
      <c:layout>
        <c:manualLayout>
          <c:xMode val="edge"/>
          <c:yMode val="edge"/>
          <c:x val="0.80620264617093507"/>
          <c:y val="5.74562534697785E-2"/>
          <c:w val="0.18346276377630091"/>
          <c:h val="0.86430743585372261"/>
        </c:manualLayout>
      </c:layout>
      <c:overlay val="0"/>
      <c:spPr>
        <a:solidFill>
          <a:srgbClr val="FFFFFF"/>
        </a:solidFill>
        <a:ln w="25400">
          <a:noFill/>
        </a:ln>
      </c:spPr>
      <c:txPr>
        <a:bodyPr/>
        <a:lstStyle/>
        <a:p>
          <a:pPr>
            <a:defRPr sz="800"/>
          </a:pPr>
          <a:endParaRPr lang="sr-Latn-R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mn-lt"/>
          <a:ea typeface="Arial"/>
          <a:cs typeface="Arial" pitchFamily="34" charset="0"/>
        </a:defRPr>
      </a:pPr>
      <a:endParaRPr lang="sr-Latn-R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263607733673333"/>
          <c:y val="6.8528003707967786E-2"/>
          <c:w val="0.77430045811597592"/>
          <c:h val="0.80710759922717623"/>
        </c:manualLayout>
      </c:layout>
      <c:barChart>
        <c:barDir val="col"/>
        <c:grouping val="clustered"/>
        <c:varyColors val="0"/>
        <c:ser>
          <c:idx val="0"/>
          <c:order val="0"/>
          <c:spPr>
            <a:gradFill rotWithShape="0">
              <a:gsLst>
                <a:gs pos="0">
                  <a:srgbClr val="00CCFF">
                    <a:gamma/>
                    <a:shade val="26275"/>
                    <a:invGamma/>
                  </a:srgbClr>
                </a:gs>
                <a:gs pos="50000">
                  <a:srgbClr val="00CCFF"/>
                </a:gs>
                <a:gs pos="100000">
                  <a:srgbClr val="00CCFF">
                    <a:gamma/>
                    <a:shade val="26275"/>
                    <a:invGamma/>
                  </a:srgbClr>
                </a:gs>
              </a:gsLst>
              <a:lin ang="0" scaled="1"/>
            </a:gradFill>
            <a:ln w="25400">
              <a:noFill/>
            </a:ln>
          </c:spPr>
          <c:invertIfNegative val="0"/>
          <c:cat>
            <c:strRef>
              <c:f>'X:\iselanec\Grad Zagreb\Proracun\[ukupno emisije inventara-10_02_2010.xlsx]sumarna-emisije'!$D$63:$F$63</c:f>
              <c:strCache>
                <c:ptCount val="3"/>
                <c:pt idx="0">
                  <c:v>Zgradarstvo</c:v>
                </c:pt>
                <c:pt idx="1">
                  <c:v>Promet</c:v>
                </c:pt>
                <c:pt idx="2">
                  <c:v>Javna rasvjeta</c:v>
                </c:pt>
              </c:strCache>
            </c:strRef>
          </c:cat>
          <c:val>
            <c:numRef>
              <c:f>'X:\iselanec\Grad Zagreb\Proracun\[ukupno emisije inventara-10_02_2010.xlsx]sumarna-emisije'!$D$64:$F$64</c:f>
              <c:numCache>
                <c:formatCode>General</c:formatCode>
                <c:ptCount val="3"/>
                <c:pt idx="0">
                  <c:v>1759432.2602912106</c:v>
                </c:pt>
                <c:pt idx="1">
                  <c:v>1007443.0700000001</c:v>
                </c:pt>
                <c:pt idx="2">
                  <c:v>29175.55999999999</c:v>
                </c:pt>
              </c:numCache>
            </c:numRef>
          </c:val>
          <c:extLst>
            <c:ext xmlns:c16="http://schemas.microsoft.com/office/drawing/2014/chart" uri="{C3380CC4-5D6E-409C-BE32-E72D297353CC}">
              <c16:uniqueId val="{00000000-67AA-4F0B-93C6-3874C7CF2804}"/>
            </c:ext>
          </c:extLst>
        </c:ser>
        <c:dLbls>
          <c:showLegendKey val="0"/>
          <c:showVal val="0"/>
          <c:showCatName val="0"/>
          <c:showSerName val="0"/>
          <c:showPercent val="0"/>
          <c:showBubbleSize val="0"/>
        </c:dLbls>
        <c:gapWidth val="150"/>
        <c:axId val="362447872"/>
        <c:axId val="511270208"/>
      </c:barChart>
      <c:catAx>
        <c:axId val="36244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a:latin typeface="+mn-lt"/>
              </a:defRPr>
            </a:pPr>
            <a:endParaRPr lang="sr-Latn-RS"/>
          </a:p>
        </c:txPr>
        <c:crossAx val="511270208"/>
        <c:crosses val="autoZero"/>
        <c:auto val="1"/>
        <c:lblAlgn val="ctr"/>
        <c:lblOffset val="100"/>
        <c:tickLblSkip val="1"/>
        <c:tickMarkSkip val="1"/>
        <c:noMultiLvlLbl val="0"/>
      </c:catAx>
      <c:valAx>
        <c:axId val="511270208"/>
        <c:scaling>
          <c:orientation val="minMax"/>
        </c:scaling>
        <c:delete val="0"/>
        <c:axPos val="l"/>
        <c:majorGridlines>
          <c:spPr>
            <a:ln w="3175">
              <a:solidFill>
                <a:srgbClr val="969696"/>
              </a:solidFill>
              <a:prstDash val="sysDash"/>
            </a:ln>
          </c:spPr>
        </c:majorGridlines>
        <c:title>
          <c:tx>
            <c:rich>
              <a:bodyPr/>
              <a:lstStyle/>
              <a:p>
                <a:pPr>
                  <a:defRPr sz="1000">
                    <a:latin typeface="+mn-lt"/>
                  </a:defRPr>
                </a:pPr>
                <a:r>
                  <a:rPr lang="en-US" sz="1000">
                    <a:latin typeface="+mn-lt"/>
                  </a:rPr>
                  <a:t>Emisija t CO</a:t>
                </a:r>
                <a:r>
                  <a:rPr lang="en-US" sz="1000" baseline="-25000">
                    <a:latin typeface="+mn-lt"/>
                  </a:rPr>
                  <a:t>2</a:t>
                </a:r>
              </a:p>
            </c:rich>
          </c:tx>
          <c:layout>
            <c:manualLayout>
              <c:xMode val="edge"/>
              <c:yMode val="edge"/>
              <c:x val="9.884686699352916E-3"/>
              <c:y val="0.34517809275124633"/>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a:latin typeface="+mn-lt"/>
              </a:defRPr>
            </a:pPr>
            <a:endParaRPr lang="sr-Latn-RS"/>
          </a:p>
        </c:txPr>
        <c:crossAx val="362447872"/>
        <c:crosses val="autoZero"/>
        <c:crossBetween val="between"/>
      </c:valAx>
      <c:spPr>
        <a:noFill/>
        <a:ln w="3175">
          <a:solidFill>
            <a:srgbClr val="808080"/>
          </a:solidFill>
          <a:prstDash val="solid"/>
        </a:ln>
      </c:spPr>
    </c:plotArea>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Arial" pitchFamily="34" charset="0"/>
          <a:ea typeface="Arial"/>
          <a:cs typeface="Arial" pitchFamily="34" charset="0"/>
        </a:defRPr>
      </a:pPr>
      <a:endParaRPr lang="sr-Latn-R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702077896605913"/>
          <c:y val="6.5822784810127127E-2"/>
          <c:w val="0.80027007535553729"/>
          <c:h val="0.77721518987341776"/>
        </c:manualLayout>
      </c:layout>
      <c:barChart>
        <c:barDir val="col"/>
        <c:grouping val="clustered"/>
        <c:varyColors val="0"/>
        <c:ser>
          <c:idx val="0"/>
          <c:order val="0"/>
          <c:spPr>
            <a:gradFill rotWithShape="0">
              <a:gsLst>
                <a:gs pos="0">
                  <a:srgbClr val="00CCFF">
                    <a:gamma/>
                    <a:shade val="26275"/>
                    <a:invGamma/>
                  </a:srgbClr>
                </a:gs>
                <a:gs pos="50000">
                  <a:srgbClr val="00CCFF"/>
                </a:gs>
                <a:gs pos="100000">
                  <a:srgbClr val="00CCFF">
                    <a:gamma/>
                    <a:shade val="26275"/>
                    <a:invGamma/>
                  </a:srgbClr>
                </a:gs>
              </a:gsLst>
              <a:lin ang="0" scaled="1"/>
            </a:gradFill>
            <a:ln w="25400">
              <a:noFill/>
            </a:ln>
          </c:spPr>
          <c:invertIfNegative val="0"/>
          <c:cat>
            <c:strRef>
              <c:f>'X:\iselanec\Grad Zagreb\Proracun\[ukupno emisije inventara-10_02_2010.xlsx]sumarna-emisije'!$C$95:$C$103</c:f>
              <c:strCache>
                <c:ptCount val="9"/>
                <c:pt idx="0">
                  <c:v>Prirodni plin</c:v>
                </c:pt>
                <c:pt idx="1">
                  <c:v>Električna energija</c:v>
                </c:pt>
                <c:pt idx="2">
                  <c:v>Dizel</c:v>
                </c:pt>
                <c:pt idx="3">
                  <c:v>Toplina</c:v>
                </c:pt>
                <c:pt idx="4">
                  <c:v>Motorni benzin</c:v>
                </c:pt>
                <c:pt idx="5">
                  <c:v>Loživo ulje</c:v>
                </c:pt>
                <c:pt idx="6">
                  <c:v>UNP</c:v>
                </c:pt>
                <c:pt idx="7">
                  <c:v>Biodizel</c:v>
                </c:pt>
                <c:pt idx="8">
                  <c:v>Ogrjevno drvo</c:v>
                </c:pt>
              </c:strCache>
            </c:strRef>
          </c:cat>
          <c:val>
            <c:numRef>
              <c:f>'X:\iselanec\Grad Zagreb\Proracun\[ukupno emisije inventara-10_02_2010.xlsx]sumarna-emisije'!$D$95:$D$103</c:f>
              <c:numCache>
                <c:formatCode>General</c:formatCode>
                <c:ptCount val="9"/>
                <c:pt idx="0">
                  <c:v>634212.49534244195</c:v>
                </c:pt>
                <c:pt idx="1">
                  <c:v>608609.13466822251</c:v>
                </c:pt>
                <c:pt idx="2">
                  <c:v>545266.10000000009</c:v>
                </c:pt>
                <c:pt idx="3">
                  <c:v>465685.18282233737</c:v>
                </c:pt>
                <c:pt idx="4">
                  <c:v>433828.8</c:v>
                </c:pt>
                <c:pt idx="5">
                  <c:v>100000.20077531203</c:v>
                </c:pt>
                <c:pt idx="6">
                  <c:v>8448.9766828964403</c:v>
                </c:pt>
                <c:pt idx="7">
                  <c:v>0</c:v>
                </c:pt>
                <c:pt idx="8">
                  <c:v>0</c:v>
                </c:pt>
              </c:numCache>
            </c:numRef>
          </c:val>
          <c:extLst>
            <c:ext xmlns:c16="http://schemas.microsoft.com/office/drawing/2014/chart" uri="{C3380CC4-5D6E-409C-BE32-E72D297353CC}">
              <c16:uniqueId val="{00000000-F87F-474F-A382-B620A0078EB8}"/>
            </c:ext>
          </c:extLst>
        </c:ser>
        <c:dLbls>
          <c:showLegendKey val="0"/>
          <c:showVal val="0"/>
          <c:showCatName val="0"/>
          <c:showSerName val="0"/>
          <c:showPercent val="0"/>
          <c:showBubbleSize val="0"/>
        </c:dLbls>
        <c:gapWidth val="150"/>
        <c:axId val="362448896"/>
        <c:axId val="511428288"/>
      </c:barChart>
      <c:catAx>
        <c:axId val="36244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a:pPr>
            <a:endParaRPr lang="sr-Latn-RS"/>
          </a:p>
        </c:txPr>
        <c:crossAx val="511428288"/>
        <c:crosses val="autoZero"/>
        <c:auto val="1"/>
        <c:lblAlgn val="ctr"/>
        <c:lblOffset val="100"/>
        <c:tickLblSkip val="1"/>
        <c:tickMarkSkip val="1"/>
        <c:noMultiLvlLbl val="0"/>
      </c:catAx>
      <c:valAx>
        <c:axId val="511428288"/>
        <c:scaling>
          <c:orientation val="minMax"/>
        </c:scaling>
        <c:delete val="0"/>
        <c:axPos val="l"/>
        <c:majorGridlines>
          <c:spPr>
            <a:ln w="3175">
              <a:solidFill>
                <a:srgbClr val="969696"/>
              </a:solidFill>
              <a:prstDash val="sysDash"/>
            </a:ln>
          </c:spPr>
        </c:majorGridlines>
        <c:title>
          <c:tx>
            <c:rich>
              <a:bodyPr/>
              <a:lstStyle/>
              <a:p>
                <a:pPr>
                  <a:defRPr/>
                </a:pPr>
                <a:r>
                  <a:rPr lang="en-US"/>
                  <a:t>Emisija t CO2</a:t>
                </a:r>
              </a:p>
            </c:rich>
          </c:tx>
          <c:layout>
            <c:manualLayout>
              <c:xMode val="edge"/>
              <c:yMode val="edge"/>
              <c:x val="1.3531808670268606E-2"/>
              <c:y val="0.3265822784810140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362448896"/>
        <c:crosses val="autoZero"/>
        <c:crossBetween val="between"/>
      </c:valAx>
      <c:spPr>
        <a:noFill/>
        <a:ln w="3175">
          <a:solidFill>
            <a:srgbClr val="808080"/>
          </a:solidFill>
          <a:prstDash val="solid"/>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mn-lt"/>
          <a:ea typeface="Arial"/>
          <a:cs typeface="Arial" pitchFamily="34" charset="0"/>
        </a:defRPr>
      </a:pPr>
      <a:endParaRPr lang="sr-Latn-R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065262425245445"/>
          <c:y val="6.8354430379747033E-2"/>
          <c:w val="0.59732805911109466"/>
          <c:h val="0.80759493670886073"/>
        </c:manualLayout>
      </c:layout>
      <c:barChart>
        <c:barDir val="col"/>
        <c:grouping val="stacked"/>
        <c:varyColors val="0"/>
        <c:ser>
          <c:idx val="0"/>
          <c:order val="0"/>
          <c:tx>
            <c:strRef>
              <c:f>'X:\iselanec\Grad Zagreb\Proracun\[ukupno emisije inventara-10_02_2010.xlsx]sumarna-emisije'!$C$82</c:f>
              <c:strCache>
                <c:ptCount val="1"/>
                <c:pt idx="0">
                  <c:v>Dizel</c:v>
                </c:pt>
              </c:strCache>
            </c:strRef>
          </c:tx>
          <c:spPr>
            <a:gradFill rotWithShape="0">
              <a:gsLst>
                <a:gs pos="0">
                  <a:srgbClr val="00CCFF">
                    <a:gamma/>
                    <a:shade val="26275"/>
                    <a:invGamma/>
                  </a:srgbClr>
                </a:gs>
                <a:gs pos="50000">
                  <a:srgbClr val="00CCFF"/>
                </a:gs>
                <a:gs pos="100000">
                  <a:srgbClr val="00CCFF">
                    <a:gamma/>
                    <a:shade val="26275"/>
                    <a:invGamma/>
                  </a:srgbClr>
                </a:gs>
              </a:gsLst>
              <a:lin ang="0" scaled="1"/>
            </a:gradFill>
            <a:ln w="25400">
              <a:noFill/>
            </a:ln>
          </c:spPr>
          <c:invertIfNegative val="0"/>
          <c:cat>
            <c:strRef>
              <c:f>'X:\iselanec\Grad Zagreb\Proracun\[ukupno emisije inventara-10_02_2010.xlsx]sumarna-emisije'!$D$81:$F$81</c:f>
              <c:strCache>
                <c:ptCount val="3"/>
                <c:pt idx="0">
                  <c:v>Zgradarstvo</c:v>
                </c:pt>
                <c:pt idx="1">
                  <c:v>Promet</c:v>
                </c:pt>
                <c:pt idx="2">
                  <c:v>Javna rasvjeta</c:v>
                </c:pt>
              </c:strCache>
            </c:strRef>
          </c:cat>
          <c:val>
            <c:numRef>
              <c:f>'X:\iselanec\Grad Zagreb\Proracun\[ukupno emisije inventara-10_02_2010.xlsx]sumarna-emisije'!$D$82:$F$82</c:f>
              <c:numCache>
                <c:formatCode>General</c:formatCode>
                <c:ptCount val="3"/>
                <c:pt idx="0">
                  <c:v>0</c:v>
                </c:pt>
                <c:pt idx="1">
                  <c:v>545266.10000000009</c:v>
                </c:pt>
                <c:pt idx="2">
                  <c:v>0</c:v>
                </c:pt>
              </c:numCache>
            </c:numRef>
          </c:val>
          <c:extLst>
            <c:ext xmlns:c16="http://schemas.microsoft.com/office/drawing/2014/chart" uri="{C3380CC4-5D6E-409C-BE32-E72D297353CC}">
              <c16:uniqueId val="{00000000-8BB1-41E9-A9AF-5FECE9BF26BD}"/>
            </c:ext>
          </c:extLst>
        </c:ser>
        <c:ser>
          <c:idx val="1"/>
          <c:order val="1"/>
          <c:tx>
            <c:strRef>
              <c:f>'X:\iselanec\Grad Zagreb\Proracun\[ukupno emisije inventara-10_02_2010.xlsx]sumarna-emisije'!$C$83</c:f>
              <c:strCache>
                <c:ptCount val="1"/>
                <c:pt idx="0">
                  <c:v>Loživo ulje</c:v>
                </c:pt>
              </c:strCache>
            </c:strRef>
          </c:tx>
          <c:spPr>
            <a:gradFill rotWithShape="0">
              <a:gsLst>
                <a:gs pos="0">
                  <a:srgbClr val="3366FF">
                    <a:gamma/>
                    <a:shade val="0"/>
                    <a:invGamma/>
                  </a:srgbClr>
                </a:gs>
                <a:gs pos="50000">
                  <a:srgbClr val="3366FF"/>
                </a:gs>
                <a:gs pos="100000">
                  <a:srgbClr val="3366FF">
                    <a:gamma/>
                    <a:shade val="0"/>
                    <a:invGamma/>
                  </a:srgbClr>
                </a:gs>
              </a:gsLst>
              <a:lin ang="0" scaled="1"/>
            </a:gradFill>
            <a:ln w="25400">
              <a:noFill/>
            </a:ln>
          </c:spPr>
          <c:invertIfNegative val="0"/>
          <c:cat>
            <c:strRef>
              <c:f>'X:\iselanec\Grad Zagreb\Proracun\[ukupno emisije inventara-10_02_2010.xlsx]sumarna-emisije'!$D$81:$F$81</c:f>
              <c:strCache>
                <c:ptCount val="3"/>
                <c:pt idx="0">
                  <c:v>Zgradarstvo</c:v>
                </c:pt>
                <c:pt idx="1">
                  <c:v>Promet</c:v>
                </c:pt>
                <c:pt idx="2">
                  <c:v>Javna rasvjeta</c:v>
                </c:pt>
              </c:strCache>
            </c:strRef>
          </c:cat>
          <c:val>
            <c:numRef>
              <c:f>'X:\iselanec\Grad Zagreb\Proracun\[ukupno emisije inventara-10_02_2010.xlsx]sumarna-emisije'!$D$83:$F$83</c:f>
              <c:numCache>
                <c:formatCode>General</c:formatCode>
                <c:ptCount val="3"/>
                <c:pt idx="0">
                  <c:v>100000.20077531203</c:v>
                </c:pt>
                <c:pt idx="1">
                  <c:v>0</c:v>
                </c:pt>
                <c:pt idx="2">
                  <c:v>0</c:v>
                </c:pt>
              </c:numCache>
            </c:numRef>
          </c:val>
          <c:extLst>
            <c:ext xmlns:c16="http://schemas.microsoft.com/office/drawing/2014/chart" uri="{C3380CC4-5D6E-409C-BE32-E72D297353CC}">
              <c16:uniqueId val="{00000001-8BB1-41E9-A9AF-5FECE9BF26BD}"/>
            </c:ext>
          </c:extLst>
        </c:ser>
        <c:ser>
          <c:idx val="2"/>
          <c:order val="2"/>
          <c:tx>
            <c:strRef>
              <c:f>'X:\iselanec\Grad Zagreb\Proracun\[ukupno emisije inventara-10_02_2010.xlsx]sumarna-emisije'!$C$84</c:f>
              <c:strCache>
                <c:ptCount val="1"/>
                <c:pt idx="0">
                  <c:v>Motorni benzin</c:v>
                </c:pt>
              </c:strCache>
            </c:strRef>
          </c:tx>
          <c:spPr>
            <a:gradFill rotWithShape="0">
              <a:gsLst>
                <a:gs pos="0">
                  <a:srgbClr val="0000FF">
                    <a:gamma/>
                    <a:shade val="5490"/>
                    <a:invGamma/>
                  </a:srgbClr>
                </a:gs>
                <a:gs pos="50000">
                  <a:srgbClr val="0000FF"/>
                </a:gs>
                <a:gs pos="100000">
                  <a:srgbClr val="0000FF">
                    <a:gamma/>
                    <a:shade val="5490"/>
                    <a:invGamma/>
                  </a:srgbClr>
                </a:gs>
              </a:gsLst>
              <a:lin ang="0" scaled="1"/>
            </a:gradFill>
            <a:ln w="25400">
              <a:noFill/>
            </a:ln>
          </c:spPr>
          <c:invertIfNegative val="0"/>
          <c:cat>
            <c:strRef>
              <c:f>'X:\iselanec\Grad Zagreb\Proracun\[ukupno emisije inventara-10_02_2010.xlsx]sumarna-emisije'!$D$81:$F$81</c:f>
              <c:strCache>
                <c:ptCount val="3"/>
                <c:pt idx="0">
                  <c:v>Zgradarstvo</c:v>
                </c:pt>
                <c:pt idx="1">
                  <c:v>Promet</c:v>
                </c:pt>
                <c:pt idx="2">
                  <c:v>Javna rasvjeta</c:v>
                </c:pt>
              </c:strCache>
            </c:strRef>
          </c:cat>
          <c:val>
            <c:numRef>
              <c:f>'X:\iselanec\Grad Zagreb\Proracun\[ukupno emisije inventara-10_02_2010.xlsx]sumarna-emisije'!$D$84:$F$84</c:f>
              <c:numCache>
                <c:formatCode>General</c:formatCode>
                <c:ptCount val="3"/>
                <c:pt idx="0">
                  <c:v>0</c:v>
                </c:pt>
                <c:pt idx="1">
                  <c:v>433828.8</c:v>
                </c:pt>
                <c:pt idx="2">
                  <c:v>0</c:v>
                </c:pt>
              </c:numCache>
            </c:numRef>
          </c:val>
          <c:extLst>
            <c:ext xmlns:c16="http://schemas.microsoft.com/office/drawing/2014/chart" uri="{C3380CC4-5D6E-409C-BE32-E72D297353CC}">
              <c16:uniqueId val="{00000002-8BB1-41E9-A9AF-5FECE9BF26BD}"/>
            </c:ext>
          </c:extLst>
        </c:ser>
        <c:ser>
          <c:idx val="3"/>
          <c:order val="3"/>
          <c:tx>
            <c:strRef>
              <c:f>'X:\iselanec\Grad Zagreb\Proracun\[ukupno emisije inventara-10_02_2010.xlsx]sumarna-emisije'!$C$85</c:f>
              <c:strCache>
                <c:ptCount val="1"/>
                <c:pt idx="0">
                  <c:v>Biodizel</c:v>
                </c:pt>
              </c:strCache>
            </c:strRef>
          </c:tx>
          <c:spPr>
            <a:gradFill rotWithShape="0">
              <a:gsLst>
                <a:gs pos="0">
                  <a:srgbClr val="000080">
                    <a:gamma/>
                    <a:shade val="0"/>
                    <a:invGamma/>
                  </a:srgbClr>
                </a:gs>
                <a:gs pos="50000">
                  <a:srgbClr val="000080"/>
                </a:gs>
                <a:gs pos="100000">
                  <a:srgbClr val="000080">
                    <a:gamma/>
                    <a:shade val="0"/>
                    <a:invGamma/>
                  </a:srgbClr>
                </a:gs>
              </a:gsLst>
              <a:lin ang="0" scaled="1"/>
            </a:gradFill>
            <a:ln w="25400">
              <a:noFill/>
            </a:ln>
          </c:spPr>
          <c:invertIfNegative val="0"/>
          <c:cat>
            <c:strRef>
              <c:f>'X:\iselanec\Grad Zagreb\Proracun\[ukupno emisije inventara-10_02_2010.xlsx]sumarna-emisije'!$D$81:$F$81</c:f>
              <c:strCache>
                <c:ptCount val="3"/>
                <c:pt idx="0">
                  <c:v>Zgradarstvo</c:v>
                </c:pt>
                <c:pt idx="1">
                  <c:v>Promet</c:v>
                </c:pt>
                <c:pt idx="2">
                  <c:v>Javna rasvjeta</c:v>
                </c:pt>
              </c:strCache>
            </c:strRef>
          </c:cat>
          <c:val>
            <c:numRef>
              <c:f>'X:\iselanec\Grad Zagreb\Proracun\[ukupno emisije inventara-10_02_2010.xlsx]sumarna-emisije'!$D$85:$F$85</c:f>
              <c:numCache>
                <c:formatCode>General</c:formatCode>
                <c:ptCount val="3"/>
                <c:pt idx="0">
                  <c:v>0</c:v>
                </c:pt>
                <c:pt idx="1">
                  <c:v>0</c:v>
                </c:pt>
                <c:pt idx="2">
                  <c:v>0</c:v>
                </c:pt>
              </c:numCache>
            </c:numRef>
          </c:val>
          <c:extLst>
            <c:ext xmlns:c16="http://schemas.microsoft.com/office/drawing/2014/chart" uri="{C3380CC4-5D6E-409C-BE32-E72D297353CC}">
              <c16:uniqueId val="{00000003-8BB1-41E9-A9AF-5FECE9BF26BD}"/>
            </c:ext>
          </c:extLst>
        </c:ser>
        <c:ser>
          <c:idx val="4"/>
          <c:order val="4"/>
          <c:tx>
            <c:strRef>
              <c:f>'X:\iselanec\Grad Zagreb\Proracun\[ukupno emisije inventara-10_02_2010.xlsx]sumarna-emisije'!$C$86</c:f>
              <c:strCache>
                <c:ptCount val="1"/>
                <c:pt idx="0">
                  <c:v>UNP</c:v>
                </c:pt>
              </c:strCache>
            </c:strRef>
          </c:tx>
          <c:spPr>
            <a:gradFill rotWithShape="0">
              <a:gsLst>
                <a:gs pos="0">
                  <a:srgbClr val="003300">
                    <a:gamma/>
                    <a:shade val="26667"/>
                    <a:invGamma/>
                  </a:srgbClr>
                </a:gs>
                <a:gs pos="50000">
                  <a:srgbClr val="003300"/>
                </a:gs>
                <a:gs pos="100000">
                  <a:srgbClr val="003300">
                    <a:gamma/>
                    <a:shade val="26667"/>
                    <a:invGamma/>
                  </a:srgbClr>
                </a:gs>
              </a:gsLst>
              <a:lin ang="0" scaled="1"/>
            </a:gradFill>
            <a:ln w="25400">
              <a:noFill/>
            </a:ln>
          </c:spPr>
          <c:invertIfNegative val="0"/>
          <c:cat>
            <c:strRef>
              <c:f>'X:\iselanec\Grad Zagreb\Proracun\[ukupno emisije inventara-10_02_2010.xlsx]sumarna-emisije'!$D$81:$F$81</c:f>
              <c:strCache>
                <c:ptCount val="3"/>
                <c:pt idx="0">
                  <c:v>Zgradarstvo</c:v>
                </c:pt>
                <c:pt idx="1">
                  <c:v>Promet</c:v>
                </c:pt>
                <c:pt idx="2">
                  <c:v>Javna rasvjeta</c:v>
                </c:pt>
              </c:strCache>
            </c:strRef>
          </c:cat>
          <c:val>
            <c:numRef>
              <c:f>'X:\iselanec\Grad Zagreb\Proracun\[ukupno emisije inventara-10_02_2010.xlsx]sumarna-emisije'!$D$86:$F$86</c:f>
              <c:numCache>
                <c:formatCode>General</c:formatCode>
                <c:ptCount val="3"/>
                <c:pt idx="0">
                  <c:v>57.976682896439996</c:v>
                </c:pt>
                <c:pt idx="1">
                  <c:v>8391</c:v>
                </c:pt>
                <c:pt idx="2">
                  <c:v>0</c:v>
                </c:pt>
              </c:numCache>
            </c:numRef>
          </c:val>
          <c:extLst>
            <c:ext xmlns:c16="http://schemas.microsoft.com/office/drawing/2014/chart" uri="{C3380CC4-5D6E-409C-BE32-E72D297353CC}">
              <c16:uniqueId val="{00000004-8BB1-41E9-A9AF-5FECE9BF26BD}"/>
            </c:ext>
          </c:extLst>
        </c:ser>
        <c:ser>
          <c:idx val="5"/>
          <c:order val="5"/>
          <c:tx>
            <c:strRef>
              <c:f>'X:\iselanec\Grad Zagreb\Proracun\[ukupno emisije inventara-10_02_2010.xlsx]sumarna-emisije'!$C$87</c:f>
              <c:strCache>
                <c:ptCount val="1"/>
                <c:pt idx="0">
                  <c:v>Prirodni plin</c:v>
                </c:pt>
              </c:strCache>
            </c:strRef>
          </c:tx>
          <c:spPr>
            <a:gradFill rotWithShape="0">
              <a:gsLst>
                <a:gs pos="0">
                  <a:srgbClr val="008000">
                    <a:gamma/>
                    <a:shade val="6275"/>
                    <a:invGamma/>
                  </a:srgbClr>
                </a:gs>
                <a:gs pos="50000">
                  <a:srgbClr val="008000"/>
                </a:gs>
                <a:gs pos="100000">
                  <a:srgbClr val="008000">
                    <a:gamma/>
                    <a:shade val="6275"/>
                    <a:invGamma/>
                  </a:srgbClr>
                </a:gs>
              </a:gsLst>
              <a:lin ang="0" scaled="1"/>
            </a:gradFill>
            <a:ln w="25400">
              <a:noFill/>
            </a:ln>
          </c:spPr>
          <c:invertIfNegative val="0"/>
          <c:cat>
            <c:strRef>
              <c:f>'X:\iselanec\Grad Zagreb\Proracun\[ukupno emisije inventara-10_02_2010.xlsx]sumarna-emisije'!$D$81:$F$81</c:f>
              <c:strCache>
                <c:ptCount val="3"/>
                <c:pt idx="0">
                  <c:v>Zgradarstvo</c:v>
                </c:pt>
                <c:pt idx="1">
                  <c:v>Promet</c:v>
                </c:pt>
                <c:pt idx="2">
                  <c:v>Javna rasvjeta</c:v>
                </c:pt>
              </c:strCache>
            </c:strRef>
          </c:cat>
          <c:val>
            <c:numRef>
              <c:f>'X:\iselanec\Grad Zagreb\Proracun\[ukupno emisije inventara-10_02_2010.xlsx]sumarna-emisije'!$D$87:$F$87</c:f>
              <c:numCache>
                <c:formatCode>General</c:formatCode>
                <c:ptCount val="3"/>
                <c:pt idx="0">
                  <c:v>634049.16534244211</c:v>
                </c:pt>
                <c:pt idx="1">
                  <c:v>90.07</c:v>
                </c:pt>
                <c:pt idx="2">
                  <c:v>73.260000000000005</c:v>
                </c:pt>
              </c:numCache>
            </c:numRef>
          </c:val>
          <c:extLst>
            <c:ext xmlns:c16="http://schemas.microsoft.com/office/drawing/2014/chart" uri="{C3380CC4-5D6E-409C-BE32-E72D297353CC}">
              <c16:uniqueId val="{00000005-8BB1-41E9-A9AF-5FECE9BF26BD}"/>
            </c:ext>
          </c:extLst>
        </c:ser>
        <c:ser>
          <c:idx val="6"/>
          <c:order val="6"/>
          <c:tx>
            <c:strRef>
              <c:f>'X:\iselanec\Grad Zagreb\Proracun\[ukupno emisije inventara-10_02_2010.xlsx]sumarna-emisije'!$C$88</c:f>
              <c:strCache>
                <c:ptCount val="1"/>
                <c:pt idx="0">
                  <c:v>Ogrjevno drvo</c:v>
                </c:pt>
              </c:strCache>
            </c:strRef>
          </c:tx>
          <c:spPr>
            <a:gradFill rotWithShape="0">
              <a:gsLst>
                <a:gs pos="0">
                  <a:srgbClr val="00FF00">
                    <a:gamma/>
                    <a:shade val="16078"/>
                    <a:invGamma/>
                  </a:srgbClr>
                </a:gs>
                <a:gs pos="50000">
                  <a:srgbClr val="00FF00"/>
                </a:gs>
                <a:gs pos="100000">
                  <a:srgbClr val="00FF00">
                    <a:gamma/>
                    <a:shade val="16078"/>
                    <a:invGamma/>
                  </a:srgbClr>
                </a:gs>
              </a:gsLst>
              <a:lin ang="0" scaled="1"/>
            </a:gradFill>
            <a:ln w="25400">
              <a:noFill/>
            </a:ln>
          </c:spPr>
          <c:invertIfNegative val="0"/>
          <c:cat>
            <c:strRef>
              <c:f>'X:\iselanec\Grad Zagreb\Proracun\[ukupno emisije inventara-10_02_2010.xlsx]sumarna-emisije'!$D$81:$F$81</c:f>
              <c:strCache>
                <c:ptCount val="3"/>
                <c:pt idx="0">
                  <c:v>Zgradarstvo</c:v>
                </c:pt>
                <c:pt idx="1">
                  <c:v>Promet</c:v>
                </c:pt>
                <c:pt idx="2">
                  <c:v>Javna rasvjeta</c:v>
                </c:pt>
              </c:strCache>
            </c:strRef>
          </c:cat>
          <c:val>
            <c:numRef>
              <c:f>'X:\iselanec\Grad Zagreb\Proracun\[ukupno emisije inventara-10_02_2010.xlsx]sumarna-emisije'!$D$88:$F$88</c:f>
              <c:numCache>
                <c:formatCode>General</c:formatCode>
                <c:ptCount val="3"/>
                <c:pt idx="0">
                  <c:v>0</c:v>
                </c:pt>
                <c:pt idx="1">
                  <c:v>0</c:v>
                </c:pt>
                <c:pt idx="2">
                  <c:v>0</c:v>
                </c:pt>
              </c:numCache>
            </c:numRef>
          </c:val>
          <c:extLst>
            <c:ext xmlns:c16="http://schemas.microsoft.com/office/drawing/2014/chart" uri="{C3380CC4-5D6E-409C-BE32-E72D297353CC}">
              <c16:uniqueId val="{00000006-8BB1-41E9-A9AF-5FECE9BF26BD}"/>
            </c:ext>
          </c:extLst>
        </c:ser>
        <c:ser>
          <c:idx val="7"/>
          <c:order val="7"/>
          <c:tx>
            <c:strRef>
              <c:f>'X:\iselanec\Grad Zagreb\Proracun\[ukupno emisije inventara-10_02_2010.xlsx]sumarna-emisije'!$C$89</c:f>
              <c:strCache>
                <c:ptCount val="1"/>
                <c:pt idx="0">
                  <c:v>Električna energija</c:v>
                </c:pt>
              </c:strCache>
            </c:strRef>
          </c:tx>
          <c:spPr>
            <a:gradFill rotWithShape="0">
              <a:gsLst>
                <a:gs pos="0">
                  <a:srgbClr val="FFFF00">
                    <a:gamma/>
                    <a:shade val="25882"/>
                    <a:invGamma/>
                  </a:srgbClr>
                </a:gs>
                <a:gs pos="50000">
                  <a:srgbClr val="FFFF00"/>
                </a:gs>
                <a:gs pos="100000">
                  <a:srgbClr val="FFFF00">
                    <a:gamma/>
                    <a:shade val="25882"/>
                    <a:invGamma/>
                  </a:srgbClr>
                </a:gs>
              </a:gsLst>
              <a:lin ang="0" scaled="1"/>
            </a:gradFill>
            <a:ln w="25400">
              <a:noFill/>
            </a:ln>
          </c:spPr>
          <c:invertIfNegative val="0"/>
          <c:cat>
            <c:strRef>
              <c:f>'X:\iselanec\Grad Zagreb\Proracun\[ukupno emisije inventara-10_02_2010.xlsx]sumarna-emisije'!$D$81:$F$81</c:f>
              <c:strCache>
                <c:ptCount val="3"/>
                <c:pt idx="0">
                  <c:v>Zgradarstvo</c:v>
                </c:pt>
                <c:pt idx="1">
                  <c:v>Promet</c:v>
                </c:pt>
                <c:pt idx="2">
                  <c:v>Javna rasvjeta</c:v>
                </c:pt>
              </c:strCache>
            </c:strRef>
          </c:cat>
          <c:val>
            <c:numRef>
              <c:f>'X:\iselanec\Grad Zagreb\Proracun\[ukupno emisije inventara-10_02_2010.xlsx]sumarna-emisije'!$D$89:$F$89</c:f>
              <c:numCache>
                <c:formatCode>General</c:formatCode>
                <c:ptCount val="3"/>
                <c:pt idx="0">
                  <c:v>559639.73466822249</c:v>
                </c:pt>
                <c:pt idx="1">
                  <c:v>19867.099999999991</c:v>
                </c:pt>
                <c:pt idx="2">
                  <c:v>29102.3</c:v>
                </c:pt>
              </c:numCache>
            </c:numRef>
          </c:val>
          <c:extLst>
            <c:ext xmlns:c16="http://schemas.microsoft.com/office/drawing/2014/chart" uri="{C3380CC4-5D6E-409C-BE32-E72D297353CC}">
              <c16:uniqueId val="{00000007-8BB1-41E9-A9AF-5FECE9BF26BD}"/>
            </c:ext>
          </c:extLst>
        </c:ser>
        <c:ser>
          <c:idx val="8"/>
          <c:order val="8"/>
          <c:tx>
            <c:strRef>
              <c:f>'X:\iselanec\Grad Zagreb\Proracun\[ukupno emisije inventara-10_02_2010.xlsx]sumarna-emisije'!$C$90</c:f>
              <c:strCache>
                <c:ptCount val="1"/>
                <c:pt idx="0">
                  <c:v>Toplina</c:v>
                </c:pt>
              </c:strCache>
            </c:strRef>
          </c:tx>
          <c:spPr>
            <a:gradFill rotWithShape="0">
              <a:gsLst>
                <a:gs pos="0">
                  <a:srgbClr val="FF0000">
                    <a:gamma/>
                    <a:shade val="16078"/>
                    <a:invGamma/>
                  </a:srgbClr>
                </a:gs>
                <a:gs pos="50000">
                  <a:srgbClr val="FF0000"/>
                </a:gs>
                <a:gs pos="100000">
                  <a:srgbClr val="FF0000">
                    <a:gamma/>
                    <a:shade val="16078"/>
                    <a:invGamma/>
                  </a:srgbClr>
                </a:gs>
              </a:gsLst>
              <a:lin ang="0" scaled="1"/>
            </a:gradFill>
            <a:ln w="25400">
              <a:noFill/>
            </a:ln>
          </c:spPr>
          <c:invertIfNegative val="0"/>
          <c:cat>
            <c:strRef>
              <c:f>'X:\iselanec\Grad Zagreb\Proracun\[ukupno emisije inventara-10_02_2010.xlsx]sumarna-emisije'!$D$81:$F$81</c:f>
              <c:strCache>
                <c:ptCount val="3"/>
                <c:pt idx="0">
                  <c:v>Zgradarstvo</c:v>
                </c:pt>
                <c:pt idx="1">
                  <c:v>Promet</c:v>
                </c:pt>
                <c:pt idx="2">
                  <c:v>Javna rasvjeta</c:v>
                </c:pt>
              </c:strCache>
            </c:strRef>
          </c:cat>
          <c:val>
            <c:numRef>
              <c:f>'X:\iselanec\Grad Zagreb\Proracun\[ukupno emisije inventara-10_02_2010.xlsx]sumarna-emisije'!$D$90:$F$90</c:f>
              <c:numCache>
                <c:formatCode>General</c:formatCode>
                <c:ptCount val="3"/>
                <c:pt idx="0">
                  <c:v>465685.18282233737</c:v>
                </c:pt>
                <c:pt idx="1">
                  <c:v>0</c:v>
                </c:pt>
                <c:pt idx="2">
                  <c:v>0</c:v>
                </c:pt>
              </c:numCache>
            </c:numRef>
          </c:val>
          <c:extLst>
            <c:ext xmlns:c16="http://schemas.microsoft.com/office/drawing/2014/chart" uri="{C3380CC4-5D6E-409C-BE32-E72D297353CC}">
              <c16:uniqueId val="{00000008-8BB1-41E9-A9AF-5FECE9BF26BD}"/>
            </c:ext>
          </c:extLst>
        </c:ser>
        <c:dLbls>
          <c:showLegendKey val="0"/>
          <c:showVal val="0"/>
          <c:showCatName val="0"/>
          <c:showSerName val="0"/>
          <c:showPercent val="0"/>
          <c:showBubbleSize val="0"/>
        </c:dLbls>
        <c:gapWidth val="150"/>
        <c:overlap val="100"/>
        <c:axId val="365268992"/>
        <c:axId val="511430592"/>
      </c:barChart>
      <c:catAx>
        <c:axId val="365268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511430592"/>
        <c:crosses val="autoZero"/>
        <c:auto val="1"/>
        <c:lblAlgn val="ctr"/>
        <c:lblOffset val="100"/>
        <c:tickLblSkip val="1"/>
        <c:tickMarkSkip val="1"/>
        <c:noMultiLvlLbl val="0"/>
      </c:catAx>
      <c:valAx>
        <c:axId val="511430592"/>
        <c:scaling>
          <c:orientation val="minMax"/>
        </c:scaling>
        <c:delete val="0"/>
        <c:axPos val="l"/>
        <c:majorGridlines>
          <c:spPr>
            <a:ln w="3175">
              <a:solidFill>
                <a:srgbClr val="969696"/>
              </a:solidFill>
              <a:prstDash val="sysDash"/>
            </a:ln>
          </c:spPr>
        </c:majorGridlines>
        <c:title>
          <c:tx>
            <c:rich>
              <a:bodyPr/>
              <a:lstStyle/>
              <a:p>
                <a:pPr>
                  <a:defRPr/>
                </a:pPr>
                <a:r>
                  <a:rPr lang="en-US"/>
                  <a:t>Emisija t CO2</a:t>
                </a:r>
              </a:p>
            </c:rich>
          </c:tx>
          <c:layout>
            <c:manualLayout>
              <c:xMode val="edge"/>
              <c:yMode val="edge"/>
              <c:x val="3.0881797771531192E-2"/>
              <c:y val="0.3443036591379958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365268992"/>
        <c:crosses val="autoZero"/>
        <c:crossBetween val="between"/>
      </c:valAx>
      <c:spPr>
        <a:noFill/>
        <a:ln w="3175">
          <a:solidFill>
            <a:srgbClr val="808080"/>
          </a:solidFill>
          <a:prstDash val="solid"/>
        </a:ln>
      </c:spPr>
    </c:plotArea>
    <c:legend>
      <c:legendPos val="r"/>
      <c:layout>
        <c:manualLayout>
          <c:xMode val="edge"/>
          <c:yMode val="edge"/>
          <c:x val="0.8106070601116887"/>
          <c:y val="0.21012658227848102"/>
          <c:w val="0.17929315036738386"/>
          <c:h val="0.58404177457003681"/>
        </c:manualLayout>
      </c:layout>
      <c:overlay val="0"/>
      <c:spPr>
        <a:solidFill>
          <a:srgbClr val="FFFFFF"/>
        </a:solidFill>
        <a:ln w="25400">
          <a:noFill/>
        </a:ln>
      </c:spPr>
      <c:txPr>
        <a:bodyPr/>
        <a:lstStyle/>
        <a:p>
          <a:pPr>
            <a:defRPr sz="800"/>
          </a:pPr>
          <a:endParaRPr lang="sr-Latn-R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mn-lt"/>
          <a:ea typeface="Arial"/>
          <a:cs typeface="Arial"/>
        </a:defRPr>
      </a:pPr>
      <a:endParaRPr lang="sr-Latn-R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0"/>
          <c:y val="4.5290085008030723E-2"/>
          <c:w val="1"/>
          <c:h val="0.95387379394477489"/>
        </c:manualLayout>
      </c:layout>
      <c:pie3DChart>
        <c:varyColors val="1"/>
        <c:ser>
          <c:idx val="0"/>
          <c:order val="0"/>
          <c:dLbls>
            <c:dLbl>
              <c:idx val="0"/>
              <c:layout>
                <c:manualLayout>
                  <c:x val="-0.12150091732117239"/>
                  <c:y val="7.393784376663764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972-4C3B-912B-62457037C2FF}"/>
                </c:ext>
              </c:extLst>
            </c:dLbl>
            <c:dLbl>
              <c:idx val="1"/>
              <c:layout>
                <c:manualLayout>
                  <c:x val="-0.13531277674260184"/>
                  <c:y val="-0.4091791061328620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972-4C3B-912B-62457037C2FF}"/>
                </c:ext>
              </c:extLst>
            </c:dLbl>
            <c:dLbl>
              <c:idx val="2"/>
              <c:layout>
                <c:manualLayout>
                  <c:x val="0.16484050461434258"/>
                  <c:y val="0.1236193489832462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972-4C3B-912B-62457037C2FF}"/>
                </c:ext>
              </c:extLst>
            </c:dLbl>
            <c:numFmt formatCode="0.0%" sourceLinked="0"/>
            <c:spPr>
              <a:noFill/>
              <a:ln>
                <a:noFill/>
              </a:ln>
              <a:effectLst/>
            </c:spPr>
            <c:txPr>
              <a:bodyPr/>
              <a:lstStyle/>
              <a:p>
                <a:pPr>
                  <a:defRPr sz="800">
                    <a:latin typeface="+mn-lt"/>
                    <a:cs typeface="Arial" pitchFamily="34" charset="0"/>
                  </a:defRPr>
                </a:pPr>
                <a:endParaRPr lang="sr-Latn-RS"/>
              </a:p>
            </c:txPr>
            <c:showLegendKey val="0"/>
            <c:showVal val="0"/>
            <c:showCatName val="1"/>
            <c:showSerName val="0"/>
            <c:showPercent val="1"/>
            <c:showBubbleSize val="0"/>
            <c:showLeaderLines val="0"/>
            <c:extLst>
              <c:ext xmlns:c15="http://schemas.microsoft.com/office/drawing/2012/chart" uri="{CE6537A1-D6FC-4f65-9D91-7224C49458BB}"/>
            </c:extLst>
          </c:dLbls>
          <c:cat>
            <c:strRef>
              <c:f>'[1]Mjere za zgradarstvo'!$B$64:$B$66</c:f>
              <c:strCache>
                <c:ptCount val="3"/>
                <c:pt idx="0">
                  <c:v>Zgrade u vlasništvu Grada</c:v>
                </c:pt>
                <c:pt idx="1">
                  <c:v>Stambeni sektor</c:v>
                </c:pt>
                <c:pt idx="2">
                  <c:v>Komercijalne i uslužne djelatnosti</c:v>
                </c:pt>
              </c:strCache>
            </c:strRef>
          </c:cat>
          <c:val>
            <c:numRef>
              <c:f>'[1]Mjere za zgradarstvo'!$C$64:$C$66</c:f>
              <c:numCache>
                <c:formatCode>General</c:formatCode>
                <c:ptCount val="3"/>
                <c:pt idx="0">
                  <c:v>73278.046056559368</c:v>
                </c:pt>
                <c:pt idx="1">
                  <c:v>411284.19689304754</c:v>
                </c:pt>
                <c:pt idx="2">
                  <c:v>122024.55948121138</c:v>
                </c:pt>
              </c:numCache>
            </c:numRef>
          </c:val>
          <c:extLst>
            <c:ext xmlns:c16="http://schemas.microsoft.com/office/drawing/2014/chart" uri="{C3380CC4-5D6E-409C-BE32-E72D297353CC}">
              <c16:uniqueId val="{00000003-0972-4C3B-912B-62457037C2FF}"/>
            </c:ext>
          </c:extLst>
        </c:ser>
        <c:dLbls>
          <c:showLegendKey val="0"/>
          <c:showVal val="0"/>
          <c:showCatName val="0"/>
          <c:showSerName val="0"/>
          <c:showPercent val="0"/>
          <c:showBubbleSize val="0"/>
          <c:showLeaderLines val="0"/>
        </c:dLbls>
      </c:pie3DChart>
      <c:spPr>
        <a:ln>
          <a:noFill/>
        </a:ln>
      </c:spPr>
    </c:plotArea>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8.2729803602135943E-2"/>
          <c:y val="2.1890829636143201E-2"/>
          <c:w val="0.91727019639786411"/>
          <c:h val="0.91560920367188392"/>
        </c:manualLayout>
      </c:layout>
      <c:pie3DChart>
        <c:varyColors val="1"/>
        <c:ser>
          <c:idx val="0"/>
          <c:order val="0"/>
          <c:dLbls>
            <c:dLbl>
              <c:idx val="2"/>
              <c:layout>
                <c:manualLayout>
                  <c:x val="9.9298615259299727E-2"/>
                  <c:y val="-0.248796514648866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4C5-4C9A-A590-3633116E41F3}"/>
                </c:ext>
              </c:extLst>
            </c:dLbl>
            <c:dLbl>
              <c:idx val="3"/>
              <c:layout>
                <c:manualLayout>
                  <c:x val="9.348712100642588E-2"/>
                  <c:y val="-0.2050073943802724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4C5-4C9A-A590-3633116E41F3}"/>
                </c:ext>
              </c:extLst>
            </c:dLbl>
            <c:dLbl>
              <c:idx val="4"/>
              <c:layout>
                <c:manualLayout>
                  <c:x val="0.14463448275862173"/>
                  <c:y val="-0.1709743261787708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4C5-4C9A-A590-3633116E41F3}"/>
                </c:ext>
              </c:extLst>
            </c:dLbl>
            <c:numFmt formatCode="0.0%" sourceLinked="0"/>
            <c:spPr>
              <a:noFill/>
              <a:ln>
                <a:noFill/>
              </a:ln>
              <a:effectLst/>
            </c:spPr>
            <c:txPr>
              <a:bodyPr/>
              <a:lstStyle/>
              <a:p>
                <a:pPr>
                  <a:defRPr sz="800">
                    <a:latin typeface="+mn-lt"/>
                    <a:cs typeface="Arial" pitchFamily="34" charset="0"/>
                  </a:defRPr>
                </a:pPr>
                <a:endParaRPr lang="sr-Latn-RS"/>
              </a:p>
            </c:txPr>
            <c:showLegendKey val="0"/>
            <c:showVal val="0"/>
            <c:showCatName val="1"/>
            <c:showSerName val="0"/>
            <c:showPercent val="1"/>
            <c:showBubbleSize val="0"/>
            <c:showLeaderLines val="1"/>
            <c:extLst>
              <c:ext xmlns:c15="http://schemas.microsoft.com/office/drawing/2012/chart" uri="{CE6537A1-D6FC-4f65-9D91-7224C49458BB}"/>
            </c:extLst>
          </c:dLbls>
          <c:cat>
            <c:strRef>
              <c:f>[1]podesktori!$B$39:$B$44</c:f>
              <c:strCache>
                <c:ptCount val="6"/>
                <c:pt idx="0">
                  <c:v>Školstvo</c:v>
                </c:pt>
                <c:pt idx="1">
                  <c:v>Zdravstvo</c:v>
                </c:pt>
                <c:pt idx="2">
                  <c:v>Uprava</c:v>
                </c:pt>
                <c:pt idx="3">
                  <c:v>Kultura</c:v>
                </c:pt>
                <c:pt idx="4">
                  <c:v>Poslovni prostori i stanovi u vlasništvu grada</c:v>
                </c:pt>
                <c:pt idx="5">
                  <c:v>Zgrade članica Zagrebačkog holdinga</c:v>
                </c:pt>
              </c:strCache>
            </c:strRef>
          </c:cat>
          <c:val>
            <c:numRef>
              <c:f>[1]podesktori!$C$39:$C$44</c:f>
              <c:numCache>
                <c:formatCode>General</c:formatCode>
                <c:ptCount val="6"/>
                <c:pt idx="0">
                  <c:v>24901.118546718892</c:v>
                </c:pt>
                <c:pt idx="1">
                  <c:v>18295.570581333213</c:v>
                </c:pt>
                <c:pt idx="2">
                  <c:v>2619.0158051467747</c:v>
                </c:pt>
                <c:pt idx="3">
                  <c:v>3326.9201995924668</c:v>
                </c:pt>
                <c:pt idx="4">
                  <c:v>8034.0232513745323</c:v>
                </c:pt>
                <c:pt idx="5">
                  <c:v>16101.397672393581</c:v>
                </c:pt>
              </c:numCache>
            </c:numRef>
          </c:val>
          <c:extLst>
            <c:ext xmlns:c16="http://schemas.microsoft.com/office/drawing/2014/chart" uri="{C3380CC4-5D6E-409C-BE32-E72D297353CC}">
              <c16:uniqueId val="{00000003-54C5-4C9A-A590-3633116E41F3}"/>
            </c:ext>
          </c:extLst>
        </c:ser>
        <c:dLbls>
          <c:showLegendKey val="0"/>
          <c:showVal val="0"/>
          <c:showCatName val="0"/>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0"/>
    <c:view3D>
      <c:rotX val="30"/>
      <c:rotY val="60"/>
      <c:rAngAx val="0"/>
    </c:view3D>
    <c:floor>
      <c:thickness val="0"/>
    </c:floor>
    <c:sideWall>
      <c:thickness val="0"/>
    </c:sideWall>
    <c:backWall>
      <c:thickness val="0"/>
    </c:backWall>
    <c:plotArea>
      <c:layout>
        <c:manualLayout>
          <c:layoutTarget val="inner"/>
          <c:xMode val="edge"/>
          <c:yMode val="edge"/>
          <c:x val="1.2844746130871556E-2"/>
          <c:y val="8.6188629974552677E-2"/>
          <c:w val="0.85034026302267773"/>
          <c:h val="0.84792730857881793"/>
        </c:manualLayout>
      </c:layout>
      <c:pie3DChart>
        <c:varyColors val="1"/>
        <c:ser>
          <c:idx val="0"/>
          <c:order val="0"/>
          <c:dLbls>
            <c:dLbl>
              <c:idx val="0"/>
              <c:layout>
                <c:manualLayout>
                  <c:x val="1.1998611284700523E-2"/>
                  <c:y val="-0.1380652037784626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70A-40EB-BB3B-8BEA5654B622}"/>
                </c:ext>
              </c:extLst>
            </c:dLbl>
            <c:dLbl>
              <c:idx val="6"/>
              <c:layout>
                <c:manualLayout>
                  <c:x val="-0.19122748545320797"/>
                  <c:y val="-0.3379042594295024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70A-40EB-BB3B-8BEA5654B622}"/>
                </c:ext>
              </c:extLst>
            </c:dLbl>
            <c:numFmt formatCode="0.0%" sourceLinked="0"/>
            <c:spPr>
              <a:noFill/>
              <a:ln>
                <a:noFill/>
              </a:ln>
              <a:effectLst/>
            </c:spPr>
            <c:txPr>
              <a:bodyPr/>
              <a:lstStyle/>
              <a:p>
                <a:pPr>
                  <a:defRPr sz="800">
                    <a:latin typeface="+mn-lt"/>
                    <a:cs typeface="Arial" pitchFamily="34" charset="0"/>
                  </a:defRPr>
                </a:pPr>
                <a:endParaRPr lang="sr-Latn-RS"/>
              </a:p>
            </c:txPr>
            <c:showLegendKey val="0"/>
            <c:showVal val="0"/>
            <c:showCatName val="1"/>
            <c:showSerName val="0"/>
            <c:showPercent val="1"/>
            <c:showBubbleSize val="0"/>
            <c:showLeaderLines val="1"/>
            <c:extLst>
              <c:ext xmlns:c15="http://schemas.microsoft.com/office/drawing/2012/chart" uri="{CE6537A1-D6FC-4f65-9D91-7224C49458BB}"/>
            </c:extLst>
          </c:dLbls>
          <c:cat>
            <c:strRef>
              <c:f>[1]podesktori!$B$69:$B$76</c:f>
              <c:strCache>
                <c:ptCount val="8"/>
                <c:pt idx="0">
                  <c:v>Školstvo</c:v>
                </c:pt>
                <c:pt idx="1">
                  <c:v>Zdravstvo</c:v>
                </c:pt>
                <c:pt idx="2">
                  <c:v>Uprava</c:v>
                </c:pt>
                <c:pt idx="3">
                  <c:v>Kultura</c:v>
                </c:pt>
                <c:pt idx="4">
                  <c:v>Poslovni prostori</c:v>
                </c:pt>
                <c:pt idx="5">
                  <c:v>Zgrade članica Zagrebačkog holdinga</c:v>
                </c:pt>
                <c:pt idx="6">
                  <c:v>Zgrade komercijalnih i uslužnih djelatnosti</c:v>
                </c:pt>
                <c:pt idx="7">
                  <c:v>Kućanstva</c:v>
                </c:pt>
              </c:strCache>
            </c:strRef>
          </c:cat>
          <c:val>
            <c:numRef>
              <c:f>[1]podesktori!$C$69:$C$76</c:f>
              <c:numCache>
                <c:formatCode>General</c:formatCode>
                <c:ptCount val="8"/>
                <c:pt idx="0">
                  <c:v>24901.118546718892</c:v>
                </c:pt>
                <c:pt idx="1">
                  <c:v>18295.570581333213</c:v>
                </c:pt>
                <c:pt idx="2">
                  <c:v>2619.0158051467747</c:v>
                </c:pt>
                <c:pt idx="3">
                  <c:v>3326.9201995924668</c:v>
                </c:pt>
                <c:pt idx="4">
                  <c:v>8034.0232513745323</c:v>
                </c:pt>
                <c:pt idx="5">
                  <c:v>16101.397672393581</c:v>
                </c:pt>
                <c:pt idx="6">
                  <c:v>122024.55948121147</c:v>
                </c:pt>
                <c:pt idx="7">
                  <c:v>411284.19689304754</c:v>
                </c:pt>
              </c:numCache>
            </c:numRef>
          </c:val>
          <c:extLst>
            <c:ext xmlns:c16="http://schemas.microsoft.com/office/drawing/2014/chart" uri="{C3380CC4-5D6E-409C-BE32-E72D297353CC}">
              <c16:uniqueId val="{00000002-470A-40EB-BB3B-8BEA5654B622}"/>
            </c:ext>
          </c:extLst>
        </c:ser>
        <c:dLbls>
          <c:showLegendKey val="0"/>
          <c:showVal val="0"/>
          <c:showCatName val="0"/>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184640399873541"/>
          <c:y val="3.0095379181896847E-2"/>
          <c:w val="0.5189738185212508"/>
          <c:h val="0.74701866254448313"/>
        </c:manualLayout>
      </c:layout>
      <c:barChart>
        <c:barDir val="col"/>
        <c:grouping val="stacked"/>
        <c:varyColors val="0"/>
        <c:ser>
          <c:idx val="2"/>
          <c:order val="0"/>
          <c:tx>
            <c:strRef>
              <c:f>'[1]cilj Z'!$E$8</c:f>
              <c:strCache>
                <c:ptCount val="1"/>
                <c:pt idx="0">
                  <c:v>Stambene zgrade</c:v>
                </c:pt>
              </c:strCache>
            </c:strRef>
          </c:tx>
          <c:spPr>
            <a:gradFill>
              <a:gsLst>
                <a:gs pos="0">
                  <a:srgbClr val="002060"/>
                </a:gs>
                <a:gs pos="50000">
                  <a:srgbClr val="00B0F0"/>
                </a:gs>
                <a:gs pos="100000">
                  <a:srgbClr val="002060"/>
                </a:gs>
              </a:gsLst>
              <a:lin ang="10800000" scaled="1"/>
            </a:gradFill>
          </c:spPr>
          <c:invertIfNegative val="0"/>
          <c:cat>
            <c:strRef>
              <c:f>'[1]cilj Z'!$B$9:$B$11</c:f>
              <c:strCache>
                <c:ptCount val="3"/>
                <c:pt idx="0">
                  <c:v>Emisija 2008</c:v>
                </c:pt>
                <c:pt idx="1">
                  <c:v>Scenarij bez mjera</c:v>
                </c:pt>
                <c:pt idx="2">
                  <c:v>Scenarij s mjerama</c:v>
                </c:pt>
              </c:strCache>
            </c:strRef>
          </c:cat>
          <c:val>
            <c:numRef>
              <c:f>'[1]cilj Z'!$E$9:$E$11</c:f>
              <c:numCache>
                <c:formatCode>General</c:formatCode>
                <c:ptCount val="3"/>
                <c:pt idx="0">
                  <c:v>1121182.2238483585</c:v>
                </c:pt>
                <c:pt idx="1">
                  <c:v>1137896.4112555033</c:v>
                </c:pt>
                <c:pt idx="2">
                  <c:v>726612.21436245635</c:v>
                </c:pt>
              </c:numCache>
            </c:numRef>
          </c:val>
          <c:extLst>
            <c:ext xmlns:c16="http://schemas.microsoft.com/office/drawing/2014/chart" uri="{C3380CC4-5D6E-409C-BE32-E72D297353CC}">
              <c16:uniqueId val="{00000000-C06C-4669-B01F-512DFBC4C47A}"/>
            </c:ext>
          </c:extLst>
        </c:ser>
        <c:ser>
          <c:idx val="1"/>
          <c:order val="1"/>
          <c:tx>
            <c:strRef>
              <c:f>'[1]cilj Z'!$D$8</c:f>
              <c:strCache>
                <c:ptCount val="1"/>
                <c:pt idx="0">
                  <c:v>Zgrade komercijalnih i uslužnih djelatnosti </c:v>
                </c:pt>
              </c:strCache>
            </c:strRef>
          </c:tx>
          <c:spPr>
            <a:gradFill>
              <a:gsLst>
                <a:gs pos="0">
                  <a:srgbClr val="000000"/>
                </a:gs>
                <a:gs pos="50000">
                  <a:srgbClr val="FFFF00"/>
                </a:gs>
                <a:gs pos="100000">
                  <a:schemeClr val="tx1"/>
                </a:gs>
              </a:gsLst>
              <a:lin ang="10800000" scaled="1"/>
            </a:gradFill>
          </c:spPr>
          <c:invertIfNegative val="0"/>
          <c:cat>
            <c:strRef>
              <c:f>'[1]cilj Z'!$B$9:$B$11</c:f>
              <c:strCache>
                <c:ptCount val="3"/>
                <c:pt idx="0">
                  <c:v>Emisija 2008</c:v>
                </c:pt>
                <c:pt idx="1">
                  <c:v>Scenarij bez mjera</c:v>
                </c:pt>
                <c:pt idx="2">
                  <c:v>Scenarij s mjerama</c:v>
                </c:pt>
              </c:strCache>
            </c:strRef>
          </c:cat>
          <c:val>
            <c:numRef>
              <c:f>'[1]cilj Z'!$D$9:$D$11</c:f>
              <c:numCache>
                <c:formatCode>General</c:formatCode>
                <c:ptCount val="3"/>
                <c:pt idx="0">
                  <c:v>498789.27742558613</c:v>
                </c:pt>
                <c:pt idx="1">
                  <c:v>521666.35615590785</c:v>
                </c:pt>
                <c:pt idx="2">
                  <c:v>399641.79667469661</c:v>
                </c:pt>
              </c:numCache>
            </c:numRef>
          </c:val>
          <c:extLst>
            <c:ext xmlns:c16="http://schemas.microsoft.com/office/drawing/2014/chart" uri="{C3380CC4-5D6E-409C-BE32-E72D297353CC}">
              <c16:uniqueId val="{00000001-C06C-4669-B01F-512DFBC4C47A}"/>
            </c:ext>
          </c:extLst>
        </c:ser>
        <c:ser>
          <c:idx val="0"/>
          <c:order val="2"/>
          <c:tx>
            <c:strRef>
              <c:f>'[1]cilj Z'!$C$8</c:f>
              <c:strCache>
                <c:ptCount val="1"/>
                <c:pt idx="0">
                  <c:v>Stambene i javne zgrade u vlasništvu Grada</c:v>
                </c:pt>
              </c:strCache>
            </c:strRef>
          </c:tx>
          <c:spPr>
            <a:gradFill>
              <a:gsLst>
                <a:gs pos="0">
                  <a:srgbClr val="003300"/>
                </a:gs>
                <a:gs pos="50000">
                  <a:srgbClr val="92D050"/>
                </a:gs>
                <a:gs pos="100000">
                  <a:srgbClr val="003300"/>
                </a:gs>
              </a:gsLst>
              <a:lin ang="10800000" scaled="1"/>
            </a:gradFill>
          </c:spPr>
          <c:invertIfNegative val="0"/>
          <c:cat>
            <c:strRef>
              <c:f>'[1]cilj Z'!$B$9:$B$11</c:f>
              <c:strCache>
                <c:ptCount val="3"/>
                <c:pt idx="0">
                  <c:v>Emisija 2008</c:v>
                </c:pt>
                <c:pt idx="1">
                  <c:v>Scenarij bez mjera</c:v>
                </c:pt>
                <c:pt idx="2">
                  <c:v>Scenarij s mjerama</c:v>
                </c:pt>
              </c:strCache>
            </c:strRef>
          </c:cat>
          <c:val>
            <c:numRef>
              <c:f>'[1]cilj Z'!$C$9:$C$11</c:f>
              <c:numCache>
                <c:formatCode>General</c:formatCode>
                <c:ptCount val="3"/>
                <c:pt idx="0">
                  <c:v>139460.75901726613</c:v>
                </c:pt>
                <c:pt idx="1">
                  <c:v>140431.1827693808</c:v>
                </c:pt>
                <c:pt idx="2">
                  <c:v>67153.136712821361</c:v>
                </c:pt>
              </c:numCache>
            </c:numRef>
          </c:val>
          <c:extLst>
            <c:ext xmlns:c16="http://schemas.microsoft.com/office/drawing/2014/chart" uri="{C3380CC4-5D6E-409C-BE32-E72D297353CC}">
              <c16:uniqueId val="{00000002-C06C-4669-B01F-512DFBC4C47A}"/>
            </c:ext>
          </c:extLst>
        </c:ser>
        <c:dLbls>
          <c:showLegendKey val="0"/>
          <c:showVal val="0"/>
          <c:showCatName val="0"/>
          <c:showSerName val="0"/>
          <c:showPercent val="0"/>
          <c:showBubbleSize val="0"/>
        </c:dLbls>
        <c:gapWidth val="150"/>
        <c:overlap val="100"/>
        <c:axId val="361246208"/>
        <c:axId val="511822080"/>
      </c:barChart>
      <c:catAx>
        <c:axId val="361246208"/>
        <c:scaling>
          <c:orientation val="minMax"/>
        </c:scaling>
        <c:delete val="0"/>
        <c:axPos val="b"/>
        <c:numFmt formatCode="General" sourceLinked="0"/>
        <c:majorTickMark val="out"/>
        <c:minorTickMark val="none"/>
        <c:tickLblPos val="nextTo"/>
        <c:txPr>
          <a:bodyPr rot="-5400000" vert="horz"/>
          <a:lstStyle/>
          <a:p>
            <a:pPr>
              <a:defRPr sz="900"/>
            </a:pPr>
            <a:endParaRPr lang="sr-Latn-RS"/>
          </a:p>
        </c:txPr>
        <c:crossAx val="511822080"/>
        <c:crosses val="autoZero"/>
        <c:auto val="1"/>
        <c:lblAlgn val="ctr"/>
        <c:lblOffset val="100"/>
        <c:noMultiLvlLbl val="0"/>
      </c:catAx>
      <c:valAx>
        <c:axId val="511822080"/>
        <c:scaling>
          <c:orientation val="minMax"/>
        </c:scaling>
        <c:delete val="0"/>
        <c:axPos val="l"/>
        <c:majorGridlines>
          <c:spPr>
            <a:ln>
              <a:prstDash val="sysDash"/>
            </a:ln>
          </c:spPr>
        </c:majorGridlines>
        <c:title>
          <c:tx>
            <c:rich>
              <a:bodyPr rot="-5400000" vert="horz"/>
              <a:lstStyle/>
              <a:p>
                <a:pPr>
                  <a:defRPr/>
                </a:pPr>
                <a:r>
                  <a:rPr lang="hr-HR"/>
                  <a:t>t CO2</a:t>
                </a:r>
              </a:p>
            </c:rich>
          </c:tx>
          <c:layout>
            <c:manualLayout>
              <c:xMode val="edge"/>
              <c:yMode val="edge"/>
              <c:x val="1.8236802617646024E-2"/>
              <c:y val="0.40963028183777356"/>
            </c:manualLayout>
          </c:layout>
          <c:overlay val="0"/>
        </c:title>
        <c:numFmt formatCode="#,##0" sourceLinked="0"/>
        <c:majorTickMark val="out"/>
        <c:minorTickMark val="none"/>
        <c:tickLblPos val="nextTo"/>
        <c:crossAx val="361246208"/>
        <c:crosses val="autoZero"/>
        <c:crossBetween val="between"/>
      </c:valAx>
      <c:spPr>
        <a:ln>
          <a:solidFill>
            <a:schemeClr val="bg1">
              <a:lumMod val="50000"/>
            </a:schemeClr>
          </a:solidFill>
        </a:ln>
      </c:spPr>
    </c:plotArea>
    <c:legend>
      <c:legendPos val="r"/>
      <c:layout>
        <c:manualLayout>
          <c:xMode val="edge"/>
          <c:yMode val="edge"/>
          <c:x val="0.72934471985927773"/>
          <c:y val="0.40773535383548754"/>
          <c:w val="0.26576668048072927"/>
          <c:h val="0.38902811995126579"/>
        </c:manualLayout>
      </c:layout>
      <c:overlay val="0"/>
      <c:txPr>
        <a:bodyPr/>
        <a:lstStyle/>
        <a:p>
          <a:pPr>
            <a:defRPr sz="900"/>
          </a:pPr>
          <a:endParaRPr lang="sr-Latn-RS"/>
        </a:p>
      </c:txPr>
    </c:legend>
    <c:plotVisOnly val="1"/>
    <c:dispBlanksAs val="gap"/>
    <c:showDLblsOverMax val="0"/>
  </c:chart>
  <c:spPr>
    <a:ln>
      <a:noFill/>
    </a:ln>
  </c:spPr>
  <c:txPr>
    <a:bodyPr/>
    <a:lstStyle/>
    <a:p>
      <a:pPr>
        <a:defRPr sz="1000">
          <a:latin typeface="+mn-lt"/>
          <a:cs typeface="Arial" pitchFamily="34" charset="0"/>
        </a:defRPr>
      </a:pPr>
      <a:endParaRPr lang="sr-Latn-R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view3D>
      <c:rotX val="30"/>
      <c:rotY val="100"/>
      <c:rAngAx val="0"/>
      <c:perspective val="10"/>
    </c:view3D>
    <c:floor>
      <c:thickness val="0"/>
    </c:floor>
    <c:sideWall>
      <c:thickness val="0"/>
    </c:sideWall>
    <c:backWall>
      <c:thickness val="0"/>
    </c:backWall>
    <c:plotArea>
      <c:layout>
        <c:manualLayout>
          <c:layoutTarget val="inner"/>
          <c:xMode val="edge"/>
          <c:yMode val="edge"/>
          <c:x val="9.6612296110414053E-2"/>
          <c:y val="9.7500000000000045E-2"/>
          <c:w val="0.64240903387703885"/>
          <c:h val="0.8"/>
        </c:manualLayout>
      </c:layout>
      <c:pie3DChart>
        <c:varyColors val="1"/>
        <c:ser>
          <c:idx val="0"/>
          <c:order val="0"/>
          <c:tx>
            <c:strRef>
              <c:f>'[1]projekcije potrošnje i emisije'!$C$82</c:f>
              <c:strCache>
                <c:ptCount val="1"/>
                <c:pt idx="0">
                  <c:v>potencijal smanjenja</c:v>
                </c:pt>
              </c:strCache>
            </c:strRef>
          </c:tx>
          <c:dLbls>
            <c:dLbl>
              <c:idx val="0"/>
              <c:layout>
                <c:manualLayout>
                  <c:x val="0.18237082066869287"/>
                  <c:y val="8.609711286089274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666-447A-B30F-67FF90EDBEC9}"/>
                </c:ext>
              </c:extLst>
            </c:dLbl>
            <c:dLbl>
              <c:idx val="1"/>
              <c:layout>
                <c:manualLayout>
                  <c:x val="4.2666429557033571E-2"/>
                  <c:y val="-0.1726175853018374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666-447A-B30F-67FF90EDBEC9}"/>
                </c:ext>
              </c:extLst>
            </c:dLbl>
            <c:dLbl>
              <c:idx val="2"/>
              <c:layout>
                <c:manualLayout>
                  <c:x val="6.0473494765475519E-2"/>
                  <c:y val="2.3097112860892416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666-447A-B30F-67FF90EDBEC9}"/>
                </c:ext>
              </c:extLst>
            </c:dLbl>
            <c:numFmt formatCode="0.0%" sourceLinked="0"/>
            <c:spPr>
              <a:noFill/>
              <a:ln>
                <a:noFill/>
              </a:ln>
              <a:effectLst/>
            </c:spPr>
            <c:txPr>
              <a:bodyPr/>
              <a:lstStyle/>
              <a:p>
                <a:pPr>
                  <a:defRPr sz="900">
                    <a:latin typeface="+mn-lt"/>
                    <a:cs typeface="Arial" pitchFamily="34" charset="0"/>
                  </a:defRPr>
                </a:pPr>
                <a:endParaRPr lang="sr-Latn-RS"/>
              </a:p>
            </c:txPr>
            <c:showLegendKey val="0"/>
            <c:showVal val="0"/>
            <c:showCatName val="1"/>
            <c:showSerName val="0"/>
            <c:showPercent val="1"/>
            <c:showBubbleSize val="0"/>
            <c:showLeaderLines val="1"/>
            <c:extLst>
              <c:ext xmlns:c15="http://schemas.microsoft.com/office/drawing/2012/chart" uri="{CE6537A1-D6FC-4f65-9D91-7224C49458BB}"/>
            </c:extLst>
          </c:dLbls>
          <c:cat>
            <c:strRef>
              <c:f>'[1]projekcije potrošnje i emisije'!$B$83:$B$85</c:f>
              <c:strCache>
                <c:ptCount val="3"/>
                <c:pt idx="0">
                  <c:v>Osobna i komercijalna vozila</c:v>
                </c:pt>
                <c:pt idx="1">
                  <c:v>Vozila u vlasništvu grada</c:v>
                </c:pt>
                <c:pt idx="2">
                  <c:v>Javni prijevoz</c:v>
                </c:pt>
              </c:strCache>
            </c:strRef>
          </c:cat>
          <c:val>
            <c:numRef>
              <c:f>'[1]projekcije potrošnje i emisije'!$C$83:$C$85</c:f>
              <c:numCache>
                <c:formatCode>General</c:formatCode>
                <c:ptCount val="3"/>
                <c:pt idx="0">
                  <c:v>288844.17216476676</c:v>
                </c:pt>
                <c:pt idx="1">
                  <c:v>570.99373392154234</c:v>
                </c:pt>
                <c:pt idx="2">
                  <c:v>10407.878223147529</c:v>
                </c:pt>
              </c:numCache>
            </c:numRef>
          </c:val>
          <c:extLst>
            <c:ext xmlns:c16="http://schemas.microsoft.com/office/drawing/2014/chart" uri="{C3380CC4-5D6E-409C-BE32-E72D297353CC}">
              <c16:uniqueId val="{00000003-B666-447A-B30F-67FF90EDBEC9}"/>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649210515352249E-2"/>
          <c:y val="5.3921697690950739E-2"/>
          <c:w val="0.72413812658016763"/>
          <c:h val="0.84149728227736809"/>
        </c:manualLayout>
      </c:layout>
      <c:barChart>
        <c:barDir val="col"/>
        <c:grouping val="stacked"/>
        <c:varyColors val="0"/>
        <c:ser>
          <c:idx val="0"/>
          <c:order val="0"/>
          <c:tx>
            <c:strRef>
              <c:f>[1]emisije!$B$136</c:f>
              <c:strCache>
                <c:ptCount val="1"/>
                <c:pt idx="0">
                  <c:v>Benzinska</c:v>
                </c:pt>
              </c:strCache>
            </c:strRef>
          </c:tx>
          <c:spPr>
            <a:gradFill rotWithShape="0">
              <a:gsLst>
                <a:gs pos="0">
                  <a:srgbClr val="00CCFF">
                    <a:gamma/>
                    <a:shade val="16078"/>
                    <a:invGamma/>
                  </a:srgbClr>
                </a:gs>
                <a:gs pos="50000">
                  <a:srgbClr val="00CCFF"/>
                </a:gs>
                <a:gs pos="100000">
                  <a:srgbClr val="00CCFF">
                    <a:gamma/>
                    <a:shade val="16078"/>
                    <a:invGamma/>
                  </a:srgbClr>
                </a:gs>
              </a:gsLst>
              <a:lin ang="0" scaled="1"/>
            </a:gradFill>
            <a:ln w="25400">
              <a:noFill/>
            </a:ln>
          </c:spPr>
          <c:invertIfNegative val="0"/>
          <c:cat>
            <c:strRef>
              <c:f>[1]emisije!$C$135:$F$135</c:f>
              <c:strCache>
                <c:ptCount val="4"/>
                <c:pt idx="0">
                  <c:v>Osobna vozila</c:v>
                </c:pt>
                <c:pt idx="1">
                  <c:v>Teretna vozila</c:v>
                </c:pt>
                <c:pt idx="2">
                  <c:v>Mopedi i motocikli</c:v>
                </c:pt>
                <c:pt idx="3">
                  <c:v>Autobusi</c:v>
                </c:pt>
              </c:strCache>
            </c:strRef>
          </c:cat>
          <c:val>
            <c:numRef>
              <c:f>[1]emisije!$C$136:$F$136</c:f>
              <c:numCache>
                <c:formatCode>General</c:formatCode>
                <c:ptCount val="4"/>
                <c:pt idx="0">
                  <c:v>53.291275796241365</c:v>
                </c:pt>
                <c:pt idx="1">
                  <c:v>0.73705270626736141</c:v>
                </c:pt>
                <c:pt idx="2">
                  <c:v>6.1527248505501255</c:v>
                </c:pt>
                <c:pt idx="3">
                  <c:v>0</c:v>
                </c:pt>
              </c:numCache>
            </c:numRef>
          </c:val>
          <c:extLst>
            <c:ext xmlns:c16="http://schemas.microsoft.com/office/drawing/2014/chart" uri="{C3380CC4-5D6E-409C-BE32-E72D297353CC}">
              <c16:uniqueId val="{00000000-1B28-4D82-B1B5-FA46BC449097}"/>
            </c:ext>
          </c:extLst>
        </c:ser>
        <c:ser>
          <c:idx val="1"/>
          <c:order val="1"/>
          <c:tx>
            <c:strRef>
              <c:f>[1]emisije!$B$137</c:f>
              <c:strCache>
                <c:ptCount val="1"/>
                <c:pt idx="0">
                  <c:v>Dizel</c:v>
                </c:pt>
              </c:strCache>
            </c:strRef>
          </c:tx>
          <c:spPr>
            <a:gradFill rotWithShape="0">
              <a:gsLst>
                <a:gs pos="0">
                  <a:srgbClr val="0000FF">
                    <a:gamma/>
                    <a:shade val="26275"/>
                    <a:invGamma/>
                  </a:srgbClr>
                </a:gs>
                <a:gs pos="50000">
                  <a:srgbClr val="0000FF"/>
                </a:gs>
                <a:gs pos="100000">
                  <a:srgbClr val="0000FF">
                    <a:gamma/>
                    <a:shade val="26275"/>
                    <a:invGamma/>
                  </a:srgbClr>
                </a:gs>
              </a:gsLst>
              <a:lin ang="0" scaled="1"/>
            </a:gradFill>
            <a:ln w="25400">
              <a:noFill/>
            </a:ln>
          </c:spPr>
          <c:invertIfNegative val="0"/>
          <c:dLbls>
            <c:dLbl>
              <c:idx val="0"/>
              <c:layout>
                <c:manualLayout>
                  <c:x val="1.3647925724700563E-2"/>
                  <c:y val="-0.16524603892136919"/>
                </c:manualLayout>
              </c:layout>
              <c:tx>
                <c:rich>
                  <a:bodyPr/>
                  <a:lstStyle/>
                  <a:p>
                    <a:r>
                      <a:rPr lang="hr-HR"/>
                      <a:t>81,1%</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28-4D82-B1B5-FA46BC449097}"/>
                </c:ext>
              </c:extLst>
            </c:dLbl>
            <c:dLbl>
              <c:idx val="1"/>
              <c:layout>
                <c:manualLayout>
                  <c:x val="7.3369745137804128E-3"/>
                  <c:y val="-7.2329284022871781E-2"/>
                </c:manualLayout>
              </c:layout>
              <c:tx>
                <c:rich>
                  <a:bodyPr/>
                  <a:lstStyle/>
                  <a:p>
                    <a:r>
                      <a:rPr lang="hr-HR"/>
                      <a:t>12,5%</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28-4D82-B1B5-FA46BC449097}"/>
                </c:ext>
              </c:extLst>
            </c:dLbl>
            <c:dLbl>
              <c:idx val="2"/>
              <c:layout>
                <c:manualLayout>
                  <c:x val="5.7229351453815739E-4"/>
                  <c:y val="-1.5243889134885188E-2"/>
                </c:manualLayout>
              </c:layout>
              <c:tx>
                <c:rich>
                  <a:bodyPr/>
                  <a:lstStyle/>
                  <a:p>
                    <a:r>
                      <a:rPr lang="hr-HR"/>
                      <a:t>6,2%</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28-4D82-B1B5-FA46BC449097}"/>
                </c:ext>
              </c:extLst>
            </c:dLbl>
            <c:dLbl>
              <c:idx val="3"/>
              <c:layout>
                <c:manualLayout>
                  <c:x val="1.472945332694842E-2"/>
                  <c:y val="-3.2240275158942212E-2"/>
                </c:manualLayout>
              </c:layout>
              <c:tx>
                <c:rich>
                  <a:bodyPr/>
                  <a:lstStyle/>
                  <a:p>
                    <a:r>
                      <a:rPr lang="hr-HR"/>
                      <a:t>0,2%</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28-4D82-B1B5-FA46BC449097}"/>
                </c:ext>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[1]emisije!$C$135:$F$135</c:f>
              <c:strCache>
                <c:ptCount val="4"/>
                <c:pt idx="0">
                  <c:v>Osobna vozila</c:v>
                </c:pt>
                <c:pt idx="1">
                  <c:v>Teretna vozila</c:v>
                </c:pt>
                <c:pt idx="2">
                  <c:v>Mopedi i motocikli</c:v>
                </c:pt>
                <c:pt idx="3">
                  <c:v>Autobusi</c:v>
                </c:pt>
              </c:strCache>
            </c:strRef>
          </c:cat>
          <c:val>
            <c:numRef>
              <c:f>[1]emisije!$C$137:$F$137</c:f>
              <c:numCache>
                <c:formatCode>General</c:formatCode>
                <c:ptCount val="4"/>
                <c:pt idx="0">
                  <c:v>26.664703767077828</c:v>
                </c:pt>
                <c:pt idx="1">
                  <c:v>11.725750748757701</c:v>
                </c:pt>
                <c:pt idx="2">
                  <c:v>0</c:v>
                </c:pt>
                <c:pt idx="3">
                  <c:v>0.22951444782588851</c:v>
                </c:pt>
              </c:numCache>
            </c:numRef>
          </c:val>
          <c:extLst>
            <c:ext xmlns:c16="http://schemas.microsoft.com/office/drawing/2014/chart" uri="{C3380CC4-5D6E-409C-BE32-E72D297353CC}">
              <c16:uniqueId val="{00000005-1B28-4D82-B1B5-FA46BC449097}"/>
            </c:ext>
          </c:extLst>
        </c:ser>
        <c:ser>
          <c:idx val="2"/>
          <c:order val="2"/>
          <c:tx>
            <c:strRef>
              <c:f>[1]emisije!$B$138</c:f>
              <c:strCache>
                <c:ptCount val="1"/>
                <c:pt idx="0">
                  <c:v>UNP</c:v>
                </c:pt>
              </c:strCache>
            </c:strRef>
          </c:tx>
          <c:spPr>
            <a:gradFill rotWithShape="0">
              <a:gsLst>
                <a:gs pos="0">
                  <a:srgbClr val="99CC00">
                    <a:gamma/>
                    <a:shade val="0"/>
                    <a:invGamma/>
                  </a:srgbClr>
                </a:gs>
                <a:gs pos="50000">
                  <a:srgbClr val="99CC00"/>
                </a:gs>
                <a:gs pos="100000">
                  <a:srgbClr val="99CC00">
                    <a:gamma/>
                    <a:shade val="0"/>
                    <a:invGamma/>
                  </a:srgbClr>
                </a:gs>
              </a:gsLst>
              <a:lin ang="0" scaled="1"/>
            </a:gradFill>
            <a:ln w="25400">
              <a:noFill/>
            </a:ln>
          </c:spPr>
          <c:invertIfNegative val="0"/>
          <c:cat>
            <c:strRef>
              <c:f>[1]emisije!$C$135:$F$135</c:f>
              <c:strCache>
                <c:ptCount val="4"/>
                <c:pt idx="0">
                  <c:v>Osobna vozila</c:v>
                </c:pt>
                <c:pt idx="1">
                  <c:v>Teretna vozila</c:v>
                </c:pt>
                <c:pt idx="2">
                  <c:v>Mopedi i motocikli</c:v>
                </c:pt>
                <c:pt idx="3">
                  <c:v>Autobusi</c:v>
                </c:pt>
              </c:strCache>
            </c:strRef>
          </c:cat>
          <c:val>
            <c:numRef>
              <c:f>[1]emisije!$C$138:$F$138</c:f>
              <c:numCache>
                <c:formatCode>General</c:formatCode>
                <c:ptCount val="4"/>
                <c:pt idx="0">
                  <c:v>1.1989776832797161</c:v>
                </c:pt>
                <c:pt idx="1">
                  <c:v>0</c:v>
                </c:pt>
                <c:pt idx="2">
                  <c:v>0</c:v>
                </c:pt>
                <c:pt idx="3">
                  <c:v>0</c:v>
                </c:pt>
              </c:numCache>
            </c:numRef>
          </c:val>
          <c:extLst>
            <c:ext xmlns:c16="http://schemas.microsoft.com/office/drawing/2014/chart" uri="{C3380CC4-5D6E-409C-BE32-E72D297353CC}">
              <c16:uniqueId val="{00000006-1B28-4D82-B1B5-FA46BC449097}"/>
            </c:ext>
          </c:extLst>
        </c:ser>
        <c:dLbls>
          <c:showLegendKey val="0"/>
          <c:showVal val="0"/>
          <c:showCatName val="0"/>
          <c:showSerName val="0"/>
          <c:showPercent val="0"/>
          <c:showBubbleSize val="0"/>
        </c:dLbls>
        <c:gapWidth val="150"/>
        <c:overlap val="100"/>
        <c:axId val="354193408"/>
        <c:axId val="458278592"/>
      </c:barChart>
      <c:catAx>
        <c:axId val="3541934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458278592"/>
        <c:crosses val="autoZero"/>
        <c:auto val="1"/>
        <c:lblAlgn val="ctr"/>
        <c:lblOffset val="100"/>
        <c:tickLblSkip val="1"/>
        <c:tickMarkSkip val="1"/>
        <c:noMultiLvlLbl val="0"/>
      </c:catAx>
      <c:valAx>
        <c:axId val="458278592"/>
        <c:scaling>
          <c:orientation val="minMax"/>
        </c:scaling>
        <c:delete val="0"/>
        <c:axPos val="l"/>
        <c:majorGridlines>
          <c:spPr>
            <a:ln w="3175">
              <a:solidFill>
                <a:srgbClr val="808080"/>
              </a:solidFill>
              <a:prstDash val="sysDash"/>
            </a:ln>
          </c:spPr>
        </c:majorGridlines>
        <c:title>
          <c:tx>
            <c:rich>
              <a:bodyPr/>
              <a:lstStyle/>
              <a:p>
                <a:pPr>
                  <a:defRPr/>
                </a:pPr>
                <a:r>
                  <a:rPr lang="hr-HR"/>
                  <a:t>%</a:t>
                </a:r>
              </a:p>
            </c:rich>
          </c:tx>
          <c:layout>
            <c:manualLayout>
              <c:xMode val="edge"/>
              <c:yMode val="edge"/>
              <c:x val="1.4089238845144358E-2"/>
              <c:y val="0.4159546682581569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354193408"/>
        <c:crosses val="autoZero"/>
        <c:crossBetween val="between"/>
      </c:valAx>
      <c:spPr>
        <a:solidFill>
          <a:srgbClr val="FFFFFF"/>
        </a:solidFill>
        <a:ln w="12700">
          <a:solidFill>
            <a:srgbClr val="000000"/>
          </a:solidFill>
          <a:prstDash val="solid"/>
        </a:ln>
      </c:spPr>
    </c:plotArea>
    <c:legend>
      <c:legendPos val="r"/>
      <c:layout>
        <c:manualLayout>
          <c:xMode val="edge"/>
          <c:yMode val="edge"/>
          <c:x val="0.83844619422572153"/>
          <c:y val="0.39789281840992591"/>
          <c:w val="0.14090771500277799"/>
          <c:h val="0.22039671691405224"/>
        </c:manualLayout>
      </c:layout>
      <c:overlay val="0"/>
      <c:spPr>
        <a:solidFill>
          <a:srgbClr val="FFFFFF"/>
        </a:solidFill>
        <a:ln w="25400">
          <a:noFill/>
        </a:ln>
      </c:sp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mn-lt"/>
          <a:ea typeface="Arial"/>
          <a:cs typeface="Arial"/>
        </a:defRPr>
      </a:pPr>
      <a:endParaRPr lang="sr-Latn-R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01929625425674"/>
          <c:y val="3.1319910514541492E-2"/>
          <c:w val="0.5437003405221339"/>
          <c:h val="0.86800894854586164"/>
        </c:manualLayout>
      </c:layout>
      <c:barChart>
        <c:barDir val="col"/>
        <c:grouping val="stacked"/>
        <c:varyColors val="0"/>
        <c:ser>
          <c:idx val="0"/>
          <c:order val="0"/>
          <c:tx>
            <c:strRef>
              <c:f>'[1]Cilj 2020'!$C$29</c:f>
              <c:strCache>
                <c:ptCount val="1"/>
                <c:pt idx="0">
                  <c:v>Osobna i komercijalna vozila</c:v>
                </c:pt>
              </c:strCache>
            </c:strRef>
          </c:tx>
          <c:spPr>
            <a:gradFill flip="none" rotWithShape="1">
              <a:gsLst>
                <a:gs pos="0">
                  <a:srgbClr val="003643"/>
                </a:gs>
                <a:gs pos="50000">
                  <a:srgbClr val="00CCFF"/>
                </a:gs>
                <a:gs pos="100000">
                  <a:srgbClr val="003643"/>
                </a:gs>
              </a:gsLst>
              <a:lin ang="10800000" scaled="1"/>
              <a:tileRect/>
            </a:gradFill>
          </c:spPr>
          <c:invertIfNegative val="0"/>
          <c:cat>
            <c:strRef>
              <c:f>'[1]Cilj 2020'!$B$30:$B$32</c:f>
              <c:strCache>
                <c:ptCount val="3"/>
                <c:pt idx="0">
                  <c:v>Emisija 2008</c:v>
                </c:pt>
                <c:pt idx="1">
                  <c:v>BAU Scenarij</c:v>
                </c:pt>
                <c:pt idx="2">
                  <c:v>Scenarij s mjerama</c:v>
                </c:pt>
              </c:strCache>
            </c:strRef>
          </c:cat>
          <c:val>
            <c:numRef>
              <c:f>'[1]Cilj 2020'!$C$30:$C$32</c:f>
              <c:numCache>
                <c:formatCode>General</c:formatCode>
                <c:ptCount val="3"/>
                <c:pt idx="0">
                  <c:v>936463.24000000011</c:v>
                </c:pt>
                <c:pt idx="1">
                  <c:v>1094872.613445875</c:v>
                </c:pt>
                <c:pt idx="2">
                  <c:v>806028.44128110423</c:v>
                </c:pt>
              </c:numCache>
            </c:numRef>
          </c:val>
          <c:extLst>
            <c:ext xmlns:c16="http://schemas.microsoft.com/office/drawing/2014/chart" uri="{C3380CC4-5D6E-409C-BE32-E72D297353CC}">
              <c16:uniqueId val="{00000000-AE01-4657-A121-AC2114D6B6F3}"/>
            </c:ext>
          </c:extLst>
        </c:ser>
        <c:ser>
          <c:idx val="1"/>
          <c:order val="1"/>
          <c:tx>
            <c:strRef>
              <c:f>'[1]Cilj 2020'!$D$29</c:f>
              <c:strCache>
                <c:ptCount val="1"/>
                <c:pt idx="0">
                  <c:v>Javni prijevoz</c:v>
                </c:pt>
              </c:strCache>
            </c:strRef>
          </c:tx>
          <c:spPr>
            <a:gradFill>
              <a:gsLst>
                <a:gs pos="0">
                  <a:srgbClr val="470000"/>
                </a:gs>
                <a:gs pos="50000">
                  <a:srgbClr val="FFFF00"/>
                </a:gs>
                <a:gs pos="100000">
                  <a:srgbClr val="470000"/>
                </a:gs>
              </a:gsLst>
              <a:lin ang="10800000" scaled="1"/>
            </a:gradFill>
          </c:spPr>
          <c:invertIfNegative val="0"/>
          <c:cat>
            <c:strRef>
              <c:f>'[1]Cilj 2020'!$B$30:$B$32</c:f>
              <c:strCache>
                <c:ptCount val="3"/>
                <c:pt idx="0">
                  <c:v>Emisija 2008</c:v>
                </c:pt>
                <c:pt idx="1">
                  <c:v>BAU Scenarij</c:v>
                </c:pt>
                <c:pt idx="2">
                  <c:v>Scenarij s mjerama</c:v>
                </c:pt>
              </c:strCache>
            </c:strRef>
          </c:cat>
          <c:val>
            <c:numRef>
              <c:f>'[1]Cilj 2020'!$D$30:$D$32</c:f>
              <c:numCache>
                <c:formatCode>General</c:formatCode>
                <c:ptCount val="3"/>
                <c:pt idx="0">
                  <c:v>56320.9</c:v>
                </c:pt>
                <c:pt idx="1">
                  <c:v>62850.724483149585</c:v>
                </c:pt>
                <c:pt idx="2">
                  <c:v>52442.846260002203</c:v>
                </c:pt>
              </c:numCache>
            </c:numRef>
          </c:val>
          <c:extLst>
            <c:ext xmlns:c16="http://schemas.microsoft.com/office/drawing/2014/chart" uri="{C3380CC4-5D6E-409C-BE32-E72D297353CC}">
              <c16:uniqueId val="{00000001-AE01-4657-A121-AC2114D6B6F3}"/>
            </c:ext>
          </c:extLst>
        </c:ser>
        <c:ser>
          <c:idx val="2"/>
          <c:order val="2"/>
          <c:tx>
            <c:strRef>
              <c:f>'[1]Cilj 2020'!$E$29</c:f>
              <c:strCache>
                <c:ptCount val="1"/>
                <c:pt idx="0">
                  <c:v>Vozila u vlasništvu Grada</c:v>
                </c:pt>
              </c:strCache>
            </c:strRef>
          </c:tx>
          <c:spPr>
            <a:gradFill>
              <a:gsLst>
                <a:gs pos="0">
                  <a:srgbClr val="00220F"/>
                </a:gs>
                <a:gs pos="50000">
                  <a:srgbClr val="92D050"/>
                </a:gs>
                <a:gs pos="100000">
                  <a:srgbClr val="00220F"/>
                </a:gs>
              </a:gsLst>
              <a:lin ang="10800000" scaled="1"/>
            </a:gradFill>
          </c:spPr>
          <c:invertIfNegative val="0"/>
          <c:cat>
            <c:strRef>
              <c:f>'[1]Cilj 2020'!$B$30:$B$32</c:f>
              <c:strCache>
                <c:ptCount val="3"/>
                <c:pt idx="0">
                  <c:v>Emisija 2008</c:v>
                </c:pt>
                <c:pt idx="1">
                  <c:v>BAU Scenarij</c:v>
                </c:pt>
                <c:pt idx="2">
                  <c:v>Scenarij s mjerama</c:v>
                </c:pt>
              </c:strCache>
            </c:strRef>
          </c:cat>
          <c:val>
            <c:numRef>
              <c:f>'[1]Cilj 2020'!$E$30:$E$32</c:f>
              <c:numCache>
                <c:formatCode>General</c:formatCode>
                <c:ptCount val="3"/>
                <c:pt idx="0">
                  <c:v>14658.93</c:v>
                </c:pt>
                <c:pt idx="1">
                  <c:v>18456.523920373496</c:v>
                </c:pt>
                <c:pt idx="2">
                  <c:v>17885.530186452022</c:v>
                </c:pt>
              </c:numCache>
            </c:numRef>
          </c:val>
          <c:extLst>
            <c:ext xmlns:c16="http://schemas.microsoft.com/office/drawing/2014/chart" uri="{C3380CC4-5D6E-409C-BE32-E72D297353CC}">
              <c16:uniqueId val="{00000002-AE01-4657-A121-AC2114D6B6F3}"/>
            </c:ext>
          </c:extLst>
        </c:ser>
        <c:dLbls>
          <c:showLegendKey val="0"/>
          <c:showVal val="0"/>
          <c:showCatName val="0"/>
          <c:showSerName val="0"/>
          <c:showPercent val="0"/>
          <c:showBubbleSize val="0"/>
        </c:dLbls>
        <c:gapWidth val="150"/>
        <c:overlap val="100"/>
        <c:axId val="365270016"/>
        <c:axId val="511824960"/>
      </c:barChart>
      <c:catAx>
        <c:axId val="365270016"/>
        <c:scaling>
          <c:orientation val="minMax"/>
        </c:scaling>
        <c:delete val="0"/>
        <c:axPos val="b"/>
        <c:numFmt formatCode="General" sourceLinked="1"/>
        <c:majorTickMark val="out"/>
        <c:minorTickMark val="none"/>
        <c:tickLblPos val="nextTo"/>
        <c:txPr>
          <a:bodyPr/>
          <a:lstStyle/>
          <a:p>
            <a:pPr>
              <a:defRPr sz="900"/>
            </a:pPr>
            <a:endParaRPr lang="sr-Latn-RS"/>
          </a:p>
        </c:txPr>
        <c:crossAx val="511824960"/>
        <c:crosses val="autoZero"/>
        <c:auto val="1"/>
        <c:lblAlgn val="ctr"/>
        <c:lblOffset val="100"/>
        <c:noMultiLvlLbl val="0"/>
      </c:catAx>
      <c:valAx>
        <c:axId val="511824960"/>
        <c:scaling>
          <c:orientation val="minMax"/>
        </c:scaling>
        <c:delete val="0"/>
        <c:axPos val="l"/>
        <c:majorGridlines>
          <c:spPr>
            <a:ln>
              <a:solidFill>
                <a:sysClr val="window" lastClr="FFFFFF">
                  <a:lumMod val="65000"/>
                </a:sysClr>
              </a:solidFill>
              <a:prstDash val="sysDash"/>
            </a:ln>
          </c:spPr>
        </c:majorGridlines>
        <c:title>
          <c:tx>
            <c:rich>
              <a:bodyPr rot="-5400000" vert="horz"/>
              <a:lstStyle/>
              <a:p>
                <a:pPr>
                  <a:defRPr/>
                </a:pPr>
                <a:r>
                  <a:rPr lang="hr-HR"/>
                  <a:t>t CO2</a:t>
                </a:r>
              </a:p>
            </c:rich>
          </c:tx>
          <c:overlay val="0"/>
        </c:title>
        <c:numFmt formatCode="#,##0" sourceLinked="0"/>
        <c:majorTickMark val="out"/>
        <c:minorTickMark val="none"/>
        <c:tickLblPos val="nextTo"/>
        <c:crossAx val="365270016"/>
        <c:crosses val="autoZero"/>
        <c:crossBetween val="between"/>
        <c:majorUnit val="200000"/>
      </c:valAx>
      <c:spPr>
        <a:ln>
          <a:solidFill>
            <a:schemeClr val="bg1">
              <a:lumMod val="65000"/>
            </a:schemeClr>
          </a:solidFill>
        </a:ln>
      </c:spPr>
    </c:plotArea>
    <c:legend>
      <c:legendPos val="r"/>
      <c:layout>
        <c:manualLayout>
          <c:xMode val="edge"/>
          <c:yMode val="edge"/>
          <c:x val="0.70475426099546867"/>
          <c:y val="0.40119501840793209"/>
          <c:w val="0.28504163426790718"/>
          <c:h val="0.24360172480712441"/>
        </c:manualLayout>
      </c:layout>
      <c:overlay val="0"/>
      <c:txPr>
        <a:bodyPr/>
        <a:lstStyle/>
        <a:p>
          <a:pPr>
            <a:defRPr sz="900"/>
          </a:pPr>
          <a:endParaRPr lang="sr-Latn-RS"/>
        </a:p>
      </c:txPr>
    </c:legend>
    <c:plotVisOnly val="1"/>
    <c:dispBlanksAs val="gap"/>
    <c:showDLblsOverMax val="0"/>
  </c:chart>
  <c:spPr>
    <a:ln>
      <a:noFill/>
    </a:ln>
  </c:spPr>
  <c:txPr>
    <a:bodyPr/>
    <a:lstStyle/>
    <a:p>
      <a:pPr>
        <a:defRPr sz="1000">
          <a:latin typeface="+mn-lt"/>
          <a:cs typeface="Arial" pitchFamily="34" charset="0"/>
        </a:defRPr>
      </a:pPr>
      <a:endParaRPr lang="sr-Latn-R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view3D>
      <c:rotX val="30"/>
      <c:rotY val="100"/>
      <c:rAngAx val="0"/>
      <c:perspective val="10"/>
    </c:view3D>
    <c:floor>
      <c:thickness val="0"/>
    </c:floor>
    <c:sideWall>
      <c:thickness val="0"/>
    </c:sideWall>
    <c:backWall>
      <c:thickness val="0"/>
    </c:backWall>
    <c:plotArea>
      <c:layout>
        <c:manualLayout>
          <c:layoutTarget val="inner"/>
          <c:xMode val="edge"/>
          <c:yMode val="edge"/>
          <c:x val="9.5238211787050372E-2"/>
          <c:y val="9.7256857855361603E-2"/>
          <c:w val="0.6441110639282096"/>
          <c:h val="0.80049875311720697"/>
        </c:manualLayout>
      </c:layout>
      <c:pie3DChart>
        <c:varyColors val="1"/>
        <c:ser>
          <c:idx val="0"/>
          <c:order val="0"/>
          <c:tx>
            <c:strRef>
              <c:f>[1]Sheet1!$B$40</c:f>
              <c:strCache>
                <c:ptCount val="1"/>
                <c:pt idx="0">
                  <c:v>potencijali smanjenja</c:v>
                </c:pt>
              </c:strCache>
            </c:strRef>
          </c:tx>
          <c:dLbls>
            <c:dLbl>
              <c:idx val="0"/>
              <c:layout>
                <c:manualLayout>
                  <c:x val="-0.14379965662186991"/>
                  <c:y val="-0.2881473481650202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6C1-4579-8666-28C11BCDB735}"/>
                </c:ext>
              </c:extLst>
            </c:dLbl>
            <c:dLbl>
              <c:idx val="1"/>
              <c:layout>
                <c:manualLayout>
                  <c:x val="0.17687328557614604"/>
                  <c:y val="0.1797754956440927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6C1-4579-8666-28C11BCDB735}"/>
                </c:ext>
              </c:extLst>
            </c:dLbl>
            <c:dLbl>
              <c:idx val="2"/>
              <c:layout>
                <c:manualLayout>
                  <c:x val="4.9658457081710822E-2"/>
                  <c:y val="-0.1886306382102785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6C1-4579-8666-28C11BCDB735}"/>
                </c:ext>
              </c:extLst>
            </c:dLbl>
            <c:numFmt formatCode="0.0%" sourceLinked="0"/>
            <c:spPr>
              <a:noFill/>
              <a:ln>
                <a:noFill/>
              </a:ln>
              <a:effectLst/>
            </c:spPr>
            <c:txPr>
              <a:bodyPr/>
              <a:lstStyle/>
              <a:p>
                <a:pPr>
                  <a:defRPr sz="900">
                    <a:latin typeface="+mn-lt"/>
                    <a:cs typeface="Arial" pitchFamily="34" charset="0"/>
                  </a:defRPr>
                </a:pPr>
                <a:endParaRPr lang="sr-Latn-RS"/>
              </a:p>
            </c:txPr>
            <c:showLegendKey val="0"/>
            <c:showVal val="0"/>
            <c:showCatName val="1"/>
            <c:showSerName val="0"/>
            <c:showPercent val="1"/>
            <c:showBubbleSize val="0"/>
            <c:showLeaderLines val="1"/>
            <c:extLst>
              <c:ext xmlns:c15="http://schemas.microsoft.com/office/drawing/2012/chart" uri="{CE6537A1-D6FC-4f65-9D91-7224C49458BB}"/>
            </c:extLst>
          </c:dLbls>
          <c:cat>
            <c:strRef>
              <c:f>[1]Sheet1!$C$40:$C$42</c:f>
              <c:strCache>
                <c:ptCount val="3"/>
                <c:pt idx="0">
                  <c:v>Promet</c:v>
                </c:pt>
                <c:pt idx="1">
                  <c:v>Zgradarstvo</c:v>
                </c:pt>
                <c:pt idx="2">
                  <c:v>Javna rasvjeta</c:v>
                </c:pt>
              </c:strCache>
            </c:strRef>
          </c:cat>
          <c:val>
            <c:numRef>
              <c:f>[1]Sheet1!$D$40:$D$42</c:f>
              <c:numCache>
                <c:formatCode>General</c:formatCode>
                <c:ptCount val="3"/>
                <c:pt idx="0">
                  <c:v>299823.04412183719</c:v>
                </c:pt>
                <c:pt idx="1">
                  <c:v>606586.80243081902</c:v>
                </c:pt>
                <c:pt idx="2">
                  <c:v>7857.6210000000192</c:v>
                </c:pt>
              </c:numCache>
            </c:numRef>
          </c:val>
          <c:extLst>
            <c:ext xmlns:c16="http://schemas.microsoft.com/office/drawing/2014/chart" uri="{C3380CC4-5D6E-409C-BE32-E72D297353CC}">
              <c16:uniqueId val="{00000003-86C1-4579-8666-28C11BCDB735}"/>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4205933739796"/>
          <c:y val="5.8685580540228294E-2"/>
          <c:w val="0.58396242514072338"/>
          <c:h val="0.82864039722802474"/>
        </c:manualLayout>
      </c:layout>
      <c:barChart>
        <c:barDir val="col"/>
        <c:grouping val="stacked"/>
        <c:varyColors val="0"/>
        <c:ser>
          <c:idx val="1"/>
          <c:order val="0"/>
          <c:tx>
            <c:strRef>
              <c:f>[1]Sheet1!$D$52</c:f>
              <c:strCache>
                <c:ptCount val="1"/>
                <c:pt idx="0">
                  <c:v>Zgradarstvo</c:v>
                </c:pt>
              </c:strCache>
            </c:strRef>
          </c:tx>
          <c:spPr>
            <a:gradFill rotWithShape="0">
              <a:gsLst>
                <a:gs pos="0">
                  <a:srgbClr val="00CCFF">
                    <a:gamma/>
                    <a:shade val="26275"/>
                    <a:invGamma/>
                  </a:srgbClr>
                </a:gs>
                <a:gs pos="50000">
                  <a:srgbClr val="00CCFF"/>
                </a:gs>
                <a:gs pos="100000">
                  <a:srgbClr val="00CCFF">
                    <a:gamma/>
                    <a:shade val="26275"/>
                    <a:invGamma/>
                  </a:srgbClr>
                </a:gs>
              </a:gsLst>
              <a:lin ang="0" scaled="1"/>
            </a:gradFill>
            <a:ln w="25400">
              <a:noFill/>
            </a:ln>
          </c:spPr>
          <c:invertIfNegative val="0"/>
          <c:cat>
            <c:strRef>
              <c:f>[1]Sheet1!$B$53:$B$55</c:f>
              <c:strCache>
                <c:ptCount val="3"/>
                <c:pt idx="0">
                  <c:v>Emisija bazne godine</c:v>
                </c:pt>
                <c:pt idx="1">
                  <c:v>Scenarij bez mjera</c:v>
                </c:pt>
                <c:pt idx="2">
                  <c:v>Scenarij s mjerama</c:v>
                </c:pt>
              </c:strCache>
            </c:strRef>
          </c:cat>
          <c:val>
            <c:numRef>
              <c:f>[1]Sheet1!$D$53:$D$55</c:f>
              <c:numCache>
                <c:formatCode>General</c:formatCode>
                <c:ptCount val="3"/>
                <c:pt idx="0">
                  <c:v>1759432.2602912106</c:v>
                </c:pt>
                <c:pt idx="1">
                  <c:v>1799993.9501807932</c:v>
                </c:pt>
                <c:pt idx="2">
                  <c:v>1193407.1477499751</c:v>
                </c:pt>
              </c:numCache>
            </c:numRef>
          </c:val>
          <c:extLst>
            <c:ext xmlns:c16="http://schemas.microsoft.com/office/drawing/2014/chart" uri="{C3380CC4-5D6E-409C-BE32-E72D297353CC}">
              <c16:uniqueId val="{00000000-3436-4859-8DE7-68AAD1122E77}"/>
            </c:ext>
          </c:extLst>
        </c:ser>
        <c:ser>
          <c:idx val="0"/>
          <c:order val="1"/>
          <c:tx>
            <c:strRef>
              <c:f>[1]Sheet1!$C$52</c:f>
              <c:strCache>
                <c:ptCount val="1"/>
                <c:pt idx="0">
                  <c:v>Promet</c:v>
                </c:pt>
              </c:strCache>
            </c:strRef>
          </c:tx>
          <c:spPr>
            <a:gradFill rotWithShape="0">
              <a:gsLst>
                <a:gs pos="0">
                  <a:srgbClr val="FFFF00">
                    <a:gamma/>
                    <a:shade val="26275"/>
                    <a:invGamma/>
                  </a:srgbClr>
                </a:gs>
                <a:gs pos="50000">
                  <a:srgbClr val="FFFF00"/>
                </a:gs>
                <a:gs pos="100000">
                  <a:srgbClr val="FFFF00">
                    <a:gamma/>
                    <a:shade val="26275"/>
                    <a:invGamma/>
                  </a:srgbClr>
                </a:gs>
              </a:gsLst>
              <a:lin ang="0" scaled="1"/>
            </a:gradFill>
            <a:ln w="25400">
              <a:noFill/>
            </a:ln>
          </c:spPr>
          <c:invertIfNegative val="0"/>
          <c:cat>
            <c:strRef>
              <c:f>[1]Sheet1!$B$53:$B$55</c:f>
              <c:strCache>
                <c:ptCount val="3"/>
                <c:pt idx="0">
                  <c:v>Emisija bazne godine</c:v>
                </c:pt>
                <c:pt idx="1">
                  <c:v>Scenarij bez mjera</c:v>
                </c:pt>
                <c:pt idx="2">
                  <c:v>Scenarij s mjerama</c:v>
                </c:pt>
              </c:strCache>
            </c:strRef>
          </c:cat>
          <c:val>
            <c:numRef>
              <c:f>[1]Sheet1!$C$53:$C$55</c:f>
              <c:numCache>
                <c:formatCode>General</c:formatCode>
                <c:ptCount val="3"/>
                <c:pt idx="0">
                  <c:v>1007443.0700000002</c:v>
                </c:pt>
                <c:pt idx="1">
                  <c:v>1176179.8618493928</c:v>
                </c:pt>
                <c:pt idx="2">
                  <c:v>876356.81772755529</c:v>
                </c:pt>
              </c:numCache>
            </c:numRef>
          </c:val>
          <c:extLst>
            <c:ext xmlns:c16="http://schemas.microsoft.com/office/drawing/2014/chart" uri="{C3380CC4-5D6E-409C-BE32-E72D297353CC}">
              <c16:uniqueId val="{00000001-3436-4859-8DE7-68AAD1122E77}"/>
            </c:ext>
          </c:extLst>
        </c:ser>
        <c:ser>
          <c:idx val="2"/>
          <c:order val="2"/>
          <c:tx>
            <c:strRef>
              <c:f>[1]Sheet1!$E$52</c:f>
              <c:strCache>
                <c:ptCount val="1"/>
                <c:pt idx="0">
                  <c:v>Javna rasvjeta</c:v>
                </c:pt>
              </c:strCache>
            </c:strRef>
          </c:tx>
          <c:spPr>
            <a:gradFill rotWithShape="0">
              <a:gsLst>
                <a:gs pos="0">
                  <a:srgbClr val="99CC00">
                    <a:gamma/>
                    <a:shade val="26275"/>
                    <a:invGamma/>
                  </a:srgbClr>
                </a:gs>
                <a:gs pos="50000">
                  <a:srgbClr val="99CC00"/>
                </a:gs>
                <a:gs pos="100000">
                  <a:srgbClr val="99CC00">
                    <a:gamma/>
                    <a:shade val="26275"/>
                    <a:invGamma/>
                  </a:srgbClr>
                </a:gs>
              </a:gsLst>
              <a:lin ang="0" scaled="1"/>
            </a:gradFill>
            <a:ln w="25400">
              <a:noFill/>
            </a:ln>
          </c:spPr>
          <c:invertIfNegative val="0"/>
          <c:cat>
            <c:strRef>
              <c:f>[1]Sheet1!$B$53:$B$55</c:f>
              <c:strCache>
                <c:ptCount val="3"/>
                <c:pt idx="0">
                  <c:v>Emisija bazne godine</c:v>
                </c:pt>
                <c:pt idx="1">
                  <c:v>Scenarij bez mjera</c:v>
                </c:pt>
                <c:pt idx="2">
                  <c:v>Scenarij s mjerama</c:v>
                </c:pt>
              </c:strCache>
            </c:strRef>
          </c:cat>
          <c:val>
            <c:numRef>
              <c:f>[1]Sheet1!$E$53:$E$55</c:f>
              <c:numCache>
                <c:formatCode>General</c:formatCode>
                <c:ptCount val="3"/>
                <c:pt idx="0">
                  <c:v>29175.55999999999</c:v>
                </c:pt>
                <c:pt idx="1">
                  <c:v>32085.79</c:v>
                </c:pt>
                <c:pt idx="2">
                  <c:v>24228.169000000002</c:v>
                </c:pt>
              </c:numCache>
            </c:numRef>
          </c:val>
          <c:extLst>
            <c:ext xmlns:c16="http://schemas.microsoft.com/office/drawing/2014/chart" uri="{C3380CC4-5D6E-409C-BE32-E72D297353CC}">
              <c16:uniqueId val="{00000002-3436-4859-8DE7-68AAD1122E77}"/>
            </c:ext>
          </c:extLst>
        </c:ser>
        <c:dLbls>
          <c:showLegendKey val="0"/>
          <c:showVal val="0"/>
          <c:showCatName val="0"/>
          <c:showSerName val="0"/>
          <c:showPercent val="0"/>
          <c:showBubbleSize val="0"/>
        </c:dLbls>
        <c:gapWidth val="150"/>
        <c:overlap val="100"/>
        <c:axId val="367614464"/>
        <c:axId val="515196608"/>
      </c:barChart>
      <c:scatterChart>
        <c:scatterStyle val="lineMarker"/>
        <c:varyColors val="0"/>
        <c:ser>
          <c:idx val="3"/>
          <c:order val="3"/>
          <c:tx>
            <c:strRef>
              <c:f>[1]Sheet1!$B$56</c:f>
              <c:strCache>
                <c:ptCount val="1"/>
                <c:pt idx="0">
                  <c:v>Indikativni cilj</c:v>
                </c:pt>
              </c:strCache>
            </c:strRef>
          </c:tx>
          <c:spPr>
            <a:ln w="28575">
              <a:noFill/>
            </a:ln>
          </c:spPr>
          <c:marker>
            <c:symbol val="none"/>
          </c:marker>
          <c:trendline>
            <c:name>Indikativni cilj</c:name>
            <c:spPr>
              <a:ln w="38100">
                <a:solidFill>
                  <a:srgbClr val="FF0000"/>
                </a:solidFill>
                <a:prstDash val="solid"/>
              </a:ln>
            </c:spPr>
            <c:trendlineType val="linear"/>
            <c:forward val="0.30000000000000032"/>
            <c:backward val="0.30000000000000032"/>
            <c:dispRSqr val="0"/>
            <c:dispEq val="0"/>
          </c:trendline>
          <c:yVal>
            <c:numRef>
              <c:f>[1]Sheet1!$C$56:$E$56</c:f>
              <c:numCache>
                <c:formatCode>General</c:formatCode>
                <c:ptCount val="3"/>
                <c:pt idx="0">
                  <c:v>2208880.2033300572</c:v>
                </c:pt>
                <c:pt idx="1">
                  <c:v>2208880.2033300572</c:v>
                </c:pt>
                <c:pt idx="2">
                  <c:v>2208880.2033300572</c:v>
                </c:pt>
              </c:numCache>
            </c:numRef>
          </c:yVal>
          <c:smooth val="0"/>
          <c:extLst>
            <c:ext xmlns:c16="http://schemas.microsoft.com/office/drawing/2014/chart" uri="{C3380CC4-5D6E-409C-BE32-E72D297353CC}">
              <c16:uniqueId val="{00000004-3436-4859-8DE7-68AAD1122E77}"/>
            </c:ext>
          </c:extLst>
        </c:ser>
        <c:dLbls>
          <c:showLegendKey val="0"/>
          <c:showVal val="0"/>
          <c:showCatName val="0"/>
          <c:showSerName val="0"/>
          <c:showPercent val="0"/>
          <c:showBubbleSize val="0"/>
        </c:dLbls>
        <c:axId val="367614464"/>
        <c:axId val="515196608"/>
      </c:scatterChart>
      <c:catAx>
        <c:axId val="3676144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a:pPr>
            <a:endParaRPr lang="sr-Latn-RS"/>
          </a:p>
        </c:txPr>
        <c:crossAx val="515196608"/>
        <c:crosses val="autoZero"/>
        <c:auto val="1"/>
        <c:lblAlgn val="ctr"/>
        <c:lblOffset val="100"/>
        <c:tickLblSkip val="1"/>
        <c:tickMarkSkip val="1"/>
        <c:noMultiLvlLbl val="0"/>
      </c:catAx>
      <c:valAx>
        <c:axId val="515196608"/>
        <c:scaling>
          <c:orientation val="minMax"/>
        </c:scaling>
        <c:delete val="0"/>
        <c:axPos val="l"/>
        <c:majorGridlines>
          <c:spPr>
            <a:ln w="3175">
              <a:solidFill>
                <a:srgbClr val="969696"/>
              </a:solidFill>
              <a:prstDash val="sysDash"/>
            </a:ln>
          </c:spPr>
        </c:majorGridlines>
        <c:title>
          <c:tx>
            <c:rich>
              <a:bodyPr/>
              <a:lstStyle/>
              <a:p>
                <a:pPr>
                  <a:defRPr/>
                </a:pPr>
                <a:r>
                  <a:rPr lang="hr-HR"/>
                  <a:t>t CO2</a:t>
                </a:r>
              </a:p>
            </c:rich>
          </c:tx>
          <c:layout>
            <c:manualLayout>
              <c:xMode val="edge"/>
              <c:yMode val="edge"/>
              <c:x val="1.0333742964210399E-2"/>
              <c:y val="0.42723115231897779"/>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367614464"/>
        <c:crosses val="autoZero"/>
        <c:crossBetween val="between"/>
      </c:valAx>
      <c:spPr>
        <a:solidFill>
          <a:srgbClr val="FFFFFF"/>
        </a:solidFill>
        <a:ln w="12700">
          <a:solidFill>
            <a:srgbClr val="808080"/>
          </a:solidFill>
          <a:prstDash val="solid"/>
        </a:ln>
      </c:spPr>
    </c:plotArea>
    <c:legend>
      <c:legendPos val="r"/>
      <c:legendEntry>
        <c:idx val="0"/>
        <c:txPr>
          <a:bodyPr/>
          <a:lstStyle/>
          <a:p>
            <a:pPr>
              <a:defRPr sz="900"/>
            </a:pPr>
            <a:endParaRPr lang="sr-Latn-RS"/>
          </a:p>
        </c:txPr>
      </c:legendEntry>
      <c:legendEntry>
        <c:idx val="1"/>
        <c:txPr>
          <a:bodyPr/>
          <a:lstStyle/>
          <a:p>
            <a:pPr>
              <a:defRPr sz="900"/>
            </a:pPr>
            <a:endParaRPr lang="sr-Latn-RS"/>
          </a:p>
        </c:txPr>
      </c:legendEntry>
      <c:legendEntry>
        <c:idx val="2"/>
        <c:txPr>
          <a:bodyPr/>
          <a:lstStyle/>
          <a:p>
            <a:pPr>
              <a:defRPr sz="900"/>
            </a:pPr>
            <a:endParaRPr lang="sr-Latn-RS"/>
          </a:p>
        </c:txPr>
      </c:legendEntry>
      <c:legendEntry>
        <c:idx val="3"/>
        <c:txPr>
          <a:bodyPr/>
          <a:lstStyle/>
          <a:p>
            <a:pPr>
              <a:defRPr sz="900"/>
            </a:pPr>
            <a:endParaRPr lang="sr-Latn-RS"/>
          </a:p>
        </c:txPr>
      </c:legendEntry>
      <c:legendEntry>
        <c:idx val="4"/>
        <c:txPr>
          <a:bodyPr/>
          <a:lstStyle/>
          <a:p>
            <a:pPr>
              <a:defRPr sz="900"/>
            </a:pPr>
            <a:endParaRPr lang="sr-Latn-RS"/>
          </a:p>
        </c:txPr>
      </c:legendEntry>
      <c:layout>
        <c:manualLayout>
          <c:xMode val="edge"/>
          <c:yMode val="edge"/>
          <c:x val="0.74932653649507852"/>
          <c:y val="0.34741855492915508"/>
          <c:w val="0.23045845280900604"/>
          <c:h val="0.3118035973511159"/>
        </c:manualLayout>
      </c:layout>
      <c:overlay val="0"/>
      <c:spPr>
        <a:solidFill>
          <a:srgbClr val="FFFFFF"/>
        </a:solidFill>
        <a:ln w="25400">
          <a:noFill/>
        </a:ln>
      </c:spPr>
      <c:txPr>
        <a:bodyPr/>
        <a:lstStyle/>
        <a:p>
          <a:pPr>
            <a:defRPr sz="900"/>
          </a:pPr>
          <a:endParaRPr lang="sr-Latn-R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mn-lt"/>
          <a:ea typeface="Arial"/>
          <a:cs typeface="Arial"/>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8873555754"/>
          <c:y val="3.0606826429759558E-2"/>
          <c:w val="0.85212717482479661"/>
          <c:h val="0.76292271158413238"/>
        </c:manualLayout>
      </c:layout>
      <c:barChart>
        <c:barDir val="col"/>
        <c:grouping val="stacked"/>
        <c:varyColors val="0"/>
        <c:ser>
          <c:idx val="0"/>
          <c:order val="0"/>
          <c:tx>
            <c:strRef>
              <c:f>'[1]ZET-bus-novi'!$K$15</c:f>
              <c:strCache>
                <c:ptCount val="1"/>
                <c:pt idx="0">
                  <c:v>man</c:v>
                </c:pt>
              </c:strCache>
            </c:strRef>
          </c:tx>
          <c:spPr>
            <a:gradFill flip="none" rotWithShape="1">
              <a:gsLst>
                <a:gs pos="0">
                  <a:srgbClr val="4BACC6">
                    <a:lumMod val="50000"/>
                  </a:srgbClr>
                </a:gs>
                <a:gs pos="50000">
                  <a:srgbClr val="4BACC6">
                    <a:lumMod val="60000"/>
                    <a:lumOff val="40000"/>
                  </a:srgbClr>
                </a:gs>
                <a:gs pos="100000">
                  <a:schemeClr val="accent5">
                    <a:lumMod val="50000"/>
                  </a:schemeClr>
                </a:gs>
              </a:gsLst>
              <a:lin ang="0" scaled="1"/>
              <a:tileRect/>
            </a:gra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74D5-46C0-B086-0D61782AFE5A}"/>
                </c:ext>
              </c:extLst>
            </c:dLbl>
            <c:dLbl>
              <c:idx val="1"/>
              <c:delete val="1"/>
              <c:extLst>
                <c:ext xmlns:c15="http://schemas.microsoft.com/office/drawing/2012/chart" uri="{CE6537A1-D6FC-4f65-9D91-7224C49458BB}"/>
                <c:ext xmlns:c16="http://schemas.microsoft.com/office/drawing/2014/chart" uri="{C3380CC4-5D6E-409C-BE32-E72D297353CC}">
                  <c16:uniqueId val="{00000001-74D5-46C0-B086-0D61782AFE5A}"/>
                </c:ext>
              </c:extLst>
            </c:dLbl>
            <c:dLbl>
              <c:idx val="2"/>
              <c:delete val="1"/>
              <c:extLst>
                <c:ext xmlns:c15="http://schemas.microsoft.com/office/drawing/2012/chart" uri="{CE6537A1-D6FC-4f65-9D91-7224C49458BB}"/>
                <c:ext xmlns:c16="http://schemas.microsoft.com/office/drawing/2014/chart" uri="{C3380CC4-5D6E-409C-BE32-E72D297353CC}">
                  <c16:uniqueId val="{00000002-74D5-46C0-B086-0D61782AFE5A}"/>
                </c:ext>
              </c:extLst>
            </c:dLbl>
            <c:dLbl>
              <c:idx val="3"/>
              <c:layout>
                <c:manualLayout>
                  <c:x val="0"/>
                  <c:y val="-0.14506193616653737"/>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D5-46C0-B086-0D61782AFE5A}"/>
                </c:ext>
              </c:extLst>
            </c:dLbl>
            <c:dLbl>
              <c:idx val="4"/>
              <c:layout>
                <c:manualLayout>
                  <c:x val="0"/>
                  <c:y val="-2.7777771027080251E-2"/>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4D5-46C0-B086-0D61782AFE5A}"/>
                </c:ext>
              </c:extLst>
            </c:dLbl>
            <c:dLbl>
              <c:idx val="5"/>
              <c:layout>
                <c:manualLayout>
                  <c:x val="0"/>
                  <c:y val="-2.7777771027080251E-2"/>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D5-46C0-B086-0D61782AFE5A}"/>
                </c:ext>
              </c:extLst>
            </c:dLbl>
            <c:dLbl>
              <c:idx val="6"/>
              <c:layout>
                <c:manualLayout>
                  <c:x val="3.6429451659313005E-17"/>
                  <c:y val="-0.200617235195579"/>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4D5-46C0-B086-0D61782AFE5A}"/>
                </c:ext>
              </c:extLst>
            </c:dLbl>
            <c:dLbl>
              <c:idx val="7"/>
              <c:delete val="1"/>
              <c:extLst>
                <c:ext xmlns:c15="http://schemas.microsoft.com/office/drawing/2012/chart" uri="{CE6537A1-D6FC-4f65-9D91-7224C49458BB}"/>
                <c:ext xmlns:c16="http://schemas.microsoft.com/office/drawing/2014/chart" uri="{C3380CC4-5D6E-409C-BE32-E72D297353CC}">
                  <c16:uniqueId val="{00000007-74D5-46C0-B086-0D61782AFE5A}"/>
                </c:ext>
              </c:extLst>
            </c:dLbl>
            <c:dLbl>
              <c:idx val="8"/>
              <c:layout>
                <c:manualLayout>
                  <c:x val="0"/>
                  <c:y val="-3.7037028036106812E-2"/>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4D5-46C0-B086-0D61782AFE5A}"/>
                </c:ext>
              </c:extLst>
            </c:dLbl>
            <c:dLbl>
              <c:idx val="9"/>
              <c:layout>
                <c:manualLayout>
                  <c:x val="1.9870839542970842E-3"/>
                  <c:y val="-0.20370365419858688"/>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4D5-46C0-B086-0D61782AFE5A}"/>
                </c:ext>
              </c:extLst>
            </c:dLbl>
            <c:dLbl>
              <c:idx val="10"/>
              <c:delete val="1"/>
              <c:extLst>
                <c:ext xmlns:c15="http://schemas.microsoft.com/office/drawing/2012/chart" uri="{CE6537A1-D6FC-4f65-9D91-7224C49458BB}"/>
                <c:ext xmlns:c16="http://schemas.microsoft.com/office/drawing/2014/chart" uri="{C3380CC4-5D6E-409C-BE32-E72D297353CC}">
                  <c16:uniqueId val="{0000000A-74D5-46C0-B086-0D61782AFE5A}"/>
                </c:ext>
              </c:extLst>
            </c:dLbl>
            <c:dLbl>
              <c:idx val="11"/>
              <c:delete val="1"/>
              <c:extLst>
                <c:ext xmlns:c15="http://schemas.microsoft.com/office/drawing/2012/chart" uri="{CE6537A1-D6FC-4f65-9D91-7224C49458BB}"/>
                <c:ext xmlns:c16="http://schemas.microsoft.com/office/drawing/2014/chart" uri="{C3380CC4-5D6E-409C-BE32-E72D297353CC}">
                  <c16:uniqueId val="{0000000B-74D5-46C0-B086-0D61782AFE5A}"/>
                </c:ext>
              </c:extLst>
            </c:dLbl>
            <c:dLbl>
              <c:idx val="12"/>
              <c:delete val="1"/>
              <c:extLst>
                <c:ext xmlns:c15="http://schemas.microsoft.com/office/drawing/2012/chart" uri="{CE6537A1-D6FC-4f65-9D91-7224C49458BB}"/>
                <c:ext xmlns:c16="http://schemas.microsoft.com/office/drawing/2014/chart" uri="{C3380CC4-5D6E-409C-BE32-E72D297353CC}">
                  <c16:uniqueId val="{0000000C-74D5-46C0-B086-0D61782AFE5A}"/>
                </c:ext>
              </c:extLst>
            </c:dLbl>
            <c:dLbl>
              <c:idx val="13"/>
              <c:layout>
                <c:manualLayout>
                  <c:x val="7.285890331862617E-17"/>
                  <c:y val="-4.6296285045133806E-2"/>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4D5-46C0-B086-0D61782AFE5A}"/>
                </c:ext>
              </c:extLst>
            </c:dLbl>
            <c:dLbl>
              <c:idx val="14"/>
              <c:layout>
                <c:manualLayout>
                  <c:x val="0"/>
                  <c:y val="-0.15123453114743782"/>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4D5-46C0-B086-0D61782AFE5A}"/>
                </c:ext>
              </c:extLst>
            </c:dLbl>
            <c:dLbl>
              <c:idx val="15"/>
              <c:layout>
                <c:manualLayout>
                  <c:x val="0"/>
                  <c:y val="-4.6296285045133806E-2"/>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4D5-46C0-B086-0D61782AFE5A}"/>
                </c:ext>
              </c:extLst>
            </c:dLbl>
            <c:dLbl>
              <c:idx val="16"/>
              <c:layout>
                <c:manualLayout>
                  <c:x val="0"/>
                  <c:y val="-0.31481473830691004"/>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4D5-46C0-B086-0D61782AFE5A}"/>
                </c:ext>
              </c:extLst>
            </c:dLbl>
            <c:dLbl>
              <c:idx val="17"/>
              <c:layout>
                <c:manualLayout>
                  <c:x val="0"/>
                  <c:y val="-3.7037028036106812E-2"/>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4D5-46C0-B086-0D61782AFE5A}"/>
                </c:ext>
              </c:extLst>
            </c:dLbl>
            <c:dLbl>
              <c:idx val="18"/>
              <c:delete val="1"/>
              <c:extLst>
                <c:ext xmlns:c15="http://schemas.microsoft.com/office/drawing/2012/chart" uri="{CE6537A1-D6FC-4f65-9D91-7224C49458BB}"/>
                <c:ext xmlns:c16="http://schemas.microsoft.com/office/drawing/2014/chart" uri="{C3380CC4-5D6E-409C-BE32-E72D297353CC}">
                  <c16:uniqueId val="{00000012-74D5-46C0-B086-0D61782AFE5A}"/>
                </c:ext>
              </c:extLst>
            </c:dLbl>
            <c:dLbl>
              <c:idx val="19"/>
              <c:delete val="1"/>
              <c:extLst>
                <c:ext xmlns:c15="http://schemas.microsoft.com/office/drawing/2012/chart" uri="{CE6537A1-D6FC-4f65-9D91-7224C49458BB}"/>
                <c:ext xmlns:c16="http://schemas.microsoft.com/office/drawing/2014/chart" uri="{C3380CC4-5D6E-409C-BE32-E72D297353CC}">
                  <c16:uniqueId val="{00000013-74D5-46C0-B086-0D61782AFE5A}"/>
                </c:ext>
              </c:extLst>
            </c:dLbl>
            <c:dLbl>
              <c:idx val="20"/>
              <c:layout>
                <c:manualLayout>
                  <c:x val="0"/>
                  <c:y val="-0.36111102335204354"/>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4D5-46C0-B086-0D61782AFE5A}"/>
                </c:ext>
              </c:extLst>
            </c:dLbl>
            <c:dLbl>
              <c:idx val="21"/>
              <c:delete val="1"/>
              <c:extLst>
                <c:ext xmlns:c15="http://schemas.microsoft.com/office/drawing/2012/chart" uri="{CE6537A1-D6FC-4f65-9D91-7224C49458BB}"/>
                <c:ext xmlns:c16="http://schemas.microsoft.com/office/drawing/2014/chart" uri="{C3380CC4-5D6E-409C-BE32-E72D297353CC}">
                  <c16:uniqueId val="{00000015-74D5-46C0-B086-0D61782AFE5A}"/>
                </c:ext>
              </c:extLst>
            </c:dLbl>
            <c:dLbl>
              <c:idx val="22"/>
              <c:delete val="1"/>
              <c:extLst>
                <c:ext xmlns:c15="http://schemas.microsoft.com/office/drawing/2012/chart" uri="{CE6537A1-D6FC-4f65-9D91-7224C49458BB}"/>
                <c:ext xmlns:c16="http://schemas.microsoft.com/office/drawing/2014/chart" uri="{C3380CC4-5D6E-409C-BE32-E72D297353CC}">
                  <c16:uniqueId val="{00000016-74D5-46C0-B086-0D61782AFE5A}"/>
                </c:ext>
              </c:extLst>
            </c:dLbl>
            <c:dLbl>
              <c:idx val="23"/>
              <c:layout>
                <c:manualLayout>
                  <c:x val="0"/>
                  <c:y val="-0.13888885513540108"/>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4D5-46C0-B086-0D61782AFE5A}"/>
                </c:ext>
              </c:extLst>
            </c:dLbl>
            <c:dLbl>
              <c:idx val="24"/>
              <c:layout>
                <c:manualLayout>
                  <c:x val="-1.9870839542970842E-3"/>
                  <c:y val="-0.10185182709929297"/>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4D5-46C0-B086-0D61782AFE5A}"/>
                </c:ext>
              </c:extLst>
            </c:dLbl>
            <c:dLbl>
              <c:idx val="25"/>
              <c:layout>
                <c:manualLayout>
                  <c:x val="0"/>
                  <c:y val="-0.15123453114743782"/>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4D5-46C0-B086-0D61782AFE5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'[1]ZET-bus-novi'!$L$14:$AK$14</c:f>
              <c:numCache>
                <c:formatCode>General</c:formatCode>
                <c:ptCount val="26"/>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numCache>
            </c:numRef>
          </c:cat>
          <c:val>
            <c:numRef>
              <c:f>'[1]ZET-bus-novi'!$L$15:$AK$15</c:f>
              <c:numCache>
                <c:formatCode>General</c:formatCode>
                <c:ptCount val="26"/>
                <c:pt idx="0">
                  <c:v>0</c:v>
                </c:pt>
                <c:pt idx="1">
                  <c:v>0</c:v>
                </c:pt>
                <c:pt idx="2">
                  <c:v>0</c:v>
                </c:pt>
                <c:pt idx="3">
                  <c:v>13</c:v>
                </c:pt>
                <c:pt idx="4">
                  <c:v>1</c:v>
                </c:pt>
                <c:pt idx="5">
                  <c:v>1</c:v>
                </c:pt>
                <c:pt idx="6">
                  <c:v>19</c:v>
                </c:pt>
                <c:pt idx="7">
                  <c:v>0</c:v>
                </c:pt>
                <c:pt idx="8">
                  <c:v>2</c:v>
                </c:pt>
                <c:pt idx="9">
                  <c:v>19</c:v>
                </c:pt>
                <c:pt idx="10">
                  <c:v>0</c:v>
                </c:pt>
                <c:pt idx="11">
                  <c:v>0</c:v>
                </c:pt>
                <c:pt idx="12">
                  <c:v>0</c:v>
                </c:pt>
                <c:pt idx="13">
                  <c:v>3</c:v>
                </c:pt>
                <c:pt idx="14">
                  <c:v>14</c:v>
                </c:pt>
                <c:pt idx="15">
                  <c:v>2</c:v>
                </c:pt>
                <c:pt idx="16">
                  <c:v>30</c:v>
                </c:pt>
                <c:pt idx="17">
                  <c:v>2</c:v>
                </c:pt>
                <c:pt idx="18">
                  <c:v>0</c:v>
                </c:pt>
                <c:pt idx="19">
                  <c:v>0</c:v>
                </c:pt>
                <c:pt idx="20">
                  <c:v>35</c:v>
                </c:pt>
                <c:pt idx="21">
                  <c:v>0</c:v>
                </c:pt>
                <c:pt idx="22">
                  <c:v>0</c:v>
                </c:pt>
                <c:pt idx="23">
                  <c:v>12</c:v>
                </c:pt>
                <c:pt idx="24">
                  <c:v>9</c:v>
                </c:pt>
                <c:pt idx="25">
                  <c:v>14</c:v>
                </c:pt>
              </c:numCache>
            </c:numRef>
          </c:val>
          <c:extLst>
            <c:ext xmlns:c16="http://schemas.microsoft.com/office/drawing/2014/chart" uri="{C3380CC4-5D6E-409C-BE32-E72D297353CC}">
              <c16:uniqueId val="{0000001A-74D5-46C0-B086-0D61782AFE5A}"/>
            </c:ext>
          </c:extLst>
        </c:ser>
        <c:dLbls>
          <c:showLegendKey val="0"/>
          <c:showVal val="0"/>
          <c:showCatName val="0"/>
          <c:showSerName val="0"/>
          <c:showPercent val="0"/>
          <c:showBubbleSize val="0"/>
        </c:dLbls>
        <c:gapWidth val="13"/>
        <c:overlap val="100"/>
        <c:axId val="332972032"/>
        <c:axId val="458282048"/>
      </c:barChart>
      <c:catAx>
        <c:axId val="332972032"/>
        <c:scaling>
          <c:orientation val="minMax"/>
        </c:scaling>
        <c:delete val="0"/>
        <c:axPos val="b"/>
        <c:title>
          <c:tx>
            <c:rich>
              <a:bodyPr/>
              <a:lstStyle/>
              <a:p>
                <a:pPr>
                  <a:defRPr/>
                </a:pPr>
                <a:r>
                  <a:rPr lang="hr-HR">
                    <a:latin typeface="+mn-lt"/>
                  </a:rPr>
                  <a:t>Godina</a:t>
                </a:r>
                <a:r>
                  <a:rPr lang="hr-HR" baseline="0">
                    <a:latin typeface="+mn-lt"/>
                  </a:rPr>
                  <a:t> proizvodnje</a:t>
                </a:r>
                <a:endParaRPr lang="hr-HR">
                  <a:latin typeface="+mn-lt"/>
                </a:endParaRPr>
              </a:p>
            </c:rich>
          </c:tx>
          <c:overlay val="0"/>
        </c:title>
        <c:numFmt formatCode="General" sourceLinked="1"/>
        <c:majorTickMark val="out"/>
        <c:minorTickMark val="none"/>
        <c:tickLblPos val="nextTo"/>
        <c:txPr>
          <a:bodyPr/>
          <a:lstStyle/>
          <a:p>
            <a:pPr>
              <a:defRPr>
                <a:latin typeface="+mn-lt"/>
              </a:defRPr>
            </a:pPr>
            <a:endParaRPr lang="sr-Latn-RS"/>
          </a:p>
        </c:txPr>
        <c:crossAx val="458282048"/>
        <c:crosses val="autoZero"/>
        <c:auto val="1"/>
        <c:lblAlgn val="ctr"/>
        <c:lblOffset val="100"/>
        <c:tickLblSkip val="2"/>
        <c:noMultiLvlLbl val="0"/>
      </c:catAx>
      <c:valAx>
        <c:axId val="458282048"/>
        <c:scaling>
          <c:orientation val="minMax"/>
        </c:scaling>
        <c:delete val="0"/>
        <c:axPos val="l"/>
        <c:majorGridlines>
          <c:spPr>
            <a:ln>
              <a:prstDash val="sysDash"/>
            </a:ln>
          </c:spPr>
        </c:majorGridlines>
        <c:title>
          <c:tx>
            <c:rich>
              <a:bodyPr rot="-5400000" vert="horz"/>
              <a:lstStyle/>
              <a:p>
                <a:pPr>
                  <a:defRPr/>
                </a:pPr>
                <a:r>
                  <a:rPr lang="hr-HR"/>
                  <a:t>Broj</a:t>
                </a:r>
              </a:p>
            </c:rich>
          </c:tx>
          <c:layout>
            <c:manualLayout>
              <c:xMode val="edge"/>
              <c:yMode val="edge"/>
              <c:x val="1.3666477257353173E-2"/>
              <c:y val="0.34857604337919346"/>
            </c:manualLayout>
          </c:layout>
          <c:overlay val="0"/>
        </c:title>
        <c:numFmt formatCode="General" sourceLinked="1"/>
        <c:majorTickMark val="out"/>
        <c:minorTickMark val="none"/>
        <c:tickLblPos val="nextTo"/>
        <c:crossAx val="332972032"/>
        <c:crosses val="autoZero"/>
        <c:crossBetween val="between"/>
      </c:valAx>
    </c:plotArea>
    <c:plotVisOnly val="1"/>
    <c:dispBlanksAs val="gap"/>
    <c:showDLblsOverMax val="0"/>
  </c:chart>
  <c:spPr>
    <a:ln>
      <a:noFill/>
    </a:ln>
  </c:spPr>
  <c:txPr>
    <a:bodyPr/>
    <a:lstStyle/>
    <a:p>
      <a:pPr>
        <a:defRPr>
          <a:latin typeface="Arial" pitchFamily="34" charset="0"/>
          <a:cs typeface="Arial" pitchFamily="34" charset="0"/>
        </a:defRPr>
      </a:pPr>
      <a:endParaRPr lang="sr-Latn-R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90066780082734"/>
          <c:y val="3.0606826429759579E-2"/>
          <c:w val="0.86048091816265859"/>
          <c:h val="0.75947694954925049"/>
        </c:manualLayout>
      </c:layout>
      <c:barChart>
        <c:barDir val="col"/>
        <c:grouping val="stacked"/>
        <c:varyColors val="0"/>
        <c:ser>
          <c:idx val="0"/>
          <c:order val="0"/>
          <c:tx>
            <c:strRef>
              <c:f>'[1]ZET-bus-novi'!$K$16</c:f>
              <c:strCache>
                <c:ptCount val="1"/>
                <c:pt idx="0">
                  <c:v>mb</c:v>
                </c:pt>
              </c:strCache>
            </c:strRef>
          </c:tx>
          <c:spPr>
            <a:gradFill flip="none" rotWithShape="1">
              <a:gsLst>
                <a:gs pos="0">
                  <a:srgbClr val="4BACC6">
                    <a:lumMod val="50000"/>
                  </a:srgbClr>
                </a:gs>
                <a:gs pos="50000">
                  <a:srgbClr val="4BACC6">
                    <a:lumMod val="60000"/>
                    <a:lumOff val="40000"/>
                  </a:srgbClr>
                </a:gs>
                <a:gs pos="100000">
                  <a:schemeClr val="accent5">
                    <a:lumMod val="50000"/>
                  </a:schemeClr>
                </a:gs>
              </a:gsLst>
              <a:lin ang="0" scaled="1"/>
              <a:tileRect/>
            </a:gradFill>
          </c:spPr>
          <c:invertIfNegative val="0"/>
          <c:dLbls>
            <c:dLbl>
              <c:idx val="0"/>
              <c:layout>
                <c:manualLayout>
                  <c:x val="0"/>
                  <c:y val="-6.1728380060177876E-2"/>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43-413A-9257-77676A6DB05D}"/>
                </c:ext>
              </c:extLst>
            </c:dLbl>
            <c:dLbl>
              <c:idx val="1"/>
              <c:delete val="1"/>
              <c:extLst>
                <c:ext xmlns:c15="http://schemas.microsoft.com/office/drawing/2012/chart" uri="{CE6537A1-D6FC-4f65-9D91-7224C49458BB}"/>
                <c:ext xmlns:c16="http://schemas.microsoft.com/office/drawing/2014/chart" uri="{C3380CC4-5D6E-409C-BE32-E72D297353CC}">
                  <c16:uniqueId val="{00000001-B643-413A-9257-77676A6DB05D}"/>
                </c:ext>
              </c:extLst>
            </c:dLbl>
            <c:dLbl>
              <c:idx val="2"/>
              <c:delete val="1"/>
              <c:extLst>
                <c:ext xmlns:c15="http://schemas.microsoft.com/office/drawing/2012/chart" uri="{CE6537A1-D6FC-4f65-9D91-7224C49458BB}"/>
                <c:ext xmlns:c16="http://schemas.microsoft.com/office/drawing/2014/chart" uri="{C3380CC4-5D6E-409C-BE32-E72D297353CC}">
                  <c16:uniqueId val="{00000002-B643-413A-9257-77676A6DB05D}"/>
                </c:ext>
              </c:extLst>
            </c:dLbl>
            <c:dLbl>
              <c:idx val="3"/>
              <c:layout>
                <c:manualLayout>
                  <c:x val="0"/>
                  <c:y val="-0.12345676012035577"/>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43-413A-9257-77676A6DB05D}"/>
                </c:ext>
              </c:extLst>
            </c:dLbl>
            <c:dLbl>
              <c:idx val="4"/>
              <c:layout>
                <c:manualLayout>
                  <c:x val="0"/>
                  <c:y val="-0.33333325232496303"/>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643-413A-9257-77676A6DB05D}"/>
                </c:ext>
              </c:extLst>
            </c:dLbl>
            <c:dLbl>
              <c:idx val="5"/>
              <c:delete val="1"/>
              <c:extLst>
                <c:ext xmlns:c15="http://schemas.microsoft.com/office/drawing/2012/chart" uri="{CE6537A1-D6FC-4f65-9D91-7224C49458BB}"/>
                <c:ext xmlns:c16="http://schemas.microsoft.com/office/drawing/2014/chart" uri="{C3380CC4-5D6E-409C-BE32-E72D297353CC}">
                  <c16:uniqueId val="{00000005-B643-413A-9257-77676A6DB05D}"/>
                </c:ext>
              </c:extLst>
            </c:dLbl>
            <c:dLbl>
              <c:idx val="6"/>
              <c:delete val="1"/>
              <c:extLst>
                <c:ext xmlns:c15="http://schemas.microsoft.com/office/drawing/2012/chart" uri="{CE6537A1-D6FC-4f65-9D91-7224C49458BB}"/>
                <c:ext xmlns:c16="http://schemas.microsoft.com/office/drawing/2014/chart" uri="{C3380CC4-5D6E-409C-BE32-E72D297353CC}">
                  <c16:uniqueId val="{00000006-B643-413A-9257-77676A6DB05D}"/>
                </c:ext>
              </c:extLst>
            </c:dLbl>
            <c:dLbl>
              <c:idx val="7"/>
              <c:layout>
                <c:manualLayout>
                  <c:x val="0"/>
                  <c:y val="-5.5555542054160086E-2"/>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643-413A-9257-77676A6DB05D}"/>
                </c:ext>
              </c:extLst>
            </c:dLbl>
            <c:dLbl>
              <c:idx val="8"/>
              <c:delete val="1"/>
              <c:extLst>
                <c:ext xmlns:c15="http://schemas.microsoft.com/office/drawing/2012/chart" uri="{CE6537A1-D6FC-4f65-9D91-7224C49458BB}"/>
                <c:ext xmlns:c16="http://schemas.microsoft.com/office/drawing/2014/chart" uri="{C3380CC4-5D6E-409C-BE32-E72D297353CC}">
                  <c16:uniqueId val="{00000008-B643-413A-9257-77676A6DB05D}"/>
                </c:ext>
              </c:extLst>
            </c:dLbl>
            <c:dLbl>
              <c:idx val="9"/>
              <c:delete val="1"/>
              <c:extLst>
                <c:ext xmlns:c15="http://schemas.microsoft.com/office/drawing/2012/chart" uri="{CE6537A1-D6FC-4f65-9D91-7224C49458BB}"/>
                <c:ext xmlns:c16="http://schemas.microsoft.com/office/drawing/2014/chart" uri="{C3380CC4-5D6E-409C-BE32-E72D297353CC}">
                  <c16:uniqueId val="{00000009-B643-413A-9257-77676A6DB05D}"/>
                </c:ext>
              </c:extLst>
            </c:dLbl>
            <c:dLbl>
              <c:idx val="10"/>
              <c:delete val="1"/>
              <c:extLst>
                <c:ext xmlns:c15="http://schemas.microsoft.com/office/drawing/2012/chart" uri="{CE6537A1-D6FC-4f65-9D91-7224C49458BB}"/>
                <c:ext xmlns:c16="http://schemas.microsoft.com/office/drawing/2014/chart" uri="{C3380CC4-5D6E-409C-BE32-E72D297353CC}">
                  <c16:uniqueId val="{0000000A-B643-413A-9257-77676A6DB05D}"/>
                </c:ext>
              </c:extLst>
            </c:dLbl>
            <c:dLbl>
              <c:idx val="11"/>
              <c:delete val="1"/>
              <c:extLst>
                <c:ext xmlns:c15="http://schemas.microsoft.com/office/drawing/2012/chart" uri="{CE6537A1-D6FC-4f65-9D91-7224C49458BB}"/>
                <c:ext xmlns:c16="http://schemas.microsoft.com/office/drawing/2014/chart" uri="{C3380CC4-5D6E-409C-BE32-E72D297353CC}">
                  <c16:uniqueId val="{0000000B-B643-413A-9257-77676A6DB05D}"/>
                </c:ext>
              </c:extLst>
            </c:dLbl>
            <c:dLbl>
              <c:idx val="12"/>
              <c:delete val="1"/>
              <c:extLst>
                <c:ext xmlns:c15="http://schemas.microsoft.com/office/drawing/2012/chart" uri="{CE6537A1-D6FC-4f65-9D91-7224C49458BB}"/>
                <c:ext xmlns:c16="http://schemas.microsoft.com/office/drawing/2014/chart" uri="{C3380CC4-5D6E-409C-BE32-E72D297353CC}">
                  <c16:uniqueId val="{0000000C-B643-413A-9257-77676A6DB05D}"/>
                </c:ext>
              </c:extLst>
            </c:dLbl>
            <c:dLbl>
              <c:idx val="13"/>
              <c:delete val="1"/>
              <c:extLst>
                <c:ext xmlns:c15="http://schemas.microsoft.com/office/drawing/2012/chart" uri="{CE6537A1-D6FC-4f65-9D91-7224C49458BB}"/>
                <c:ext xmlns:c16="http://schemas.microsoft.com/office/drawing/2014/chart" uri="{C3380CC4-5D6E-409C-BE32-E72D297353CC}">
                  <c16:uniqueId val="{0000000D-B643-413A-9257-77676A6DB05D}"/>
                </c:ext>
              </c:extLst>
            </c:dLbl>
            <c:dLbl>
              <c:idx val="14"/>
              <c:delete val="1"/>
              <c:extLst>
                <c:ext xmlns:c15="http://schemas.microsoft.com/office/drawing/2012/chart" uri="{CE6537A1-D6FC-4f65-9D91-7224C49458BB}"/>
                <c:ext xmlns:c16="http://schemas.microsoft.com/office/drawing/2014/chart" uri="{C3380CC4-5D6E-409C-BE32-E72D297353CC}">
                  <c16:uniqueId val="{0000000E-B643-413A-9257-77676A6DB05D}"/>
                </c:ext>
              </c:extLst>
            </c:dLbl>
            <c:dLbl>
              <c:idx val="15"/>
              <c:delete val="1"/>
              <c:extLst>
                <c:ext xmlns:c15="http://schemas.microsoft.com/office/drawing/2012/chart" uri="{CE6537A1-D6FC-4f65-9D91-7224C49458BB}"/>
                <c:ext xmlns:c16="http://schemas.microsoft.com/office/drawing/2014/chart" uri="{C3380CC4-5D6E-409C-BE32-E72D297353CC}">
                  <c16:uniqueId val="{0000000F-B643-413A-9257-77676A6DB05D}"/>
                </c:ext>
              </c:extLst>
            </c:dLbl>
            <c:dLbl>
              <c:idx val="16"/>
              <c:layout>
                <c:manualLayout>
                  <c:x val="0"/>
                  <c:y val="-0.30246906229487547"/>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643-413A-9257-77676A6DB05D}"/>
                </c:ext>
              </c:extLst>
            </c:dLbl>
            <c:dLbl>
              <c:idx val="17"/>
              <c:delete val="1"/>
              <c:extLst>
                <c:ext xmlns:c15="http://schemas.microsoft.com/office/drawing/2012/chart" uri="{CE6537A1-D6FC-4f65-9D91-7224C49458BB}"/>
                <c:ext xmlns:c16="http://schemas.microsoft.com/office/drawing/2014/chart" uri="{C3380CC4-5D6E-409C-BE32-E72D297353CC}">
                  <c16:uniqueId val="{00000011-B643-413A-9257-77676A6DB05D}"/>
                </c:ext>
              </c:extLst>
            </c:dLbl>
            <c:dLbl>
              <c:idx val="18"/>
              <c:layout>
                <c:manualLayout>
                  <c:x val="0"/>
                  <c:y val="-0.29938264329186737"/>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643-413A-9257-77676A6DB05D}"/>
                </c:ext>
              </c:extLst>
            </c:dLbl>
            <c:dLbl>
              <c:idx val="19"/>
              <c:delete val="1"/>
              <c:extLst>
                <c:ext xmlns:c15="http://schemas.microsoft.com/office/drawing/2012/chart" uri="{CE6537A1-D6FC-4f65-9D91-7224C49458BB}"/>
                <c:ext xmlns:c16="http://schemas.microsoft.com/office/drawing/2014/chart" uri="{C3380CC4-5D6E-409C-BE32-E72D297353CC}">
                  <c16:uniqueId val="{00000013-B643-413A-9257-77676A6DB05D}"/>
                </c:ext>
              </c:extLst>
            </c:dLbl>
            <c:dLbl>
              <c:idx val="20"/>
              <c:delete val="1"/>
              <c:extLst>
                <c:ext xmlns:c15="http://schemas.microsoft.com/office/drawing/2012/chart" uri="{CE6537A1-D6FC-4f65-9D91-7224C49458BB}"/>
                <c:ext xmlns:c16="http://schemas.microsoft.com/office/drawing/2014/chart" uri="{C3380CC4-5D6E-409C-BE32-E72D297353CC}">
                  <c16:uniqueId val="{00000014-B643-413A-9257-77676A6DB05D}"/>
                </c:ext>
              </c:extLst>
            </c:dLbl>
            <c:dLbl>
              <c:idx val="21"/>
              <c:delete val="1"/>
              <c:extLst>
                <c:ext xmlns:c15="http://schemas.microsoft.com/office/drawing/2012/chart" uri="{CE6537A1-D6FC-4f65-9D91-7224C49458BB}"/>
                <c:ext xmlns:c16="http://schemas.microsoft.com/office/drawing/2014/chart" uri="{C3380CC4-5D6E-409C-BE32-E72D297353CC}">
                  <c16:uniqueId val="{00000015-B643-413A-9257-77676A6DB05D}"/>
                </c:ext>
              </c:extLst>
            </c:dLbl>
            <c:dLbl>
              <c:idx val="22"/>
              <c:layout>
                <c:manualLayout>
                  <c:x val="0"/>
                  <c:y val="-4.0123447039115724E-2"/>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643-413A-9257-77676A6DB05D}"/>
                </c:ext>
              </c:extLst>
            </c:dLbl>
            <c:dLbl>
              <c:idx val="23"/>
              <c:layout>
                <c:manualLayout>
                  <c:x val="0"/>
                  <c:y val="-0.34259250933398738"/>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643-413A-9257-77676A6DB05D}"/>
                </c:ext>
              </c:extLst>
            </c:dLbl>
            <c:dLbl>
              <c:idx val="24"/>
              <c:layout>
                <c:manualLayout>
                  <c:x val="0"/>
                  <c:y val="-0.12654317912336471"/>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643-413A-9257-77676A6DB05D}"/>
                </c:ext>
              </c:extLst>
            </c:dLbl>
            <c:dLbl>
              <c:idx val="25"/>
              <c:layout>
                <c:manualLayout>
                  <c:x val="0"/>
                  <c:y val="-0.18209872117752587"/>
                </c:manualLayout>
              </c:layout>
              <c:spPr/>
              <c:txPr>
                <a:bodyPr/>
                <a:lstStyle/>
                <a:p>
                  <a:pPr>
                    <a:defRPr/>
                  </a:pPr>
                  <a:endParaRPr lang="sr-Latn-R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643-413A-9257-77676A6DB05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'[1]ZET-bus-novi'!$L$14:$AK$14</c:f>
              <c:numCache>
                <c:formatCode>General</c:formatCode>
                <c:ptCount val="26"/>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numCache>
            </c:numRef>
          </c:cat>
          <c:val>
            <c:numRef>
              <c:f>'[1]ZET-bus-novi'!$L$16:$AK$16</c:f>
              <c:numCache>
                <c:formatCode>General</c:formatCode>
                <c:ptCount val="26"/>
                <c:pt idx="0">
                  <c:v>4</c:v>
                </c:pt>
                <c:pt idx="1">
                  <c:v>0</c:v>
                </c:pt>
                <c:pt idx="2">
                  <c:v>0</c:v>
                </c:pt>
                <c:pt idx="3">
                  <c:v>9</c:v>
                </c:pt>
                <c:pt idx="4">
                  <c:v>28</c:v>
                </c:pt>
                <c:pt idx="5">
                  <c:v>0</c:v>
                </c:pt>
                <c:pt idx="6">
                  <c:v>0</c:v>
                </c:pt>
                <c:pt idx="7">
                  <c:v>3</c:v>
                </c:pt>
                <c:pt idx="8">
                  <c:v>0</c:v>
                </c:pt>
                <c:pt idx="9">
                  <c:v>0</c:v>
                </c:pt>
                <c:pt idx="10">
                  <c:v>0</c:v>
                </c:pt>
                <c:pt idx="11">
                  <c:v>0</c:v>
                </c:pt>
                <c:pt idx="12">
                  <c:v>0</c:v>
                </c:pt>
                <c:pt idx="13">
                  <c:v>0</c:v>
                </c:pt>
                <c:pt idx="14">
                  <c:v>0</c:v>
                </c:pt>
                <c:pt idx="15">
                  <c:v>0</c:v>
                </c:pt>
                <c:pt idx="16">
                  <c:v>25</c:v>
                </c:pt>
                <c:pt idx="17">
                  <c:v>0</c:v>
                </c:pt>
                <c:pt idx="18">
                  <c:v>25</c:v>
                </c:pt>
                <c:pt idx="19">
                  <c:v>0</c:v>
                </c:pt>
                <c:pt idx="20">
                  <c:v>0</c:v>
                </c:pt>
                <c:pt idx="21">
                  <c:v>0</c:v>
                </c:pt>
                <c:pt idx="22">
                  <c:v>1</c:v>
                </c:pt>
                <c:pt idx="23">
                  <c:v>29</c:v>
                </c:pt>
                <c:pt idx="24">
                  <c:v>9</c:v>
                </c:pt>
                <c:pt idx="25">
                  <c:v>14</c:v>
                </c:pt>
              </c:numCache>
            </c:numRef>
          </c:val>
          <c:extLst>
            <c:ext xmlns:c16="http://schemas.microsoft.com/office/drawing/2014/chart" uri="{C3380CC4-5D6E-409C-BE32-E72D297353CC}">
              <c16:uniqueId val="{0000001A-B643-413A-9257-77676A6DB05D}"/>
            </c:ext>
          </c:extLst>
        </c:ser>
        <c:dLbls>
          <c:showLegendKey val="0"/>
          <c:showVal val="0"/>
          <c:showCatName val="0"/>
          <c:showSerName val="0"/>
          <c:showPercent val="0"/>
          <c:showBubbleSize val="0"/>
        </c:dLbls>
        <c:gapWidth val="13"/>
        <c:overlap val="100"/>
        <c:axId val="361243136"/>
        <c:axId val="458285632"/>
      </c:barChart>
      <c:catAx>
        <c:axId val="361243136"/>
        <c:scaling>
          <c:orientation val="minMax"/>
        </c:scaling>
        <c:delete val="0"/>
        <c:axPos val="b"/>
        <c:title>
          <c:tx>
            <c:rich>
              <a:bodyPr/>
              <a:lstStyle/>
              <a:p>
                <a:pPr>
                  <a:defRPr/>
                </a:pPr>
                <a:r>
                  <a:rPr lang="hr-HR">
                    <a:latin typeface="+mn-lt"/>
                  </a:rPr>
                  <a:t>Godina</a:t>
                </a:r>
                <a:r>
                  <a:rPr lang="hr-HR" baseline="0">
                    <a:latin typeface="+mn-lt"/>
                  </a:rPr>
                  <a:t> proizvodnje</a:t>
                </a:r>
                <a:endParaRPr lang="hr-HR">
                  <a:latin typeface="+mn-lt"/>
                </a:endParaRPr>
              </a:p>
            </c:rich>
          </c:tx>
          <c:overlay val="0"/>
        </c:title>
        <c:numFmt formatCode="General" sourceLinked="1"/>
        <c:majorTickMark val="out"/>
        <c:minorTickMark val="none"/>
        <c:tickLblPos val="nextTo"/>
        <c:crossAx val="458285632"/>
        <c:crosses val="autoZero"/>
        <c:auto val="1"/>
        <c:lblAlgn val="ctr"/>
        <c:lblOffset val="100"/>
        <c:tickLblSkip val="2"/>
        <c:noMultiLvlLbl val="0"/>
      </c:catAx>
      <c:valAx>
        <c:axId val="458285632"/>
        <c:scaling>
          <c:orientation val="minMax"/>
        </c:scaling>
        <c:delete val="0"/>
        <c:axPos val="l"/>
        <c:majorGridlines>
          <c:spPr>
            <a:ln>
              <a:prstDash val="sysDash"/>
            </a:ln>
          </c:spPr>
        </c:majorGridlines>
        <c:title>
          <c:tx>
            <c:rich>
              <a:bodyPr rot="-5400000" vert="horz"/>
              <a:lstStyle/>
              <a:p>
                <a:pPr>
                  <a:defRPr/>
                </a:pPr>
                <a:r>
                  <a:rPr lang="hr-HR"/>
                  <a:t>Broj</a:t>
                </a:r>
              </a:p>
            </c:rich>
          </c:tx>
          <c:overlay val="0"/>
        </c:title>
        <c:numFmt formatCode="General" sourceLinked="1"/>
        <c:majorTickMark val="out"/>
        <c:minorTickMark val="none"/>
        <c:tickLblPos val="nextTo"/>
        <c:txPr>
          <a:bodyPr/>
          <a:lstStyle/>
          <a:p>
            <a:pPr>
              <a:defRPr>
                <a:latin typeface="+mn-lt"/>
              </a:defRPr>
            </a:pPr>
            <a:endParaRPr lang="sr-Latn-RS"/>
          </a:p>
        </c:txPr>
        <c:crossAx val="361243136"/>
        <c:crosses val="autoZero"/>
        <c:crossBetween val="between"/>
      </c:valAx>
    </c:plotArea>
    <c:plotVisOnly val="1"/>
    <c:dispBlanksAs val="gap"/>
    <c:showDLblsOverMax val="0"/>
  </c:chart>
  <c:spPr>
    <a:ln>
      <a:noFill/>
    </a:ln>
  </c:spPr>
  <c:txPr>
    <a:bodyPr/>
    <a:lstStyle/>
    <a:p>
      <a:pPr>
        <a:defRPr>
          <a:latin typeface="Arial" pitchFamily="34" charset="0"/>
          <a:cs typeface="Arial" pitchFamily="34" charset="0"/>
        </a:defRPr>
      </a:pPr>
      <a:endParaRPr lang="sr-Latn-R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spPr>
            <a:gradFill>
              <a:gsLst>
                <a:gs pos="0">
                  <a:srgbClr val="C0504D">
                    <a:lumMod val="50000"/>
                  </a:srgbClr>
                </a:gs>
                <a:gs pos="50000">
                  <a:srgbClr val="C0504D">
                    <a:lumMod val="60000"/>
                    <a:lumOff val="40000"/>
                  </a:srgbClr>
                </a:gs>
                <a:gs pos="100000">
                  <a:srgbClr val="C0504D">
                    <a:lumMod val="50000"/>
                  </a:srgbClr>
                </a:gs>
              </a:gsLst>
              <a:lin ang="10800000" scaled="1"/>
            </a:gradFill>
          </c:spPr>
          <c:invertIfNegative val="0"/>
          <c:dPt>
            <c:idx val="0"/>
            <c:invertIfNegative val="0"/>
            <c:bubble3D val="0"/>
            <c:spPr>
              <a:gradFill>
                <a:gsLst>
                  <a:gs pos="0">
                    <a:srgbClr val="4BACC6">
                      <a:lumMod val="50000"/>
                    </a:srgbClr>
                  </a:gs>
                  <a:gs pos="50000">
                    <a:srgbClr val="4BACC6">
                      <a:lumMod val="60000"/>
                      <a:lumOff val="40000"/>
                    </a:srgbClr>
                  </a:gs>
                  <a:gs pos="100000">
                    <a:schemeClr val="accent5">
                      <a:lumMod val="50000"/>
                    </a:schemeClr>
                  </a:gs>
                </a:gsLst>
                <a:lin ang="10800000" scaled="1"/>
              </a:gradFill>
            </c:spPr>
            <c:extLst>
              <c:ext xmlns:c16="http://schemas.microsoft.com/office/drawing/2014/chart" uri="{C3380CC4-5D6E-409C-BE32-E72D297353CC}">
                <c16:uniqueId val="{00000001-373C-4492-8B8E-71D57C8410F2}"/>
              </c:ext>
            </c:extLst>
          </c:dPt>
          <c:dPt>
            <c:idx val="1"/>
            <c:invertIfNegative val="0"/>
            <c:bubble3D val="0"/>
            <c:spPr>
              <a:gradFill>
                <a:gsLst>
                  <a:gs pos="0">
                    <a:srgbClr val="9BBB59">
                      <a:lumMod val="50000"/>
                    </a:srgbClr>
                  </a:gs>
                  <a:gs pos="50000">
                    <a:srgbClr val="9BBB59">
                      <a:lumMod val="60000"/>
                      <a:lumOff val="40000"/>
                    </a:srgbClr>
                  </a:gs>
                  <a:gs pos="100000">
                    <a:schemeClr val="accent3">
                      <a:lumMod val="50000"/>
                    </a:schemeClr>
                  </a:gs>
                </a:gsLst>
                <a:lin ang="10800000" scaled="1"/>
              </a:gradFill>
            </c:spPr>
            <c:extLst>
              <c:ext xmlns:c16="http://schemas.microsoft.com/office/drawing/2014/chart" uri="{C3380CC4-5D6E-409C-BE32-E72D297353CC}">
                <c16:uniqueId val="{00000003-373C-4492-8B8E-71D57C8410F2}"/>
              </c:ext>
            </c:extLst>
          </c:dPt>
          <c:cat>
            <c:strRef>
              <c:f>'[1]potrosnja goriva'!$B$215:$B$216</c:f>
              <c:strCache>
                <c:ptCount val="2"/>
                <c:pt idx="0">
                  <c:v>dizel</c:v>
                </c:pt>
                <c:pt idx="1">
                  <c:v>biodizel</c:v>
                </c:pt>
              </c:strCache>
            </c:strRef>
          </c:cat>
          <c:val>
            <c:numRef>
              <c:f>'[1]potrosnja goriva'!$C$215:$C$216</c:f>
              <c:numCache>
                <c:formatCode>General</c:formatCode>
                <c:ptCount val="2"/>
                <c:pt idx="0">
                  <c:v>10285.20588</c:v>
                </c:pt>
                <c:pt idx="1">
                  <c:v>265.82</c:v>
                </c:pt>
              </c:numCache>
            </c:numRef>
          </c:val>
          <c:extLst>
            <c:ext xmlns:c16="http://schemas.microsoft.com/office/drawing/2014/chart" uri="{C3380CC4-5D6E-409C-BE32-E72D297353CC}">
              <c16:uniqueId val="{00000004-373C-4492-8B8E-71D57C8410F2}"/>
            </c:ext>
          </c:extLst>
        </c:ser>
        <c:dLbls>
          <c:showLegendKey val="0"/>
          <c:showVal val="0"/>
          <c:showCatName val="0"/>
          <c:showSerName val="0"/>
          <c:showPercent val="0"/>
          <c:showBubbleSize val="0"/>
        </c:dLbls>
        <c:gapWidth val="150"/>
        <c:overlap val="100"/>
        <c:axId val="354196480"/>
        <c:axId val="458287936"/>
      </c:barChart>
      <c:catAx>
        <c:axId val="354196480"/>
        <c:scaling>
          <c:orientation val="minMax"/>
        </c:scaling>
        <c:delete val="0"/>
        <c:axPos val="b"/>
        <c:numFmt formatCode="General" sourceLinked="1"/>
        <c:majorTickMark val="out"/>
        <c:minorTickMark val="none"/>
        <c:tickLblPos val="nextTo"/>
        <c:txPr>
          <a:bodyPr rot="0" vert="horz"/>
          <a:lstStyle/>
          <a:p>
            <a:pPr>
              <a:defRPr/>
            </a:pPr>
            <a:endParaRPr lang="sr-Latn-RS"/>
          </a:p>
        </c:txPr>
        <c:crossAx val="458287936"/>
        <c:crosses val="autoZero"/>
        <c:auto val="1"/>
        <c:lblAlgn val="ctr"/>
        <c:lblOffset val="100"/>
        <c:noMultiLvlLbl val="0"/>
      </c:catAx>
      <c:valAx>
        <c:axId val="458287936"/>
        <c:scaling>
          <c:orientation val="minMax"/>
        </c:scaling>
        <c:delete val="0"/>
        <c:axPos val="l"/>
        <c:majorGridlines>
          <c:spPr>
            <a:ln>
              <a:prstDash val="sysDash"/>
            </a:ln>
          </c:spPr>
        </c:majorGridlines>
        <c:title>
          <c:tx>
            <c:rich>
              <a:bodyPr/>
              <a:lstStyle/>
              <a:p>
                <a:pPr>
                  <a:defRPr b="0"/>
                </a:pPr>
                <a:r>
                  <a:rPr lang="hr-HR" b="0"/>
                  <a:t>Potrošnja goriva gradskih autobusa, t</a:t>
                </a:r>
              </a:p>
            </c:rich>
          </c:tx>
          <c:overlay val="0"/>
        </c:title>
        <c:numFmt formatCode="0" sourceLinked="0"/>
        <c:majorTickMark val="out"/>
        <c:minorTickMark val="none"/>
        <c:tickLblPos val="nextTo"/>
        <c:txPr>
          <a:bodyPr rot="0" vert="horz"/>
          <a:lstStyle/>
          <a:p>
            <a:pPr>
              <a:defRPr/>
            </a:pPr>
            <a:endParaRPr lang="sr-Latn-RS"/>
          </a:p>
        </c:txPr>
        <c:crossAx val="354196480"/>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mn-lt"/>
          <a:ea typeface="Arial"/>
          <a:cs typeface="Arial"/>
        </a:defRPr>
      </a:pPr>
      <a:endParaRPr lang="sr-Latn-R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spPr>
            <a:gradFill>
              <a:gsLst>
                <a:gs pos="0">
                  <a:srgbClr val="C0504D">
                    <a:lumMod val="50000"/>
                  </a:srgbClr>
                </a:gs>
                <a:gs pos="50000">
                  <a:srgbClr val="C0504D">
                    <a:lumMod val="60000"/>
                    <a:lumOff val="40000"/>
                  </a:srgbClr>
                </a:gs>
                <a:gs pos="100000">
                  <a:srgbClr val="C0504D">
                    <a:lumMod val="50000"/>
                  </a:srgbClr>
                </a:gs>
              </a:gsLst>
              <a:lin ang="10800000" scaled="1"/>
            </a:gradFill>
          </c:spPr>
          <c:invertIfNegative val="0"/>
          <c:dPt>
            <c:idx val="0"/>
            <c:invertIfNegative val="0"/>
            <c:bubble3D val="0"/>
            <c:spPr>
              <a:gradFill>
                <a:gsLst>
                  <a:gs pos="0">
                    <a:srgbClr val="4BACC6">
                      <a:lumMod val="50000"/>
                    </a:srgbClr>
                  </a:gs>
                  <a:gs pos="50000">
                    <a:srgbClr val="4BACC6">
                      <a:lumMod val="60000"/>
                      <a:lumOff val="40000"/>
                    </a:srgbClr>
                  </a:gs>
                  <a:gs pos="100000">
                    <a:schemeClr val="accent5">
                      <a:lumMod val="50000"/>
                    </a:schemeClr>
                  </a:gs>
                </a:gsLst>
                <a:lin ang="10800000" scaled="1"/>
              </a:gradFill>
            </c:spPr>
            <c:extLst>
              <c:ext xmlns:c16="http://schemas.microsoft.com/office/drawing/2014/chart" uri="{C3380CC4-5D6E-409C-BE32-E72D297353CC}">
                <c16:uniqueId val="{00000001-2839-4C51-90AB-533D66EF6E73}"/>
              </c:ext>
            </c:extLst>
          </c:dPt>
          <c:dPt>
            <c:idx val="1"/>
            <c:invertIfNegative val="0"/>
            <c:bubble3D val="0"/>
            <c:spPr>
              <a:gradFill>
                <a:gsLst>
                  <a:gs pos="0">
                    <a:srgbClr val="9BBB59">
                      <a:lumMod val="50000"/>
                    </a:srgbClr>
                  </a:gs>
                  <a:gs pos="50000">
                    <a:srgbClr val="9BBB59">
                      <a:lumMod val="60000"/>
                      <a:lumOff val="40000"/>
                    </a:srgbClr>
                  </a:gs>
                  <a:gs pos="100000">
                    <a:schemeClr val="accent3">
                      <a:lumMod val="50000"/>
                    </a:schemeClr>
                  </a:gs>
                </a:gsLst>
                <a:lin ang="10800000" scaled="1"/>
              </a:gradFill>
            </c:spPr>
            <c:extLst>
              <c:ext xmlns:c16="http://schemas.microsoft.com/office/drawing/2014/chart" uri="{C3380CC4-5D6E-409C-BE32-E72D297353CC}">
                <c16:uniqueId val="{00000003-2839-4C51-90AB-533D66EF6E73}"/>
              </c:ext>
            </c:extLst>
          </c:dPt>
          <c:cat>
            <c:strRef>
              <c:f>'[1]potrosnja goriva'!$B$124:$B$125</c:f>
              <c:strCache>
                <c:ptCount val="2"/>
                <c:pt idx="0">
                  <c:v>gradski</c:v>
                </c:pt>
                <c:pt idx="1">
                  <c:v>međugradski</c:v>
                </c:pt>
              </c:strCache>
            </c:strRef>
          </c:cat>
          <c:val>
            <c:numRef>
              <c:f>'[1]potrosnja goriva'!$C$124:$C$125</c:f>
              <c:numCache>
                <c:formatCode>General</c:formatCode>
                <c:ptCount val="2"/>
                <c:pt idx="0">
                  <c:v>10298.251686096191</c:v>
                </c:pt>
                <c:pt idx="1">
                  <c:v>1331.0104484558026</c:v>
                </c:pt>
              </c:numCache>
            </c:numRef>
          </c:val>
          <c:extLst>
            <c:ext xmlns:c16="http://schemas.microsoft.com/office/drawing/2014/chart" uri="{C3380CC4-5D6E-409C-BE32-E72D297353CC}">
              <c16:uniqueId val="{00000004-2839-4C51-90AB-533D66EF6E73}"/>
            </c:ext>
          </c:extLst>
        </c:ser>
        <c:dLbls>
          <c:showLegendKey val="0"/>
          <c:showVal val="0"/>
          <c:showCatName val="0"/>
          <c:showSerName val="0"/>
          <c:showPercent val="0"/>
          <c:showBubbleSize val="0"/>
        </c:dLbls>
        <c:gapWidth val="150"/>
        <c:overlap val="100"/>
        <c:axId val="354194432"/>
        <c:axId val="458289664"/>
      </c:barChart>
      <c:catAx>
        <c:axId val="354194432"/>
        <c:scaling>
          <c:orientation val="minMax"/>
        </c:scaling>
        <c:delete val="0"/>
        <c:axPos val="b"/>
        <c:numFmt formatCode="General" sourceLinked="1"/>
        <c:majorTickMark val="out"/>
        <c:minorTickMark val="none"/>
        <c:tickLblPos val="nextTo"/>
        <c:txPr>
          <a:bodyPr rot="0" vert="horz"/>
          <a:lstStyle/>
          <a:p>
            <a:pPr>
              <a:defRPr/>
            </a:pPr>
            <a:endParaRPr lang="sr-Latn-RS"/>
          </a:p>
        </c:txPr>
        <c:crossAx val="458289664"/>
        <c:crosses val="autoZero"/>
        <c:auto val="1"/>
        <c:lblAlgn val="ctr"/>
        <c:lblOffset val="100"/>
        <c:noMultiLvlLbl val="0"/>
      </c:catAx>
      <c:valAx>
        <c:axId val="458289664"/>
        <c:scaling>
          <c:orientation val="minMax"/>
        </c:scaling>
        <c:delete val="0"/>
        <c:axPos val="l"/>
        <c:majorGridlines>
          <c:spPr>
            <a:ln>
              <a:prstDash val="sysDash"/>
            </a:ln>
          </c:spPr>
        </c:majorGridlines>
        <c:title>
          <c:tx>
            <c:rich>
              <a:bodyPr/>
              <a:lstStyle/>
              <a:p>
                <a:pPr>
                  <a:defRPr/>
                </a:pPr>
                <a:r>
                  <a:rPr lang="hr-HR"/>
                  <a:t>Potrošnja dizelskog goriva</a:t>
                </a:r>
              </a:p>
            </c:rich>
          </c:tx>
          <c:overlay val="0"/>
        </c:title>
        <c:numFmt formatCode="0" sourceLinked="0"/>
        <c:majorTickMark val="out"/>
        <c:minorTickMark val="none"/>
        <c:tickLblPos val="nextTo"/>
        <c:txPr>
          <a:bodyPr rot="0" vert="horz"/>
          <a:lstStyle/>
          <a:p>
            <a:pPr>
              <a:defRPr/>
            </a:pPr>
            <a:endParaRPr lang="sr-Latn-RS"/>
          </a:p>
        </c:txPr>
        <c:crossAx val="354194432"/>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mn-lt"/>
          <a:ea typeface="Arial"/>
          <a:cs typeface="Arial"/>
        </a:defRPr>
      </a:pPr>
      <a:endParaRPr lang="sr-Latn-R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Osobna vozila</a:t>
            </a:r>
          </a:p>
        </c:rich>
      </c:tx>
      <c:overlay val="1"/>
    </c:title>
    <c:autoTitleDeleted val="0"/>
    <c:plotArea>
      <c:layout>
        <c:manualLayout>
          <c:layoutTarget val="inner"/>
          <c:xMode val="edge"/>
          <c:yMode val="edge"/>
          <c:x val="0.17684822610818171"/>
          <c:y val="0.10984848484848486"/>
          <c:w val="0.5591003548254857"/>
          <c:h val="0.77076383917920022"/>
        </c:manualLayout>
      </c:layout>
      <c:barChart>
        <c:barDir val="col"/>
        <c:grouping val="stacked"/>
        <c:varyColors val="0"/>
        <c:ser>
          <c:idx val="6"/>
          <c:order val="0"/>
          <c:tx>
            <c:strRef>
              <c:f>'[1]potrosnja goriva'!$I$111</c:f>
              <c:strCache>
                <c:ptCount val="1"/>
                <c:pt idx="0">
                  <c:v>2-taktni benzinski</c:v>
                </c:pt>
              </c:strCache>
            </c:strRef>
          </c:tx>
          <c:spPr>
            <a:gradFill>
              <a:gsLst>
                <a:gs pos="0">
                  <a:srgbClr val="1F497D">
                    <a:lumMod val="20000"/>
                    <a:lumOff val="80000"/>
                  </a:srgbClr>
                </a:gs>
                <a:gs pos="50000">
                  <a:srgbClr val="4BACC6">
                    <a:lumMod val="20000"/>
                    <a:lumOff val="80000"/>
                  </a:srgbClr>
                </a:gs>
                <a:gs pos="100000">
                  <a:schemeClr val="accent5">
                    <a:lumMod val="20000"/>
                    <a:lumOff val="80000"/>
                  </a:schemeClr>
                </a:gs>
              </a:gsLst>
              <a:lin ang="10800000" scaled="1"/>
            </a:gradFill>
          </c:spPr>
          <c:invertIfNegative val="0"/>
          <c:cat>
            <c:strRef>
              <c:f>'[1]potrosnja goriva'!$B$112:$B$114</c:f>
              <c:strCache>
                <c:ptCount val="3"/>
                <c:pt idx="0">
                  <c:v>BENZIN</c:v>
                </c:pt>
                <c:pt idx="1">
                  <c:v>DIZEL</c:v>
                </c:pt>
                <c:pt idx="2">
                  <c:v>LPG</c:v>
                </c:pt>
              </c:strCache>
            </c:strRef>
          </c:cat>
          <c:val>
            <c:numRef>
              <c:f>'[1]potrosnja goriva'!$I$112:$I$114</c:f>
              <c:numCache>
                <c:formatCode>General</c:formatCode>
                <c:ptCount val="3"/>
                <c:pt idx="0">
                  <c:v>7.5108003616333008</c:v>
                </c:pt>
              </c:numCache>
            </c:numRef>
          </c:val>
          <c:extLst>
            <c:ext xmlns:c16="http://schemas.microsoft.com/office/drawing/2014/chart" uri="{C3380CC4-5D6E-409C-BE32-E72D297353CC}">
              <c16:uniqueId val="{00000000-E1C5-482A-8216-0B01F81BF507}"/>
            </c:ext>
          </c:extLst>
        </c:ser>
        <c:ser>
          <c:idx val="0"/>
          <c:order val="1"/>
          <c:tx>
            <c:strRef>
              <c:f>'[1]potrosnja goriva'!$C$111</c:f>
              <c:strCache>
                <c:ptCount val="1"/>
                <c:pt idx="0">
                  <c:v>benzin &lt;1,4 l</c:v>
                </c:pt>
              </c:strCache>
            </c:strRef>
          </c:tx>
          <c:spPr>
            <a:gradFill flip="none" rotWithShape="1">
              <a:gsLst>
                <a:gs pos="0">
                  <a:srgbClr val="1F497D">
                    <a:lumMod val="50000"/>
                  </a:srgbClr>
                </a:gs>
                <a:gs pos="50000">
                  <a:srgbClr val="1F497D">
                    <a:lumMod val="60000"/>
                    <a:lumOff val="40000"/>
                  </a:srgbClr>
                </a:gs>
                <a:gs pos="100000">
                  <a:schemeClr val="tx2">
                    <a:lumMod val="50000"/>
                  </a:schemeClr>
                </a:gs>
              </a:gsLst>
              <a:lin ang="10800000" scaled="1"/>
              <a:tileRect/>
            </a:gradFill>
          </c:spPr>
          <c:invertIfNegative val="0"/>
          <c:cat>
            <c:strRef>
              <c:f>'[1]potrosnja goriva'!$B$112:$B$114</c:f>
              <c:strCache>
                <c:ptCount val="3"/>
                <c:pt idx="0">
                  <c:v>BENZIN</c:v>
                </c:pt>
                <c:pt idx="1">
                  <c:v>DIZEL</c:v>
                </c:pt>
                <c:pt idx="2">
                  <c:v>LPG</c:v>
                </c:pt>
              </c:strCache>
            </c:strRef>
          </c:cat>
          <c:val>
            <c:numRef>
              <c:f>'[1]potrosnja goriva'!$C$112:$C$114</c:f>
              <c:numCache>
                <c:formatCode>General</c:formatCode>
                <c:ptCount val="3"/>
                <c:pt idx="0">
                  <c:v>77324.764241218378</c:v>
                </c:pt>
              </c:numCache>
            </c:numRef>
          </c:val>
          <c:extLst>
            <c:ext xmlns:c16="http://schemas.microsoft.com/office/drawing/2014/chart" uri="{C3380CC4-5D6E-409C-BE32-E72D297353CC}">
              <c16:uniqueId val="{00000001-E1C5-482A-8216-0B01F81BF507}"/>
            </c:ext>
          </c:extLst>
        </c:ser>
        <c:ser>
          <c:idx val="1"/>
          <c:order val="2"/>
          <c:tx>
            <c:strRef>
              <c:f>'[1]potrosnja goriva'!$D$111</c:f>
              <c:strCache>
                <c:ptCount val="1"/>
                <c:pt idx="0">
                  <c:v>benzin 1,4-2,0 l</c:v>
                </c:pt>
              </c:strCache>
            </c:strRef>
          </c:tx>
          <c:spPr>
            <a:gradFill>
              <a:gsLst>
                <a:gs pos="0">
                  <a:srgbClr val="1F497D">
                    <a:lumMod val="75000"/>
                  </a:srgbClr>
                </a:gs>
                <a:gs pos="50000">
                  <a:srgbClr val="1F497D">
                    <a:lumMod val="20000"/>
                    <a:lumOff val="80000"/>
                  </a:srgbClr>
                </a:gs>
                <a:gs pos="100000">
                  <a:schemeClr val="tx2">
                    <a:lumMod val="75000"/>
                  </a:schemeClr>
                </a:gs>
              </a:gsLst>
              <a:lin ang="10800000" scaled="1"/>
            </a:gradFill>
          </c:spPr>
          <c:invertIfNegative val="0"/>
          <c:cat>
            <c:strRef>
              <c:f>'[1]potrosnja goriva'!$B$112:$B$114</c:f>
              <c:strCache>
                <c:ptCount val="3"/>
                <c:pt idx="0">
                  <c:v>BENZIN</c:v>
                </c:pt>
                <c:pt idx="1">
                  <c:v>DIZEL</c:v>
                </c:pt>
                <c:pt idx="2">
                  <c:v>LPG</c:v>
                </c:pt>
              </c:strCache>
            </c:strRef>
          </c:cat>
          <c:val>
            <c:numRef>
              <c:f>'[1]potrosnja goriva'!$D$112:$D$114</c:f>
              <c:numCache>
                <c:formatCode>General</c:formatCode>
                <c:ptCount val="3"/>
                <c:pt idx="0">
                  <c:v>42151.098465442657</c:v>
                </c:pt>
              </c:numCache>
            </c:numRef>
          </c:val>
          <c:extLst>
            <c:ext xmlns:c16="http://schemas.microsoft.com/office/drawing/2014/chart" uri="{C3380CC4-5D6E-409C-BE32-E72D297353CC}">
              <c16:uniqueId val="{00000002-E1C5-482A-8216-0B01F81BF507}"/>
            </c:ext>
          </c:extLst>
        </c:ser>
        <c:ser>
          <c:idx val="2"/>
          <c:order val="3"/>
          <c:tx>
            <c:strRef>
              <c:f>'[1]potrosnja goriva'!$E$111</c:f>
              <c:strCache>
                <c:ptCount val="1"/>
                <c:pt idx="0">
                  <c:v>benzin &gt;2,l</c:v>
                </c:pt>
              </c:strCache>
            </c:strRef>
          </c:tx>
          <c:spPr>
            <a:gradFill>
              <a:gsLst>
                <a:gs pos="0">
                  <a:schemeClr val="tx2">
                    <a:lumMod val="40000"/>
                    <a:lumOff val="60000"/>
                  </a:schemeClr>
                </a:gs>
                <a:gs pos="50000">
                  <a:srgbClr val="E9EFF7"/>
                </a:gs>
                <a:gs pos="100000">
                  <a:srgbClr val="1F497D">
                    <a:lumMod val="40000"/>
                    <a:lumOff val="60000"/>
                  </a:srgbClr>
                </a:gs>
              </a:gsLst>
              <a:lin ang="10800000" scaled="1"/>
            </a:gradFill>
          </c:spPr>
          <c:invertIfNegative val="0"/>
          <c:cat>
            <c:strRef>
              <c:f>'[1]potrosnja goriva'!$B$112:$B$114</c:f>
              <c:strCache>
                <c:ptCount val="3"/>
                <c:pt idx="0">
                  <c:v>BENZIN</c:v>
                </c:pt>
                <c:pt idx="1">
                  <c:v>DIZEL</c:v>
                </c:pt>
                <c:pt idx="2">
                  <c:v>LPG</c:v>
                </c:pt>
              </c:strCache>
            </c:strRef>
          </c:cat>
          <c:val>
            <c:numRef>
              <c:f>'[1]potrosnja goriva'!$E$112:$E$114</c:f>
              <c:numCache>
                <c:formatCode>General</c:formatCode>
                <c:ptCount val="3"/>
                <c:pt idx="0">
                  <c:v>4604.3889120817184</c:v>
                </c:pt>
              </c:numCache>
            </c:numRef>
          </c:val>
          <c:extLst>
            <c:ext xmlns:c16="http://schemas.microsoft.com/office/drawing/2014/chart" uri="{C3380CC4-5D6E-409C-BE32-E72D297353CC}">
              <c16:uniqueId val="{00000003-E1C5-482A-8216-0B01F81BF507}"/>
            </c:ext>
          </c:extLst>
        </c:ser>
        <c:ser>
          <c:idx val="3"/>
          <c:order val="4"/>
          <c:tx>
            <c:strRef>
              <c:f>'[1]potrosnja goriva'!$F$111</c:f>
              <c:strCache>
                <c:ptCount val="1"/>
                <c:pt idx="0">
                  <c:v>dizel &lt;2,0 l</c:v>
                </c:pt>
              </c:strCache>
            </c:strRef>
          </c:tx>
          <c:spPr>
            <a:gradFill flip="none" rotWithShape="1">
              <a:gsLst>
                <a:gs pos="0">
                  <a:srgbClr val="9BBB59">
                    <a:lumMod val="50000"/>
                  </a:srgbClr>
                </a:gs>
                <a:gs pos="50000">
                  <a:schemeClr val="accent3">
                    <a:lumMod val="75000"/>
                  </a:schemeClr>
                </a:gs>
                <a:gs pos="100000">
                  <a:srgbClr val="9BBB59">
                    <a:lumMod val="50000"/>
                  </a:srgbClr>
                </a:gs>
              </a:gsLst>
              <a:lin ang="10800000" scaled="1"/>
              <a:tileRect/>
            </a:gradFill>
          </c:spPr>
          <c:invertIfNegative val="0"/>
          <c:cat>
            <c:strRef>
              <c:f>'[1]potrosnja goriva'!$B$112:$B$114</c:f>
              <c:strCache>
                <c:ptCount val="3"/>
                <c:pt idx="0">
                  <c:v>BENZIN</c:v>
                </c:pt>
                <c:pt idx="1">
                  <c:v>DIZEL</c:v>
                </c:pt>
                <c:pt idx="2">
                  <c:v>LPG</c:v>
                </c:pt>
              </c:strCache>
            </c:strRef>
          </c:cat>
          <c:val>
            <c:numRef>
              <c:f>'[1]potrosnja goriva'!$F$112:$F$114</c:f>
              <c:numCache>
                <c:formatCode>General</c:formatCode>
                <c:ptCount val="3"/>
                <c:pt idx="1">
                  <c:v>49590.471130371094</c:v>
                </c:pt>
              </c:numCache>
            </c:numRef>
          </c:val>
          <c:extLst>
            <c:ext xmlns:c16="http://schemas.microsoft.com/office/drawing/2014/chart" uri="{C3380CC4-5D6E-409C-BE32-E72D297353CC}">
              <c16:uniqueId val="{00000004-E1C5-482A-8216-0B01F81BF507}"/>
            </c:ext>
          </c:extLst>
        </c:ser>
        <c:ser>
          <c:idx val="4"/>
          <c:order val="5"/>
          <c:tx>
            <c:strRef>
              <c:f>'[1]potrosnja goriva'!$G$111</c:f>
              <c:strCache>
                <c:ptCount val="1"/>
                <c:pt idx="0">
                  <c:v>dizel &gt; 2,0 l</c:v>
                </c:pt>
              </c:strCache>
            </c:strRef>
          </c:tx>
          <c:spPr>
            <a:gradFill flip="none" rotWithShape="1">
              <a:gsLst>
                <a:gs pos="0">
                  <a:srgbClr val="9BBB59">
                    <a:lumMod val="75000"/>
                  </a:srgbClr>
                </a:gs>
                <a:gs pos="50000">
                  <a:srgbClr val="9BBB59">
                    <a:lumMod val="40000"/>
                    <a:lumOff val="60000"/>
                  </a:srgbClr>
                </a:gs>
                <a:gs pos="100000">
                  <a:schemeClr val="accent3">
                    <a:lumMod val="75000"/>
                  </a:schemeClr>
                </a:gs>
              </a:gsLst>
              <a:lin ang="10800000" scaled="1"/>
              <a:tileRect/>
            </a:gradFill>
          </c:spPr>
          <c:invertIfNegative val="0"/>
          <c:cat>
            <c:strRef>
              <c:f>'[1]potrosnja goriva'!$B$112:$B$114</c:f>
              <c:strCache>
                <c:ptCount val="3"/>
                <c:pt idx="0">
                  <c:v>BENZIN</c:v>
                </c:pt>
                <c:pt idx="1">
                  <c:v>DIZEL</c:v>
                </c:pt>
                <c:pt idx="2">
                  <c:v>LPG</c:v>
                </c:pt>
              </c:strCache>
            </c:strRef>
          </c:cat>
          <c:val>
            <c:numRef>
              <c:f>'[1]potrosnja goriva'!$G$112:$G$114</c:f>
              <c:numCache>
                <c:formatCode>General</c:formatCode>
                <c:ptCount val="3"/>
                <c:pt idx="1">
                  <c:v>6882.3285751342773</c:v>
                </c:pt>
              </c:numCache>
            </c:numRef>
          </c:val>
          <c:extLst>
            <c:ext xmlns:c16="http://schemas.microsoft.com/office/drawing/2014/chart" uri="{C3380CC4-5D6E-409C-BE32-E72D297353CC}">
              <c16:uniqueId val="{00000005-E1C5-482A-8216-0B01F81BF507}"/>
            </c:ext>
          </c:extLst>
        </c:ser>
        <c:ser>
          <c:idx val="5"/>
          <c:order val="6"/>
          <c:tx>
            <c:strRef>
              <c:f>'[1]potrosnja goriva'!$H$111</c:f>
              <c:strCache>
                <c:ptCount val="1"/>
                <c:pt idx="0">
                  <c:v>unp</c:v>
                </c:pt>
              </c:strCache>
            </c:strRef>
          </c:tx>
          <c:spPr>
            <a:gradFill>
              <a:gsLst>
                <a:gs pos="0">
                  <a:srgbClr val="C0504D">
                    <a:lumMod val="50000"/>
                  </a:srgbClr>
                </a:gs>
                <a:gs pos="50000">
                  <a:srgbClr val="C0504D">
                    <a:lumMod val="60000"/>
                    <a:lumOff val="40000"/>
                  </a:srgbClr>
                </a:gs>
                <a:gs pos="100000">
                  <a:schemeClr val="accent2">
                    <a:lumMod val="50000"/>
                  </a:schemeClr>
                </a:gs>
              </a:gsLst>
              <a:lin ang="10800000" scaled="1"/>
            </a:gradFill>
          </c:spPr>
          <c:invertIfNegative val="0"/>
          <c:cat>
            <c:strRef>
              <c:f>'[1]potrosnja goriva'!$B$112:$B$114</c:f>
              <c:strCache>
                <c:ptCount val="3"/>
                <c:pt idx="0">
                  <c:v>BENZIN</c:v>
                </c:pt>
                <c:pt idx="1">
                  <c:v>DIZEL</c:v>
                </c:pt>
                <c:pt idx="2">
                  <c:v>LPG</c:v>
                </c:pt>
              </c:strCache>
            </c:strRef>
          </c:cat>
          <c:val>
            <c:numRef>
              <c:f>'[1]potrosnja goriva'!$H$112:$H$114</c:f>
              <c:numCache>
                <c:formatCode>General</c:formatCode>
                <c:ptCount val="3"/>
                <c:pt idx="2">
                  <c:v>2282.6873416900635</c:v>
                </c:pt>
              </c:numCache>
            </c:numRef>
          </c:val>
          <c:extLst>
            <c:ext xmlns:c16="http://schemas.microsoft.com/office/drawing/2014/chart" uri="{C3380CC4-5D6E-409C-BE32-E72D297353CC}">
              <c16:uniqueId val="{00000006-E1C5-482A-8216-0B01F81BF507}"/>
            </c:ext>
          </c:extLst>
        </c:ser>
        <c:dLbls>
          <c:showLegendKey val="0"/>
          <c:showVal val="0"/>
          <c:showCatName val="0"/>
          <c:showSerName val="0"/>
          <c:showPercent val="0"/>
          <c:showBubbleSize val="0"/>
        </c:dLbls>
        <c:gapWidth val="150"/>
        <c:overlap val="100"/>
        <c:axId val="361244160"/>
        <c:axId val="458291392"/>
      </c:barChart>
      <c:catAx>
        <c:axId val="361244160"/>
        <c:scaling>
          <c:orientation val="minMax"/>
        </c:scaling>
        <c:delete val="0"/>
        <c:axPos val="b"/>
        <c:numFmt formatCode="General" sourceLinked="1"/>
        <c:majorTickMark val="out"/>
        <c:minorTickMark val="none"/>
        <c:tickLblPos val="nextTo"/>
        <c:txPr>
          <a:bodyPr rot="0" vert="horz"/>
          <a:lstStyle/>
          <a:p>
            <a:pPr>
              <a:defRPr/>
            </a:pPr>
            <a:endParaRPr lang="sr-Latn-RS"/>
          </a:p>
        </c:txPr>
        <c:crossAx val="458291392"/>
        <c:crosses val="autoZero"/>
        <c:auto val="1"/>
        <c:lblAlgn val="ctr"/>
        <c:lblOffset val="100"/>
        <c:noMultiLvlLbl val="0"/>
      </c:catAx>
      <c:valAx>
        <c:axId val="458291392"/>
        <c:scaling>
          <c:orientation val="minMax"/>
        </c:scaling>
        <c:delete val="0"/>
        <c:axPos val="l"/>
        <c:majorGridlines>
          <c:spPr>
            <a:ln>
              <a:solidFill>
                <a:sysClr val="windowText" lastClr="000000">
                  <a:tint val="75000"/>
                  <a:shade val="95000"/>
                  <a:satMod val="105000"/>
                </a:sysClr>
              </a:solidFill>
              <a:prstDash val="sysDash"/>
            </a:ln>
          </c:spPr>
        </c:majorGridlines>
        <c:title>
          <c:tx>
            <c:rich>
              <a:bodyPr/>
              <a:lstStyle/>
              <a:p>
                <a:pPr>
                  <a:defRPr/>
                </a:pPr>
                <a:r>
                  <a:rPr lang="hr-HR"/>
                  <a:t>potrošnja goriva, t</a:t>
                </a:r>
              </a:p>
            </c:rich>
          </c:tx>
          <c:overlay val="0"/>
        </c:title>
        <c:numFmt formatCode="General" sourceLinked="1"/>
        <c:majorTickMark val="out"/>
        <c:minorTickMark val="none"/>
        <c:tickLblPos val="nextTo"/>
        <c:txPr>
          <a:bodyPr rot="0" vert="horz"/>
          <a:lstStyle/>
          <a:p>
            <a:pPr>
              <a:defRPr/>
            </a:pPr>
            <a:endParaRPr lang="sr-Latn-RS"/>
          </a:p>
        </c:txPr>
        <c:crossAx val="361244160"/>
        <c:crosses val="autoZero"/>
        <c:crossBetween val="between"/>
      </c:valAx>
    </c:plotArea>
    <c:legend>
      <c:legendPos val="r"/>
      <c:overlay val="0"/>
    </c:legend>
    <c:plotVisOnly val="1"/>
    <c:dispBlanksAs val="gap"/>
    <c:showDLblsOverMax val="0"/>
  </c:chart>
  <c:spPr>
    <a:ln>
      <a:noFill/>
    </a:ln>
  </c:spPr>
  <c:txPr>
    <a:bodyPr/>
    <a:lstStyle/>
    <a:p>
      <a:pPr>
        <a:defRPr sz="1000" b="0" i="0" u="none" strike="noStrike" baseline="0">
          <a:solidFill>
            <a:srgbClr val="000000"/>
          </a:solidFill>
          <a:latin typeface="+mn-lt"/>
          <a:ea typeface="Arial"/>
          <a:cs typeface="Arial"/>
        </a:defRPr>
      </a:pPr>
      <a:endParaRPr lang="sr-Latn-R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Mopedi i motocikli</a:t>
            </a:r>
          </a:p>
        </c:rich>
      </c:tx>
      <c:overlay val="1"/>
    </c:title>
    <c:autoTitleDeleted val="0"/>
    <c:plotArea>
      <c:layout>
        <c:manualLayout>
          <c:layoutTarget val="inner"/>
          <c:xMode val="edge"/>
          <c:yMode val="edge"/>
          <c:x val="0.17684822610818171"/>
          <c:y val="0.10984848484848486"/>
          <c:w val="0.5591003548254857"/>
          <c:h val="0.77076383917920033"/>
        </c:manualLayout>
      </c:layout>
      <c:barChart>
        <c:barDir val="col"/>
        <c:grouping val="stacked"/>
        <c:varyColors val="0"/>
        <c:ser>
          <c:idx val="0"/>
          <c:order val="0"/>
          <c:tx>
            <c:strRef>
              <c:f>'[1]potrosnja goriva'!$C$128</c:f>
              <c:strCache>
                <c:ptCount val="1"/>
                <c:pt idx="0">
                  <c:v>&lt;50 cm3</c:v>
                </c:pt>
              </c:strCache>
            </c:strRef>
          </c:tx>
          <c:spPr>
            <a:gradFill flip="none" rotWithShape="1">
              <a:gsLst>
                <a:gs pos="0">
                  <a:srgbClr val="1F497D">
                    <a:lumMod val="50000"/>
                  </a:srgbClr>
                </a:gs>
                <a:gs pos="50000">
                  <a:srgbClr val="1F497D">
                    <a:lumMod val="60000"/>
                    <a:lumOff val="40000"/>
                  </a:srgbClr>
                </a:gs>
                <a:gs pos="100000">
                  <a:schemeClr val="tx2">
                    <a:lumMod val="50000"/>
                  </a:schemeClr>
                </a:gs>
              </a:gsLst>
              <a:lin ang="10800000" scaled="1"/>
              <a:tileRect/>
            </a:gradFill>
          </c:spPr>
          <c:invertIfNegative val="0"/>
          <c:cat>
            <c:strRef>
              <c:f>'[1]potrosnja goriva'!$B$129:$B$130</c:f>
              <c:strCache>
                <c:ptCount val="2"/>
                <c:pt idx="0">
                  <c:v>Mopedi</c:v>
                </c:pt>
                <c:pt idx="1">
                  <c:v>Motocikli</c:v>
                </c:pt>
              </c:strCache>
            </c:strRef>
          </c:cat>
          <c:val>
            <c:numRef>
              <c:f>'[1]potrosnja goriva'!$C$129:$C$130</c:f>
              <c:numCache>
                <c:formatCode>General</c:formatCode>
                <c:ptCount val="2"/>
                <c:pt idx="0">
                  <c:v>778.55000305175781</c:v>
                </c:pt>
              </c:numCache>
            </c:numRef>
          </c:val>
          <c:extLst>
            <c:ext xmlns:c16="http://schemas.microsoft.com/office/drawing/2014/chart" uri="{C3380CC4-5D6E-409C-BE32-E72D297353CC}">
              <c16:uniqueId val="{00000000-19E8-4FF0-83D7-0FEFF9924BF2}"/>
            </c:ext>
          </c:extLst>
        </c:ser>
        <c:ser>
          <c:idx val="1"/>
          <c:order val="1"/>
          <c:tx>
            <c:strRef>
              <c:f>'[1]potrosnja goriva'!$D$128</c:f>
              <c:strCache>
                <c:ptCount val="1"/>
                <c:pt idx="0">
                  <c:v>2-taktni &gt;50 cm3 </c:v>
                </c:pt>
              </c:strCache>
            </c:strRef>
          </c:tx>
          <c:spPr>
            <a:gradFill>
              <a:gsLst>
                <a:gs pos="0">
                  <a:srgbClr val="283115"/>
                </a:gs>
                <a:gs pos="50000">
                  <a:srgbClr val="5C732F"/>
                </a:gs>
                <a:gs pos="100000">
                  <a:srgbClr val="303C18"/>
                </a:gs>
              </a:gsLst>
              <a:lin ang="10800000" scaled="1"/>
            </a:gradFill>
          </c:spPr>
          <c:invertIfNegative val="0"/>
          <c:cat>
            <c:strRef>
              <c:f>'[1]potrosnja goriva'!$B$129:$B$130</c:f>
              <c:strCache>
                <c:ptCount val="2"/>
                <c:pt idx="0">
                  <c:v>Mopedi</c:v>
                </c:pt>
                <c:pt idx="1">
                  <c:v>Motocikli</c:v>
                </c:pt>
              </c:strCache>
            </c:strRef>
          </c:cat>
          <c:val>
            <c:numRef>
              <c:f>'[1]potrosnja goriva'!$D$129:$D$130</c:f>
              <c:numCache>
                <c:formatCode>General</c:formatCode>
                <c:ptCount val="2"/>
                <c:pt idx="1">
                  <c:v>304.51806426048199</c:v>
                </c:pt>
              </c:numCache>
            </c:numRef>
          </c:val>
          <c:extLst>
            <c:ext xmlns:c16="http://schemas.microsoft.com/office/drawing/2014/chart" uri="{C3380CC4-5D6E-409C-BE32-E72D297353CC}">
              <c16:uniqueId val="{00000001-19E8-4FF0-83D7-0FEFF9924BF2}"/>
            </c:ext>
          </c:extLst>
        </c:ser>
        <c:ser>
          <c:idx val="3"/>
          <c:order val="2"/>
          <c:tx>
            <c:strRef>
              <c:f>'[1]potrosnja goriva'!$E$128</c:f>
              <c:strCache>
                <c:ptCount val="1"/>
                <c:pt idx="0">
                  <c:v>4-taktni &lt;250 cm3</c:v>
                </c:pt>
              </c:strCache>
            </c:strRef>
          </c:tx>
          <c:spPr>
            <a:gradFill flip="none" rotWithShape="1">
              <a:gsLst>
                <a:gs pos="0">
                  <a:srgbClr val="9BBB59">
                    <a:lumMod val="50000"/>
                  </a:srgbClr>
                </a:gs>
                <a:gs pos="50000">
                  <a:schemeClr val="accent3">
                    <a:lumMod val="75000"/>
                  </a:schemeClr>
                </a:gs>
                <a:gs pos="100000">
                  <a:srgbClr val="9BBB59">
                    <a:lumMod val="50000"/>
                  </a:srgbClr>
                </a:gs>
              </a:gsLst>
              <a:lin ang="10800000" scaled="1"/>
              <a:tileRect/>
            </a:gradFill>
          </c:spPr>
          <c:invertIfNegative val="0"/>
          <c:cat>
            <c:strRef>
              <c:f>'[1]potrosnja goriva'!$B$129:$B$130</c:f>
              <c:strCache>
                <c:ptCount val="2"/>
                <c:pt idx="0">
                  <c:v>Mopedi</c:v>
                </c:pt>
                <c:pt idx="1">
                  <c:v>Motocikli</c:v>
                </c:pt>
              </c:strCache>
            </c:strRef>
          </c:cat>
          <c:val>
            <c:numRef>
              <c:f>'[1]potrosnja goriva'!$E$129:$E$130</c:f>
              <c:numCache>
                <c:formatCode>General</c:formatCode>
                <c:ptCount val="2"/>
                <c:pt idx="1">
                  <c:v>727.66673731803894</c:v>
                </c:pt>
              </c:numCache>
            </c:numRef>
          </c:val>
          <c:extLst>
            <c:ext xmlns:c16="http://schemas.microsoft.com/office/drawing/2014/chart" uri="{C3380CC4-5D6E-409C-BE32-E72D297353CC}">
              <c16:uniqueId val="{00000002-19E8-4FF0-83D7-0FEFF9924BF2}"/>
            </c:ext>
          </c:extLst>
        </c:ser>
        <c:ser>
          <c:idx val="4"/>
          <c:order val="3"/>
          <c:tx>
            <c:strRef>
              <c:f>'[1]potrosnja goriva'!$F$128</c:f>
              <c:strCache>
                <c:ptCount val="1"/>
                <c:pt idx="0">
                  <c:v>4-taktni &gt;250 cm3</c:v>
                </c:pt>
              </c:strCache>
            </c:strRef>
          </c:tx>
          <c:spPr>
            <a:gradFill flip="none" rotWithShape="1">
              <a:gsLst>
                <a:gs pos="0">
                  <a:srgbClr val="9BBB59">
                    <a:lumMod val="75000"/>
                  </a:srgbClr>
                </a:gs>
                <a:gs pos="50000">
                  <a:srgbClr val="9BBB59">
                    <a:lumMod val="40000"/>
                    <a:lumOff val="60000"/>
                  </a:srgbClr>
                </a:gs>
                <a:gs pos="100000">
                  <a:schemeClr val="accent3">
                    <a:lumMod val="75000"/>
                  </a:schemeClr>
                </a:gs>
              </a:gsLst>
              <a:lin ang="10800000" scaled="1"/>
              <a:tileRect/>
            </a:gradFill>
          </c:spPr>
          <c:invertIfNegative val="0"/>
          <c:cat>
            <c:strRef>
              <c:f>'[1]potrosnja goriva'!$B$112:$B$114</c:f>
              <c:strCache>
                <c:ptCount val="3"/>
                <c:pt idx="0">
                  <c:v>BENZIN</c:v>
                </c:pt>
                <c:pt idx="1">
                  <c:v>DIZEL</c:v>
                </c:pt>
                <c:pt idx="2">
                  <c:v>LPG</c:v>
                </c:pt>
              </c:strCache>
            </c:strRef>
          </c:cat>
          <c:val>
            <c:numRef>
              <c:f>'[1]potrosnja goriva'!$F$129:$F$130</c:f>
              <c:numCache>
                <c:formatCode>General</c:formatCode>
                <c:ptCount val="2"/>
                <c:pt idx="1">
                  <c:v>713.14985871315002</c:v>
                </c:pt>
              </c:numCache>
            </c:numRef>
          </c:val>
          <c:extLst>
            <c:ext xmlns:c16="http://schemas.microsoft.com/office/drawing/2014/chart" uri="{C3380CC4-5D6E-409C-BE32-E72D297353CC}">
              <c16:uniqueId val="{00000003-19E8-4FF0-83D7-0FEFF9924BF2}"/>
            </c:ext>
          </c:extLst>
        </c:ser>
        <c:dLbls>
          <c:showLegendKey val="0"/>
          <c:showVal val="0"/>
          <c:showCatName val="0"/>
          <c:showSerName val="0"/>
          <c:showPercent val="0"/>
          <c:showBubbleSize val="0"/>
        </c:dLbls>
        <c:gapWidth val="150"/>
        <c:overlap val="100"/>
        <c:axId val="354196992"/>
        <c:axId val="462420736"/>
      </c:barChart>
      <c:catAx>
        <c:axId val="354196992"/>
        <c:scaling>
          <c:orientation val="minMax"/>
        </c:scaling>
        <c:delete val="0"/>
        <c:axPos val="b"/>
        <c:numFmt formatCode="General" sourceLinked="1"/>
        <c:majorTickMark val="out"/>
        <c:minorTickMark val="none"/>
        <c:tickLblPos val="nextTo"/>
        <c:txPr>
          <a:bodyPr rot="0" vert="horz"/>
          <a:lstStyle/>
          <a:p>
            <a:pPr>
              <a:defRPr/>
            </a:pPr>
            <a:endParaRPr lang="sr-Latn-RS"/>
          </a:p>
        </c:txPr>
        <c:crossAx val="462420736"/>
        <c:crosses val="autoZero"/>
        <c:auto val="1"/>
        <c:lblAlgn val="ctr"/>
        <c:lblOffset val="100"/>
        <c:noMultiLvlLbl val="0"/>
      </c:catAx>
      <c:valAx>
        <c:axId val="462420736"/>
        <c:scaling>
          <c:orientation val="minMax"/>
        </c:scaling>
        <c:delete val="0"/>
        <c:axPos val="l"/>
        <c:majorGridlines>
          <c:spPr>
            <a:ln>
              <a:solidFill>
                <a:sysClr val="windowText" lastClr="000000">
                  <a:tint val="75000"/>
                  <a:shade val="95000"/>
                  <a:satMod val="105000"/>
                </a:sysClr>
              </a:solidFill>
              <a:prstDash val="sysDash"/>
            </a:ln>
          </c:spPr>
        </c:majorGridlines>
        <c:title>
          <c:tx>
            <c:rich>
              <a:bodyPr/>
              <a:lstStyle/>
              <a:p>
                <a:pPr>
                  <a:defRPr/>
                </a:pPr>
                <a:r>
                  <a:rPr lang="hr-HR"/>
                  <a:t>potrošnja benzinskog goriva, t</a:t>
                </a:r>
              </a:p>
            </c:rich>
          </c:tx>
          <c:overlay val="0"/>
        </c:title>
        <c:numFmt formatCode="0" sourceLinked="0"/>
        <c:majorTickMark val="out"/>
        <c:minorTickMark val="none"/>
        <c:tickLblPos val="nextTo"/>
        <c:txPr>
          <a:bodyPr rot="0" vert="horz"/>
          <a:lstStyle/>
          <a:p>
            <a:pPr>
              <a:defRPr/>
            </a:pPr>
            <a:endParaRPr lang="sr-Latn-RS"/>
          </a:p>
        </c:txPr>
        <c:crossAx val="354196992"/>
        <c:crosses val="autoZero"/>
        <c:crossBetween val="between"/>
      </c:valAx>
    </c:plotArea>
    <c:legend>
      <c:legendPos val="r"/>
      <c:overlay val="0"/>
    </c:legend>
    <c:plotVisOnly val="1"/>
    <c:dispBlanksAs val="gap"/>
    <c:showDLblsOverMax val="0"/>
  </c:chart>
  <c:spPr>
    <a:ln>
      <a:noFill/>
    </a:ln>
  </c:spPr>
  <c:txPr>
    <a:bodyPr/>
    <a:lstStyle/>
    <a:p>
      <a:pPr>
        <a:defRPr sz="1000" b="0" i="0" u="none" strike="noStrike" baseline="0">
          <a:solidFill>
            <a:srgbClr val="000000"/>
          </a:solidFill>
          <a:latin typeface="+mn-lt"/>
          <a:ea typeface="Arial"/>
          <a:cs typeface="Arial"/>
        </a:defRPr>
      </a:pPr>
      <a:endParaRPr lang="sr-Latn-R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312774352229843"/>
          <c:y val="6.8528003707967786E-2"/>
          <c:w val="0.73380884873121877"/>
          <c:h val="0.80710759922717623"/>
        </c:manualLayout>
      </c:layout>
      <c:barChart>
        <c:barDir val="col"/>
        <c:grouping val="clustered"/>
        <c:varyColors val="0"/>
        <c:ser>
          <c:idx val="0"/>
          <c:order val="0"/>
          <c:spPr>
            <a:gradFill rotWithShape="0">
              <a:gsLst>
                <a:gs pos="0">
                  <a:srgbClr val="00CCFF">
                    <a:gamma/>
                    <a:shade val="26275"/>
                    <a:invGamma/>
                  </a:srgbClr>
                </a:gs>
                <a:gs pos="50000">
                  <a:srgbClr val="00CCFF"/>
                </a:gs>
                <a:gs pos="100000">
                  <a:srgbClr val="00CCFF">
                    <a:gamma/>
                    <a:shade val="26275"/>
                    <a:invGamma/>
                  </a:srgbClr>
                </a:gs>
              </a:gsLst>
              <a:lin ang="0" scaled="1"/>
            </a:gradFill>
            <a:ln w="25400">
              <a:noFill/>
            </a:ln>
          </c:spPr>
          <c:invertIfNegative val="0"/>
          <c:cat>
            <c:strRef>
              <c:f>'X:\iselanec\Grad Zagreb\Proracun\[ukupno emisije inventara-10_02_2010.xlsx]sumarna-goriva'!$D$63:$F$63</c:f>
              <c:strCache>
                <c:ptCount val="3"/>
                <c:pt idx="0">
                  <c:v>Zgradarstvo</c:v>
                </c:pt>
                <c:pt idx="1">
                  <c:v>Promet</c:v>
                </c:pt>
                <c:pt idx="2">
                  <c:v>Javna rasvjeta</c:v>
                </c:pt>
              </c:strCache>
            </c:strRef>
          </c:cat>
          <c:val>
            <c:numRef>
              <c:f>'X:\iselanec\Grad Zagreb\Proracun\[ukupno emisije inventara-10_02_2010.xlsx]sumarna-goriva'!$D$64:$F$64</c:f>
              <c:numCache>
                <c:formatCode>General</c:formatCode>
                <c:ptCount val="3"/>
                <c:pt idx="0">
                  <c:v>7436864.0915932944</c:v>
                </c:pt>
                <c:pt idx="1">
                  <c:v>3780930.0059279986</c:v>
                </c:pt>
                <c:pt idx="2">
                  <c:v>90463.88888888892</c:v>
                </c:pt>
              </c:numCache>
            </c:numRef>
          </c:val>
          <c:extLst>
            <c:ext xmlns:c16="http://schemas.microsoft.com/office/drawing/2014/chart" uri="{C3380CC4-5D6E-409C-BE32-E72D297353CC}">
              <c16:uniqueId val="{00000000-9A89-437D-9F6B-7059492AF8DD}"/>
            </c:ext>
          </c:extLst>
        </c:ser>
        <c:dLbls>
          <c:showLegendKey val="0"/>
          <c:showVal val="0"/>
          <c:showCatName val="0"/>
          <c:showSerName val="0"/>
          <c:showPercent val="0"/>
          <c:showBubbleSize val="0"/>
        </c:dLbls>
        <c:gapWidth val="150"/>
        <c:axId val="361244672"/>
        <c:axId val="511263296"/>
      </c:barChart>
      <c:catAx>
        <c:axId val="3612446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511263296"/>
        <c:crosses val="autoZero"/>
        <c:auto val="1"/>
        <c:lblAlgn val="ctr"/>
        <c:lblOffset val="100"/>
        <c:tickLblSkip val="1"/>
        <c:tickMarkSkip val="1"/>
        <c:noMultiLvlLbl val="0"/>
      </c:catAx>
      <c:valAx>
        <c:axId val="511263296"/>
        <c:scaling>
          <c:orientation val="minMax"/>
        </c:scaling>
        <c:delete val="0"/>
        <c:axPos val="l"/>
        <c:majorGridlines>
          <c:spPr>
            <a:ln w="3175">
              <a:solidFill>
                <a:srgbClr val="969696"/>
              </a:solidFill>
              <a:prstDash val="sysDash"/>
            </a:ln>
          </c:spPr>
        </c:majorGridlines>
        <c:title>
          <c:tx>
            <c:rich>
              <a:bodyPr/>
              <a:lstStyle/>
              <a:p>
                <a:pPr>
                  <a:defRPr/>
                </a:pPr>
                <a:r>
                  <a:rPr lang="en-US"/>
                  <a:t>Potrošnja energije, MWh</a:t>
                </a:r>
              </a:p>
            </c:rich>
          </c:tx>
          <c:layout>
            <c:manualLayout>
              <c:xMode val="edge"/>
              <c:yMode val="edge"/>
              <c:x val="1.4277869302581001E-2"/>
              <c:y val="0.18612574443422999"/>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361244672"/>
        <c:crosses val="autoZero"/>
        <c:crossBetween val="between"/>
      </c:valAx>
      <c:spPr>
        <a:noFill/>
        <a:ln w="3175">
          <a:solidFill>
            <a:srgbClr val="808080"/>
          </a:solidFill>
          <a:prstDash val="solid"/>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mn-lt"/>
          <a:ea typeface="Arial"/>
          <a:cs typeface="Arial"/>
        </a:defRPr>
      </a:pPr>
      <a:endParaRPr lang="sr-Latn-RS"/>
    </a:p>
  </c:txPr>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0.12229</cdr:x>
      <cdr:y>0.03935</cdr:y>
    </cdr:from>
    <cdr:to>
      <cdr:x>0.2217</cdr:x>
      <cdr:y>0.1174</cdr:y>
    </cdr:to>
    <cdr:pic>
      <cdr:nvPicPr>
        <cdr:cNvPr id="2" name="Picture 1" descr="logo_man00"/>
        <cdr:cNvPicPr>
          <a:picLocks xmlns:a="http://schemas.openxmlformats.org/drawingml/2006/main" noChangeAspect="1" noChangeArrowheads="1"/>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564929" y="102323"/>
          <a:ext cx="459237" cy="202955"/>
        </a:xfrm>
        <a:prstGeom xmlns:a="http://schemas.openxmlformats.org/drawingml/2006/main" prst="rect">
          <a:avLst/>
        </a:prstGeom>
        <a:noFill xmlns:a="http://schemas.openxmlformats.org/drawingml/2006/main"/>
      </cdr:spPr>
    </cdr:pic>
  </cdr:relSizeAnchor>
</c:userShapes>
</file>

<file path=word/drawings/drawing2.xml><?xml version="1.0" encoding="utf-8"?>
<c:userShapes xmlns:c="http://schemas.openxmlformats.org/drawingml/2006/chart">
  <cdr:relSizeAnchor xmlns:cdr="http://schemas.openxmlformats.org/drawingml/2006/chartDrawing">
    <cdr:from>
      <cdr:x>0.11303</cdr:x>
      <cdr:y>0.03352</cdr:y>
    </cdr:from>
    <cdr:to>
      <cdr:x>0.23911</cdr:x>
      <cdr:y>0.16197</cdr:y>
    </cdr:to>
    <cdr:pic>
      <cdr:nvPicPr>
        <cdr:cNvPr id="3" name="Picture 2" descr="logo"/>
        <cdr:cNvPicPr>
          <a:picLocks xmlns:a="http://schemas.openxmlformats.org/drawingml/2006/main" noChangeAspect="1" noChangeArrowheads="1"/>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533981" y="90672"/>
          <a:ext cx="595663" cy="347477"/>
        </a:xfrm>
        <a:prstGeom xmlns:a="http://schemas.openxmlformats.org/drawingml/2006/main" prst="rect">
          <a:avLst/>
        </a:prstGeom>
        <a:noFill xmlns:a="http://schemas.openxmlformats.org/drawingml/2006/main"/>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AA69028DF934B8F4D0A7F57D28E08" ma:contentTypeVersion="2" ma:contentTypeDescription="Create a new document." ma:contentTypeScope="" ma:versionID="5fe4b1c95023fc6106fb987030964a57">
  <xsd:schema xmlns:xsd="http://www.w3.org/2001/XMLSchema" xmlns:xs="http://www.w3.org/2001/XMLSchema" xmlns:p="http://schemas.microsoft.com/office/2006/metadata/properties" xmlns:ns2="c09df97f-82fe-4749-a4c0-afb75fad392b" targetNamespace="http://schemas.microsoft.com/office/2006/metadata/properties" ma:root="true" ma:fieldsID="50cdc0cc7e1682bd0047084845ea6e91" ns2:_="">
    <xsd:import namespace="c09df97f-82fe-4749-a4c0-afb75fad392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df97f-82fe-4749-a4c0-afb75fad3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D56FA-BB6A-443B-B296-8F602ADA73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6BBCF1-97AC-43F2-BF50-5113A37C299F}">
  <ds:schemaRefs>
    <ds:schemaRef ds:uri="http://schemas.microsoft.com/sharepoint/v3/contenttype/forms"/>
  </ds:schemaRefs>
</ds:datastoreItem>
</file>

<file path=customXml/itemProps3.xml><?xml version="1.0" encoding="utf-8"?>
<ds:datastoreItem xmlns:ds="http://schemas.openxmlformats.org/officeDocument/2006/customXml" ds:itemID="{20B60060-64A7-476A-88D5-1E053C83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df97f-82fe-4749-a4c0-afb75fad3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F26AB-9894-47DA-A699-910359AC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23853</Words>
  <Characters>135963</Characters>
  <Application>Microsoft Office Word</Application>
  <DocSecurity>0</DocSecurity>
  <Lines>1133</Lines>
  <Paragraphs>318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1 INLEIDING</vt:lpstr>
      <vt:lpstr>1 INLEIDING</vt:lpstr>
    </vt:vector>
  </TitlesOfParts>
  <Company>HP</Company>
  <LinksUpToDate>false</LinksUpToDate>
  <CharactersWithSpaces>159498</CharactersWithSpaces>
  <SharedDoc>false</SharedDoc>
  <HLinks>
    <vt:vector size="420" baseType="variant">
      <vt:variant>
        <vt:i4>1179711</vt:i4>
      </vt:variant>
      <vt:variant>
        <vt:i4>392</vt:i4>
      </vt:variant>
      <vt:variant>
        <vt:i4>0</vt:i4>
      </vt:variant>
      <vt:variant>
        <vt:i4>5</vt:i4>
      </vt:variant>
      <vt:variant>
        <vt:lpwstr/>
      </vt:variant>
      <vt:variant>
        <vt:lpwstr>_Toc248510444</vt:lpwstr>
      </vt:variant>
      <vt:variant>
        <vt:i4>1179711</vt:i4>
      </vt:variant>
      <vt:variant>
        <vt:i4>386</vt:i4>
      </vt:variant>
      <vt:variant>
        <vt:i4>0</vt:i4>
      </vt:variant>
      <vt:variant>
        <vt:i4>5</vt:i4>
      </vt:variant>
      <vt:variant>
        <vt:lpwstr/>
      </vt:variant>
      <vt:variant>
        <vt:lpwstr>_Toc248510443</vt:lpwstr>
      </vt:variant>
      <vt:variant>
        <vt:i4>1179711</vt:i4>
      </vt:variant>
      <vt:variant>
        <vt:i4>380</vt:i4>
      </vt:variant>
      <vt:variant>
        <vt:i4>0</vt:i4>
      </vt:variant>
      <vt:variant>
        <vt:i4>5</vt:i4>
      </vt:variant>
      <vt:variant>
        <vt:lpwstr/>
      </vt:variant>
      <vt:variant>
        <vt:lpwstr>_Toc248510442</vt:lpwstr>
      </vt:variant>
      <vt:variant>
        <vt:i4>1179711</vt:i4>
      </vt:variant>
      <vt:variant>
        <vt:i4>374</vt:i4>
      </vt:variant>
      <vt:variant>
        <vt:i4>0</vt:i4>
      </vt:variant>
      <vt:variant>
        <vt:i4>5</vt:i4>
      </vt:variant>
      <vt:variant>
        <vt:lpwstr/>
      </vt:variant>
      <vt:variant>
        <vt:lpwstr>_Toc248510441</vt:lpwstr>
      </vt:variant>
      <vt:variant>
        <vt:i4>1179711</vt:i4>
      </vt:variant>
      <vt:variant>
        <vt:i4>368</vt:i4>
      </vt:variant>
      <vt:variant>
        <vt:i4>0</vt:i4>
      </vt:variant>
      <vt:variant>
        <vt:i4>5</vt:i4>
      </vt:variant>
      <vt:variant>
        <vt:lpwstr/>
      </vt:variant>
      <vt:variant>
        <vt:lpwstr>_Toc248510440</vt:lpwstr>
      </vt:variant>
      <vt:variant>
        <vt:i4>1376319</vt:i4>
      </vt:variant>
      <vt:variant>
        <vt:i4>362</vt:i4>
      </vt:variant>
      <vt:variant>
        <vt:i4>0</vt:i4>
      </vt:variant>
      <vt:variant>
        <vt:i4>5</vt:i4>
      </vt:variant>
      <vt:variant>
        <vt:lpwstr/>
      </vt:variant>
      <vt:variant>
        <vt:lpwstr>_Toc248510439</vt:lpwstr>
      </vt:variant>
      <vt:variant>
        <vt:i4>1376319</vt:i4>
      </vt:variant>
      <vt:variant>
        <vt:i4>356</vt:i4>
      </vt:variant>
      <vt:variant>
        <vt:i4>0</vt:i4>
      </vt:variant>
      <vt:variant>
        <vt:i4>5</vt:i4>
      </vt:variant>
      <vt:variant>
        <vt:lpwstr/>
      </vt:variant>
      <vt:variant>
        <vt:lpwstr>_Toc248510438</vt:lpwstr>
      </vt:variant>
      <vt:variant>
        <vt:i4>1376319</vt:i4>
      </vt:variant>
      <vt:variant>
        <vt:i4>350</vt:i4>
      </vt:variant>
      <vt:variant>
        <vt:i4>0</vt:i4>
      </vt:variant>
      <vt:variant>
        <vt:i4>5</vt:i4>
      </vt:variant>
      <vt:variant>
        <vt:lpwstr/>
      </vt:variant>
      <vt:variant>
        <vt:lpwstr>_Toc248510437</vt:lpwstr>
      </vt:variant>
      <vt:variant>
        <vt:i4>1376319</vt:i4>
      </vt:variant>
      <vt:variant>
        <vt:i4>344</vt:i4>
      </vt:variant>
      <vt:variant>
        <vt:i4>0</vt:i4>
      </vt:variant>
      <vt:variant>
        <vt:i4>5</vt:i4>
      </vt:variant>
      <vt:variant>
        <vt:lpwstr/>
      </vt:variant>
      <vt:variant>
        <vt:lpwstr>_Toc248510436</vt:lpwstr>
      </vt:variant>
      <vt:variant>
        <vt:i4>1376319</vt:i4>
      </vt:variant>
      <vt:variant>
        <vt:i4>338</vt:i4>
      </vt:variant>
      <vt:variant>
        <vt:i4>0</vt:i4>
      </vt:variant>
      <vt:variant>
        <vt:i4>5</vt:i4>
      </vt:variant>
      <vt:variant>
        <vt:lpwstr/>
      </vt:variant>
      <vt:variant>
        <vt:lpwstr>_Toc248510435</vt:lpwstr>
      </vt:variant>
      <vt:variant>
        <vt:i4>1376319</vt:i4>
      </vt:variant>
      <vt:variant>
        <vt:i4>332</vt:i4>
      </vt:variant>
      <vt:variant>
        <vt:i4>0</vt:i4>
      </vt:variant>
      <vt:variant>
        <vt:i4>5</vt:i4>
      </vt:variant>
      <vt:variant>
        <vt:lpwstr/>
      </vt:variant>
      <vt:variant>
        <vt:lpwstr>_Toc248510434</vt:lpwstr>
      </vt:variant>
      <vt:variant>
        <vt:i4>1376319</vt:i4>
      </vt:variant>
      <vt:variant>
        <vt:i4>326</vt:i4>
      </vt:variant>
      <vt:variant>
        <vt:i4>0</vt:i4>
      </vt:variant>
      <vt:variant>
        <vt:i4>5</vt:i4>
      </vt:variant>
      <vt:variant>
        <vt:lpwstr/>
      </vt:variant>
      <vt:variant>
        <vt:lpwstr>_Toc248510433</vt:lpwstr>
      </vt:variant>
      <vt:variant>
        <vt:i4>1376319</vt:i4>
      </vt:variant>
      <vt:variant>
        <vt:i4>320</vt:i4>
      </vt:variant>
      <vt:variant>
        <vt:i4>0</vt:i4>
      </vt:variant>
      <vt:variant>
        <vt:i4>5</vt:i4>
      </vt:variant>
      <vt:variant>
        <vt:lpwstr/>
      </vt:variant>
      <vt:variant>
        <vt:lpwstr>_Toc248510432</vt:lpwstr>
      </vt:variant>
      <vt:variant>
        <vt:i4>1376319</vt:i4>
      </vt:variant>
      <vt:variant>
        <vt:i4>314</vt:i4>
      </vt:variant>
      <vt:variant>
        <vt:i4>0</vt:i4>
      </vt:variant>
      <vt:variant>
        <vt:i4>5</vt:i4>
      </vt:variant>
      <vt:variant>
        <vt:lpwstr/>
      </vt:variant>
      <vt:variant>
        <vt:lpwstr>_Toc248510431</vt:lpwstr>
      </vt:variant>
      <vt:variant>
        <vt:i4>1376319</vt:i4>
      </vt:variant>
      <vt:variant>
        <vt:i4>308</vt:i4>
      </vt:variant>
      <vt:variant>
        <vt:i4>0</vt:i4>
      </vt:variant>
      <vt:variant>
        <vt:i4>5</vt:i4>
      </vt:variant>
      <vt:variant>
        <vt:lpwstr/>
      </vt:variant>
      <vt:variant>
        <vt:lpwstr>_Toc248510430</vt:lpwstr>
      </vt:variant>
      <vt:variant>
        <vt:i4>1310783</vt:i4>
      </vt:variant>
      <vt:variant>
        <vt:i4>302</vt:i4>
      </vt:variant>
      <vt:variant>
        <vt:i4>0</vt:i4>
      </vt:variant>
      <vt:variant>
        <vt:i4>5</vt:i4>
      </vt:variant>
      <vt:variant>
        <vt:lpwstr/>
      </vt:variant>
      <vt:variant>
        <vt:lpwstr>_Toc248510429</vt:lpwstr>
      </vt:variant>
      <vt:variant>
        <vt:i4>1310783</vt:i4>
      </vt:variant>
      <vt:variant>
        <vt:i4>296</vt:i4>
      </vt:variant>
      <vt:variant>
        <vt:i4>0</vt:i4>
      </vt:variant>
      <vt:variant>
        <vt:i4>5</vt:i4>
      </vt:variant>
      <vt:variant>
        <vt:lpwstr/>
      </vt:variant>
      <vt:variant>
        <vt:lpwstr>_Toc248510428</vt:lpwstr>
      </vt:variant>
      <vt:variant>
        <vt:i4>1310783</vt:i4>
      </vt:variant>
      <vt:variant>
        <vt:i4>290</vt:i4>
      </vt:variant>
      <vt:variant>
        <vt:i4>0</vt:i4>
      </vt:variant>
      <vt:variant>
        <vt:i4>5</vt:i4>
      </vt:variant>
      <vt:variant>
        <vt:lpwstr/>
      </vt:variant>
      <vt:variant>
        <vt:lpwstr>_Toc248510427</vt:lpwstr>
      </vt:variant>
      <vt:variant>
        <vt:i4>1310783</vt:i4>
      </vt:variant>
      <vt:variant>
        <vt:i4>281</vt:i4>
      </vt:variant>
      <vt:variant>
        <vt:i4>0</vt:i4>
      </vt:variant>
      <vt:variant>
        <vt:i4>5</vt:i4>
      </vt:variant>
      <vt:variant>
        <vt:lpwstr/>
      </vt:variant>
      <vt:variant>
        <vt:lpwstr>_Toc248510426</vt:lpwstr>
      </vt:variant>
      <vt:variant>
        <vt:i4>1310783</vt:i4>
      </vt:variant>
      <vt:variant>
        <vt:i4>275</vt:i4>
      </vt:variant>
      <vt:variant>
        <vt:i4>0</vt:i4>
      </vt:variant>
      <vt:variant>
        <vt:i4>5</vt:i4>
      </vt:variant>
      <vt:variant>
        <vt:lpwstr/>
      </vt:variant>
      <vt:variant>
        <vt:lpwstr>_Toc248510425</vt:lpwstr>
      </vt:variant>
      <vt:variant>
        <vt:i4>1310783</vt:i4>
      </vt:variant>
      <vt:variant>
        <vt:i4>269</vt:i4>
      </vt:variant>
      <vt:variant>
        <vt:i4>0</vt:i4>
      </vt:variant>
      <vt:variant>
        <vt:i4>5</vt:i4>
      </vt:variant>
      <vt:variant>
        <vt:lpwstr/>
      </vt:variant>
      <vt:variant>
        <vt:lpwstr>_Toc248510424</vt:lpwstr>
      </vt:variant>
      <vt:variant>
        <vt:i4>1310783</vt:i4>
      </vt:variant>
      <vt:variant>
        <vt:i4>263</vt:i4>
      </vt:variant>
      <vt:variant>
        <vt:i4>0</vt:i4>
      </vt:variant>
      <vt:variant>
        <vt:i4>5</vt:i4>
      </vt:variant>
      <vt:variant>
        <vt:lpwstr/>
      </vt:variant>
      <vt:variant>
        <vt:lpwstr>_Toc248510423</vt:lpwstr>
      </vt:variant>
      <vt:variant>
        <vt:i4>1310783</vt:i4>
      </vt:variant>
      <vt:variant>
        <vt:i4>257</vt:i4>
      </vt:variant>
      <vt:variant>
        <vt:i4>0</vt:i4>
      </vt:variant>
      <vt:variant>
        <vt:i4>5</vt:i4>
      </vt:variant>
      <vt:variant>
        <vt:lpwstr/>
      </vt:variant>
      <vt:variant>
        <vt:lpwstr>_Toc248510422</vt:lpwstr>
      </vt:variant>
      <vt:variant>
        <vt:i4>1310783</vt:i4>
      </vt:variant>
      <vt:variant>
        <vt:i4>251</vt:i4>
      </vt:variant>
      <vt:variant>
        <vt:i4>0</vt:i4>
      </vt:variant>
      <vt:variant>
        <vt:i4>5</vt:i4>
      </vt:variant>
      <vt:variant>
        <vt:lpwstr/>
      </vt:variant>
      <vt:variant>
        <vt:lpwstr>_Toc248510421</vt:lpwstr>
      </vt:variant>
      <vt:variant>
        <vt:i4>1310783</vt:i4>
      </vt:variant>
      <vt:variant>
        <vt:i4>245</vt:i4>
      </vt:variant>
      <vt:variant>
        <vt:i4>0</vt:i4>
      </vt:variant>
      <vt:variant>
        <vt:i4>5</vt:i4>
      </vt:variant>
      <vt:variant>
        <vt:lpwstr/>
      </vt:variant>
      <vt:variant>
        <vt:lpwstr>_Toc248510420</vt:lpwstr>
      </vt:variant>
      <vt:variant>
        <vt:i4>1507391</vt:i4>
      </vt:variant>
      <vt:variant>
        <vt:i4>239</vt:i4>
      </vt:variant>
      <vt:variant>
        <vt:i4>0</vt:i4>
      </vt:variant>
      <vt:variant>
        <vt:i4>5</vt:i4>
      </vt:variant>
      <vt:variant>
        <vt:lpwstr/>
      </vt:variant>
      <vt:variant>
        <vt:lpwstr>_Toc248510419</vt:lpwstr>
      </vt:variant>
      <vt:variant>
        <vt:i4>1507391</vt:i4>
      </vt:variant>
      <vt:variant>
        <vt:i4>233</vt:i4>
      </vt:variant>
      <vt:variant>
        <vt:i4>0</vt:i4>
      </vt:variant>
      <vt:variant>
        <vt:i4>5</vt:i4>
      </vt:variant>
      <vt:variant>
        <vt:lpwstr/>
      </vt:variant>
      <vt:variant>
        <vt:lpwstr>_Toc248510418</vt:lpwstr>
      </vt:variant>
      <vt:variant>
        <vt:i4>1507391</vt:i4>
      </vt:variant>
      <vt:variant>
        <vt:i4>227</vt:i4>
      </vt:variant>
      <vt:variant>
        <vt:i4>0</vt:i4>
      </vt:variant>
      <vt:variant>
        <vt:i4>5</vt:i4>
      </vt:variant>
      <vt:variant>
        <vt:lpwstr/>
      </vt:variant>
      <vt:variant>
        <vt:lpwstr>_Toc248510417</vt:lpwstr>
      </vt:variant>
      <vt:variant>
        <vt:i4>1507391</vt:i4>
      </vt:variant>
      <vt:variant>
        <vt:i4>221</vt:i4>
      </vt:variant>
      <vt:variant>
        <vt:i4>0</vt:i4>
      </vt:variant>
      <vt:variant>
        <vt:i4>5</vt:i4>
      </vt:variant>
      <vt:variant>
        <vt:lpwstr/>
      </vt:variant>
      <vt:variant>
        <vt:lpwstr>_Toc248510416</vt:lpwstr>
      </vt:variant>
      <vt:variant>
        <vt:i4>1507391</vt:i4>
      </vt:variant>
      <vt:variant>
        <vt:i4>215</vt:i4>
      </vt:variant>
      <vt:variant>
        <vt:i4>0</vt:i4>
      </vt:variant>
      <vt:variant>
        <vt:i4>5</vt:i4>
      </vt:variant>
      <vt:variant>
        <vt:lpwstr/>
      </vt:variant>
      <vt:variant>
        <vt:lpwstr>_Toc248510415</vt:lpwstr>
      </vt:variant>
      <vt:variant>
        <vt:i4>1507391</vt:i4>
      </vt:variant>
      <vt:variant>
        <vt:i4>209</vt:i4>
      </vt:variant>
      <vt:variant>
        <vt:i4>0</vt:i4>
      </vt:variant>
      <vt:variant>
        <vt:i4>5</vt:i4>
      </vt:variant>
      <vt:variant>
        <vt:lpwstr/>
      </vt:variant>
      <vt:variant>
        <vt:lpwstr>_Toc248510414</vt:lpwstr>
      </vt:variant>
      <vt:variant>
        <vt:i4>1507391</vt:i4>
      </vt:variant>
      <vt:variant>
        <vt:i4>203</vt:i4>
      </vt:variant>
      <vt:variant>
        <vt:i4>0</vt:i4>
      </vt:variant>
      <vt:variant>
        <vt:i4>5</vt:i4>
      </vt:variant>
      <vt:variant>
        <vt:lpwstr/>
      </vt:variant>
      <vt:variant>
        <vt:lpwstr>_Toc248510413</vt:lpwstr>
      </vt:variant>
      <vt:variant>
        <vt:i4>1507391</vt:i4>
      </vt:variant>
      <vt:variant>
        <vt:i4>197</vt:i4>
      </vt:variant>
      <vt:variant>
        <vt:i4>0</vt:i4>
      </vt:variant>
      <vt:variant>
        <vt:i4>5</vt:i4>
      </vt:variant>
      <vt:variant>
        <vt:lpwstr/>
      </vt:variant>
      <vt:variant>
        <vt:lpwstr>_Toc248510412</vt:lpwstr>
      </vt:variant>
      <vt:variant>
        <vt:i4>1507391</vt:i4>
      </vt:variant>
      <vt:variant>
        <vt:i4>191</vt:i4>
      </vt:variant>
      <vt:variant>
        <vt:i4>0</vt:i4>
      </vt:variant>
      <vt:variant>
        <vt:i4>5</vt:i4>
      </vt:variant>
      <vt:variant>
        <vt:lpwstr/>
      </vt:variant>
      <vt:variant>
        <vt:lpwstr>_Toc248510411</vt:lpwstr>
      </vt:variant>
      <vt:variant>
        <vt:i4>1507391</vt:i4>
      </vt:variant>
      <vt:variant>
        <vt:i4>185</vt:i4>
      </vt:variant>
      <vt:variant>
        <vt:i4>0</vt:i4>
      </vt:variant>
      <vt:variant>
        <vt:i4>5</vt:i4>
      </vt:variant>
      <vt:variant>
        <vt:lpwstr/>
      </vt:variant>
      <vt:variant>
        <vt:lpwstr>_Toc248510410</vt:lpwstr>
      </vt:variant>
      <vt:variant>
        <vt:i4>1441855</vt:i4>
      </vt:variant>
      <vt:variant>
        <vt:i4>179</vt:i4>
      </vt:variant>
      <vt:variant>
        <vt:i4>0</vt:i4>
      </vt:variant>
      <vt:variant>
        <vt:i4>5</vt:i4>
      </vt:variant>
      <vt:variant>
        <vt:lpwstr/>
      </vt:variant>
      <vt:variant>
        <vt:lpwstr>_Toc248510409</vt:lpwstr>
      </vt:variant>
      <vt:variant>
        <vt:i4>1441855</vt:i4>
      </vt:variant>
      <vt:variant>
        <vt:i4>173</vt:i4>
      </vt:variant>
      <vt:variant>
        <vt:i4>0</vt:i4>
      </vt:variant>
      <vt:variant>
        <vt:i4>5</vt:i4>
      </vt:variant>
      <vt:variant>
        <vt:lpwstr/>
      </vt:variant>
      <vt:variant>
        <vt:lpwstr>_Toc248510408</vt:lpwstr>
      </vt:variant>
      <vt:variant>
        <vt:i4>1441855</vt:i4>
      </vt:variant>
      <vt:variant>
        <vt:i4>167</vt:i4>
      </vt:variant>
      <vt:variant>
        <vt:i4>0</vt:i4>
      </vt:variant>
      <vt:variant>
        <vt:i4>5</vt:i4>
      </vt:variant>
      <vt:variant>
        <vt:lpwstr/>
      </vt:variant>
      <vt:variant>
        <vt:lpwstr>_Toc248510407</vt:lpwstr>
      </vt:variant>
      <vt:variant>
        <vt:i4>1441855</vt:i4>
      </vt:variant>
      <vt:variant>
        <vt:i4>161</vt:i4>
      </vt:variant>
      <vt:variant>
        <vt:i4>0</vt:i4>
      </vt:variant>
      <vt:variant>
        <vt:i4>5</vt:i4>
      </vt:variant>
      <vt:variant>
        <vt:lpwstr/>
      </vt:variant>
      <vt:variant>
        <vt:lpwstr>_Toc248510406</vt:lpwstr>
      </vt:variant>
      <vt:variant>
        <vt:i4>1441855</vt:i4>
      </vt:variant>
      <vt:variant>
        <vt:i4>155</vt:i4>
      </vt:variant>
      <vt:variant>
        <vt:i4>0</vt:i4>
      </vt:variant>
      <vt:variant>
        <vt:i4>5</vt:i4>
      </vt:variant>
      <vt:variant>
        <vt:lpwstr/>
      </vt:variant>
      <vt:variant>
        <vt:lpwstr>_Toc248510405</vt:lpwstr>
      </vt:variant>
      <vt:variant>
        <vt:i4>1441855</vt:i4>
      </vt:variant>
      <vt:variant>
        <vt:i4>149</vt:i4>
      </vt:variant>
      <vt:variant>
        <vt:i4>0</vt:i4>
      </vt:variant>
      <vt:variant>
        <vt:i4>5</vt:i4>
      </vt:variant>
      <vt:variant>
        <vt:lpwstr/>
      </vt:variant>
      <vt:variant>
        <vt:lpwstr>_Toc248510404</vt:lpwstr>
      </vt:variant>
      <vt:variant>
        <vt:i4>1441855</vt:i4>
      </vt:variant>
      <vt:variant>
        <vt:i4>143</vt:i4>
      </vt:variant>
      <vt:variant>
        <vt:i4>0</vt:i4>
      </vt:variant>
      <vt:variant>
        <vt:i4>5</vt:i4>
      </vt:variant>
      <vt:variant>
        <vt:lpwstr/>
      </vt:variant>
      <vt:variant>
        <vt:lpwstr>_Toc248510403</vt:lpwstr>
      </vt:variant>
      <vt:variant>
        <vt:i4>1441855</vt:i4>
      </vt:variant>
      <vt:variant>
        <vt:i4>137</vt:i4>
      </vt:variant>
      <vt:variant>
        <vt:i4>0</vt:i4>
      </vt:variant>
      <vt:variant>
        <vt:i4>5</vt:i4>
      </vt:variant>
      <vt:variant>
        <vt:lpwstr/>
      </vt:variant>
      <vt:variant>
        <vt:lpwstr>_Toc248510402</vt:lpwstr>
      </vt:variant>
      <vt:variant>
        <vt:i4>1441855</vt:i4>
      </vt:variant>
      <vt:variant>
        <vt:i4>131</vt:i4>
      </vt:variant>
      <vt:variant>
        <vt:i4>0</vt:i4>
      </vt:variant>
      <vt:variant>
        <vt:i4>5</vt:i4>
      </vt:variant>
      <vt:variant>
        <vt:lpwstr/>
      </vt:variant>
      <vt:variant>
        <vt:lpwstr>_Toc248510401</vt:lpwstr>
      </vt:variant>
      <vt:variant>
        <vt:i4>1966136</vt:i4>
      </vt:variant>
      <vt:variant>
        <vt:i4>122</vt:i4>
      </vt:variant>
      <vt:variant>
        <vt:i4>0</vt:i4>
      </vt:variant>
      <vt:variant>
        <vt:i4>5</vt:i4>
      </vt:variant>
      <vt:variant>
        <vt:lpwstr/>
      </vt:variant>
      <vt:variant>
        <vt:lpwstr>_Toc248510385</vt:lpwstr>
      </vt:variant>
      <vt:variant>
        <vt:i4>1966136</vt:i4>
      </vt:variant>
      <vt:variant>
        <vt:i4>116</vt:i4>
      </vt:variant>
      <vt:variant>
        <vt:i4>0</vt:i4>
      </vt:variant>
      <vt:variant>
        <vt:i4>5</vt:i4>
      </vt:variant>
      <vt:variant>
        <vt:lpwstr/>
      </vt:variant>
      <vt:variant>
        <vt:lpwstr>_Toc248510384</vt:lpwstr>
      </vt:variant>
      <vt:variant>
        <vt:i4>1966136</vt:i4>
      </vt:variant>
      <vt:variant>
        <vt:i4>110</vt:i4>
      </vt:variant>
      <vt:variant>
        <vt:i4>0</vt:i4>
      </vt:variant>
      <vt:variant>
        <vt:i4>5</vt:i4>
      </vt:variant>
      <vt:variant>
        <vt:lpwstr/>
      </vt:variant>
      <vt:variant>
        <vt:lpwstr>_Toc248510383</vt:lpwstr>
      </vt:variant>
      <vt:variant>
        <vt:i4>1966136</vt:i4>
      </vt:variant>
      <vt:variant>
        <vt:i4>104</vt:i4>
      </vt:variant>
      <vt:variant>
        <vt:i4>0</vt:i4>
      </vt:variant>
      <vt:variant>
        <vt:i4>5</vt:i4>
      </vt:variant>
      <vt:variant>
        <vt:lpwstr/>
      </vt:variant>
      <vt:variant>
        <vt:lpwstr>_Toc248510382</vt:lpwstr>
      </vt:variant>
      <vt:variant>
        <vt:i4>1966136</vt:i4>
      </vt:variant>
      <vt:variant>
        <vt:i4>98</vt:i4>
      </vt:variant>
      <vt:variant>
        <vt:i4>0</vt:i4>
      </vt:variant>
      <vt:variant>
        <vt:i4>5</vt:i4>
      </vt:variant>
      <vt:variant>
        <vt:lpwstr/>
      </vt:variant>
      <vt:variant>
        <vt:lpwstr>_Toc248510381</vt:lpwstr>
      </vt:variant>
      <vt:variant>
        <vt:i4>1966136</vt:i4>
      </vt:variant>
      <vt:variant>
        <vt:i4>92</vt:i4>
      </vt:variant>
      <vt:variant>
        <vt:i4>0</vt:i4>
      </vt:variant>
      <vt:variant>
        <vt:i4>5</vt:i4>
      </vt:variant>
      <vt:variant>
        <vt:lpwstr/>
      </vt:variant>
      <vt:variant>
        <vt:lpwstr>_Toc248510380</vt:lpwstr>
      </vt:variant>
      <vt:variant>
        <vt:i4>1114168</vt:i4>
      </vt:variant>
      <vt:variant>
        <vt:i4>86</vt:i4>
      </vt:variant>
      <vt:variant>
        <vt:i4>0</vt:i4>
      </vt:variant>
      <vt:variant>
        <vt:i4>5</vt:i4>
      </vt:variant>
      <vt:variant>
        <vt:lpwstr/>
      </vt:variant>
      <vt:variant>
        <vt:lpwstr>_Toc248510379</vt:lpwstr>
      </vt:variant>
      <vt:variant>
        <vt:i4>1114168</vt:i4>
      </vt:variant>
      <vt:variant>
        <vt:i4>80</vt:i4>
      </vt:variant>
      <vt:variant>
        <vt:i4>0</vt:i4>
      </vt:variant>
      <vt:variant>
        <vt:i4>5</vt:i4>
      </vt:variant>
      <vt:variant>
        <vt:lpwstr/>
      </vt:variant>
      <vt:variant>
        <vt:lpwstr>_Toc248510378</vt:lpwstr>
      </vt:variant>
      <vt:variant>
        <vt:i4>1114168</vt:i4>
      </vt:variant>
      <vt:variant>
        <vt:i4>74</vt:i4>
      </vt:variant>
      <vt:variant>
        <vt:i4>0</vt:i4>
      </vt:variant>
      <vt:variant>
        <vt:i4>5</vt:i4>
      </vt:variant>
      <vt:variant>
        <vt:lpwstr/>
      </vt:variant>
      <vt:variant>
        <vt:lpwstr>_Toc248510377</vt:lpwstr>
      </vt:variant>
      <vt:variant>
        <vt:i4>1114168</vt:i4>
      </vt:variant>
      <vt:variant>
        <vt:i4>68</vt:i4>
      </vt:variant>
      <vt:variant>
        <vt:i4>0</vt:i4>
      </vt:variant>
      <vt:variant>
        <vt:i4>5</vt:i4>
      </vt:variant>
      <vt:variant>
        <vt:lpwstr/>
      </vt:variant>
      <vt:variant>
        <vt:lpwstr>_Toc248510376</vt:lpwstr>
      </vt:variant>
      <vt:variant>
        <vt:i4>1114168</vt:i4>
      </vt:variant>
      <vt:variant>
        <vt:i4>62</vt:i4>
      </vt:variant>
      <vt:variant>
        <vt:i4>0</vt:i4>
      </vt:variant>
      <vt:variant>
        <vt:i4>5</vt:i4>
      </vt:variant>
      <vt:variant>
        <vt:lpwstr/>
      </vt:variant>
      <vt:variant>
        <vt:lpwstr>_Toc248510375</vt:lpwstr>
      </vt:variant>
      <vt:variant>
        <vt:i4>1114168</vt:i4>
      </vt:variant>
      <vt:variant>
        <vt:i4>56</vt:i4>
      </vt:variant>
      <vt:variant>
        <vt:i4>0</vt:i4>
      </vt:variant>
      <vt:variant>
        <vt:i4>5</vt:i4>
      </vt:variant>
      <vt:variant>
        <vt:lpwstr/>
      </vt:variant>
      <vt:variant>
        <vt:lpwstr>_Toc248510374</vt:lpwstr>
      </vt:variant>
      <vt:variant>
        <vt:i4>1114168</vt:i4>
      </vt:variant>
      <vt:variant>
        <vt:i4>50</vt:i4>
      </vt:variant>
      <vt:variant>
        <vt:i4>0</vt:i4>
      </vt:variant>
      <vt:variant>
        <vt:i4>5</vt:i4>
      </vt:variant>
      <vt:variant>
        <vt:lpwstr/>
      </vt:variant>
      <vt:variant>
        <vt:lpwstr>_Toc248510373</vt:lpwstr>
      </vt:variant>
      <vt:variant>
        <vt:i4>1114168</vt:i4>
      </vt:variant>
      <vt:variant>
        <vt:i4>44</vt:i4>
      </vt:variant>
      <vt:variant>
        <vt:i4>0</vt:i4>
      </vt:variant>
      <vt:variant>
        <vt:i4>5</vt:i4>
      </vt:variant>
      <vt:variant>
        <vt:lpwstr/>
      </vt:variant>
      <vt:variant>
        <vt:lpwstr>_Toc248510372</vt:lpwstr>
      </vt:variant>
      <vt:variant>
        <vt:i4>1114168</vt:i4>
      </vt:variant>
      <vt:variant>
        <vt:i4>38</vt:i4>
      </vt:variant>
      <vt:variant>
        <vt:i4>0</vt:i4>
      </vt:variant>
      <vt:variant>
        <vt:i4>5</vt:i4>
      </vt:variant>
      <vt:variant>
        <vt:lpwstr/>
      </vt:variant>
      <vt:variant>
        <vt:lpwstr>_Toc248510371</vt:lpwstr>
      </vt:variant>
      <vt:variant>
        <vt:i4>1114168</vt:i4>
      </vt:variant>
      <vt:variant>
        <vt:i4>32</vt:i4>
      </vt:variant>
      <vt:variant>
        <vt:i4>0</vt:i4>
      </vt:variant>
      <vt:variant>
        <vt:i4>5</vt:i4>
      </vt:variant>
      <vt:variant>
        <vt:lpwstr/>
      </vt:variant>
      <vt:variant>
        <vt:lpwstr>_Toc248510370</vt:lpwstr>
      </vt:variant>
      <vt:variant>
        <vt:i4>1048632</vt:i4>
      </vt:variant>
      <vt:variant>
        <vt:i4>26</vt:i4>
      </vt:variant>
      <vt:variant>
        <vt:i4>0</vt:i4>
      </vt:variant>
      <vt:variant>
        <vt:i4>5</vt:i4>
      </vt:variant>
      <vt:variant>
        <vt:lpwstr/>
      </vt:variant>
      <vt:variant>
        <vt:lpwstr>_Toc248510369</vt:lpwstr>
      </vt:variant>
      <vt:variant>
        <vt:i4>1048632</vt:i4>
      </vt:variant>
      <vt:variant>
        <vt:i4>20</vt:i4>
      </vt:variant>
      <vt:variant>
        <vt:i4>0</vt:i4>
      </vt:variant>
      <vt:variant>
        <vt:i4>5</vt:i4>
      </vt:variant>
      <vt:variant>
        <vt:lpwstr/>
      </vt:variant>
      <vt:variant>
        <vt:lpwstr>_Toc248510368</vt:lpwstr>
      </vt:variant>
      <vt:variant>
        <vt:i4>1048632</vt:i4>
      </vt:variant>
      <vt:variant>
        <vt:i4>14</vt:i4>
      </vt:variant>
      <vt:variant>
        <vt:i4>0</vt:i4>
      </vt:variant>
      <vt:variant>
        <vt:i4>5</vt:i4>
      </vt:variant>
      <vt:variant>
        <vt:lpwstr/>
      </vt:variant>
      <vt:variant>
        <vt:lpwstr>_Toc248510367</vt:lpwstr>
      </vt:variant>
      <vt:variant>
        <vt:i4>1048632</vt:i4>
      </vt:variant>
      <vt:variant>
        <vt:i4>8</vt:i4>
      </vt:variant>
      <vt:variant>
        <vt:i4>0</vt:i4>
      </vt:variant>
      <vt:variant>
        <vt:i4>5</vt:i4>
      </vt:variant>
      <vt:variant>
        <vt:lpwstr/>
      </vt:variant>
      <vt:variant>
        <vt:lpwstr>_Toc248510366</vt:lpwstr>
      </vt:variant>
      <vt:variant>
        <vt:i4>1048632</vt:i4>
      </vt:variant>
      <vt:variant>
        <vt:i4>2</vt:i4>
      </vt:variant>
      <vt:variant>
        <vt:i4>0</vt:i4>
      </vt:variant>
      <vt:variant>
        <vt:i4>5</vt:i4>
      </vt:variant>
      <vt:variant>
        <vt:lpwstr/>
      </vt:variant>
      <vt:variant>
        <vt:lpwstr>_Toc248510365</vt:lpwstr>
      </vt:variant>
      <vt:variant>
        <vt:i4>7995439</vt:i4>
      </vt:variant>
      <vt:variant>
        <vt:i4>6</vt:i4>
      </vt:variant>
      <vt:variant>
        <vt:i4>0</vt:i4>
      </vt:variant>
      <vt:variant>
        <vt:i4>5</vt:i4>
      </vt:variant>
      <vt:variant>
        <vt:lpwstr>http://www.ina.hr/default.aspx?id=1057</vt:lpwstr>
      </vt:variant>
      <vt:variant>
        <vt:lpwstr/>
      </vt:variant>
      <vt:variant>
        <vt:i4>5111837</vt:i4>
      </vt:variant>
      <vt:variant>
        <vt:i4>3</vt:i4>
      </vt:variant>
      <vt:variant>
        <vt:i4>0</vt:i4>
      </vt:variant>
      <vt:variant>
        <vt:i4>5</vt:i4>
      </vt:variant>
      <vt:variant>
        <vt:lpwstr>http://www.ina.hr/default.aspx?id=637</vt:lpwstr>
      </vt:variant>
      <vt:variant>
        <vt:lpwstr/>
      </vt:variant>
      <vt:variant>
        <vt:i4>7995439</vt:i4>
      </vt:variant>
      <vt:variant>
        <vt:i4>0</vt:i4>
      </vt:variant>
      <vt:variant>
        <vt:i4>0</vt:i4>
      </vt:variant>
      <vt:variant>
        <vt:i4>5</vt:i4>
      </vt:variant>
      <vt:variant>
        <vt:lpwstr>http://www.ina.hr/default.aspx?id=1057</vt:lpwstr>
      </vt:variant>
      <vt:variant>
        <vt:lpwstr/>
      </vt:variant>
      <vt:variant>
        <vt:i4>6946855</vt:i4>
      </vt:variant>
      <vt:variant>
        <vt:i4>-1</vt:i4>
      </vt:variant>
      <vt:variant>
        <vt:i4>1150</vt:i4>
      </vt:variant>
      <vt:variant>
        <vt:i4>1</vt:i4>
      </vt:variant>
      <vt:variant>
        <vt:lpwstr>C:\Users\Velimir.Velimir-PC\AppData\Local\Microsoft\Windows\Temporary Internet Files\Content.Outlook\5B8FNKEN\logo.gif</vt:lpwstr>
      </vt:variant>
      <vt:variant>
        <vt:lpwstr/>
      </vt:variant>
      <vt:variant>
        <vt:i4>6946855</vt:i4>
      </vt:variant>
      <vt:variant>
        <vt:i4>-1</vt:i4>
      </vt:variant>
      <vt:variant>
        <vt:i4>2052</vt:i4>
      </vt:variant>
      <vt:variant>
        <vt:i4>1</vt:i4>
      </vt:variant>
      <vt:variant>
        <vt:lpwstr>C:\Users\Velimir.Velimir-PC\AppData\Local\Microsoft\Windows\Temporary Internet Files\Content.Outlook\5B8FNKEN\logo.gif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INLEIDING</dc:title>
  <dc:creator/>
  <cp:lastModifiedBy>Ivan Ivanković</cp:lastModifiedBy>
  <cp:revision>5</cp:revision>
  <cp:lastPrinted>2010-02-16T12:20:00Z</cp:lastPrinted>
  <dcterms:created xsi:type="dcterms:W3CDTF">2018-06-05T09:57:00Z</dcterms:created>
  <dcterms:modified xsi:type="dcterms:W3CDTF">2019-03-22T14:09:00Z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0x010100C6DAA69028DF934B8F4D0A7F57D28E08</vt:lpwstr>
  </property>
</Properties>
</file>